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E632F" w:rsidP="00CE632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DEFEXO065 Prepare and arm weapon systems</w:t>
      </w:r>
      <w:r>
        <w:fldChar w:fldCharType="end"/>
      </w:r>
    </w:p>
    <w:p w:rsidR="00CE632F" w:rsidP="00CE632F">
      <w:pPr>
        <w:pStyle w:val="Version"/>
        <w:sectPr w:rsidSect="002F5BC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2F5BC0" w:rsidP="002F5BC0">
      <w:pPr>
        <w:pStyle w:val="SuperHeading"/>
      </w:pPr>
      <w:r w:rsidRPr="002F5BC0">
        <w:t>DEFEXO065 Prepare and arm weapon systems</w:t>
      </w:r>
    </w:p>
    <w:p w:rsidR="00000000" w:rsidRPr="002F5BC0" w:rsidP="002F5BC0">
      <w:pPr>
        <w:pStyle w:val="Heading1"/>
      </w:pPr>
      <w:bookmarkStart w:id="1" w:name="O_1283008"/>
      <w:bookmarkEnd w:id="1"/>
      <w:r w:rsidRPr="002F5BC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F5B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BC0">
            <w:pPr>
              <w:pStyle w:val="BodyText"/>
              <w:rPr>
                <w:lang w:val="en-NZ"/>
              </w:rPr>
            </w:pPr>
            <w:r w:rsidRPr="002F5BC0">
              <w:t>Release 3. Assessment Conditions clarified in relation to simulation being an assessment option.</w:t>
            </w:r>
          </w:p>
        </w:tc>
      </w:tr>
      <w:tr w:rsidTr="002F5B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BC0">
            <w:pPr>
              <w:pStyle w:val="BodyText"/>
              <w:rPr>
                <w:lang w:val="en-NZ"/>
              </w:rPr>
            </w:pPr>
            <w:r w:rsidRPr="002F5BC0">
              <w:t>Release 2. Modifications made to Foundation Skills and Assessment Conditions.</w:t>
            </w:r>
          </w:p>
        </w:tc>
      </w:tr>
      <w:tr w:rsidTr="002F5B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5BC0" w:rsidP="002F5BC0">
            <w:pPr>
              <w:pStyle w:val="BodyText"/>
            </w:pPr>
            <w:r w:rsidRPr="002F5BC0">
              <w:t xml:space="preserve">Release 1. This unit was released in DEF Defence Training </w:t>
            </w:r>
            <w:r w:rsidRPr="002F5BC0">
              <w:t>Package release 1.0 and meets the Standards for Training Packages.</w:t>
            </w:r>
          </w:p>
          <w:p w:rsidR="00000000" w:rsidRPr="002F5BC0" w:rsidP="002F5BC0">
            <w:pPr>
              <w:pStyle w:val="BodyText"/>
            </w:pPr>
            <w:r w:rsidRPr="002F5BC0">
              <w:t>This unit supersedes and is equivalent to DEFEO710D Prepare and arm weapon systems.</w:t>
            </w:r>
          </w:p>
          <w:p w:rsidR="00000000" w:rsidRPr="002F5BC0" w:rsidP="002F5BC0">
            <w:pPr>
              <w:pStyle w:val="ListBullet"/>
            </w:pPr>
            <w:r w:rsidRPr="002F5BC0">
              <w:t>Unit code updated</w:t>
            </w:r>
          </w:p>
          <w:p w:rsidR="00000000" w:rsidRPr="002F5BC0" w:rsidP="002F5BC0">
            <w:pPr>
              <w:pStyle w:val="ListBullet"/>
            </w:pPr>
            <w:r w:rsidRPr="002F5BC0">
              <w:t>Content and formatting updated to comply with the new standards</w:t>
            </w:r>
          </w:p>
          <w:p w:rsidR="00000000" w:rsidRPr="002F5BC0" w:rsidP="002F5BC0">
            <w:pPr>
              <w:pStyle w:val="ListBullet"/>
            </w:pPr>
            <w:r w:rsidRPr="002F5BC0">
              <w:t>All PC transitioned fr</w:t>
            </w:r>
            <w:r w:rsidRPr="002F5BC0">
              <w:t>om passive to active voice</w:t>
            </w:r>
          </w:p>
          <w:p w:rsidR="00000000" w:rsidRPr="002F5BC0" w:rsidP="002F5BC0">
            <w:pPr>
              <w:pStyle w:val="ListBullet"/>
            </w:pPr>
            <w:r w:rsidRPr="002F5BC0">
              <w:t>PC 1.2 and 2.1 removed</w:t>
            </w:r>
          </w:p>
        </w:tc>
      </w:tr>
    </w:tbl>
    <w:p w:rsidR="00CE632F" w:rsidP="002F5BC0">
      <w:pPr>
        <w:pStyle w:val="NoPaddingFontSize1"/>
      </w:pPr>
    </w:p>
    <w:p w:rsidR="00CE632F" w:rsidP="002F5BC0">
      <w:pPr>
        <w:pStyle w:val="NoPaddingFontSize1"/>
      </w:pPr>
    </w:p>
    <w:p w:rsidR="00000000" w:rsidRPr="002F5BC0" w:rsidP="002F5BC0">
      <w:pPr>
        <w:pStyle w:val="Heading1"/>
      </w:pPr>
      <w:bookmarkStart w:id="2" w:name="O_1283007"/>
      <w:bookmarkEnd w:id="2"/>
      <w:r w:rsidRPr="002F5BC0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F5B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5BC0" w:rsidP="002F5BC0">
            <w:pPr>
              <w:pStyle w:val="BodyText"/>
            </w:pPr>
            <w:r w:rsidRPr="002F5BC0">
              <w:t xml:space="preserve">This unit describes the skills required to arm/de-arm explosive ordnance systems during operations and in training situations. Arming explosive </w:t>
            </w:r>
            <w:r w:rsidRPr="002F5BC0">
              <w:t>ordnance systems means placing the weapon system in a readiness state whereby it can then be fired without further preparation. Arming and de-arming explosive ordnance systems occurs on the land, on or below the sea and in the air. This unit can apply abov</w:t>
            </w:r>
            <w:r w:rsidRPr="002F5BC0">
              <w:t>e and below the high water mark.</w:t>
            </w:r>
          </w:p>
          <w:p w:rsidR="00000000" w:rsidRPr="002F5BC0" w:rsidP="002F5BC0">
            <w:pPr>
              <w:pStyle w:val="BodyText"/>
            </w:pPr>
            <w:r w:rsidRPr="002F5BC0">
              <w:t>This unit applies to those who are required to arm/de-arm explosive ordnance systems during operations and in training situations.</w:t>
            </w:r>
          </w:p>
          <w:p w:rsidR="00000000" w:rsidRPr="002F5BC0" w:rsidP="002F5BC0">
            <w:pPr>
              <w:pStyle w:val="BodyText"/>
            </w:pPr>
            <w:r w:rsidRPr="002F5BC0">
              <w:t>The skills and knowledge described in this unit must be applied within the legislative, regu</w:t>
            </w:r>
            <w:r w:rsidRPr="002F5BC0">
              <w:t>latory and policy environment in which they are carried out. Organisational policies and procedures must be consulted and adhered to.</w:t>
            </w:r>
          </w:p>
          <w:p w:rsidR="00000000" w:rsidRPr="002F5BC0" w:rsidP="002F5BC0">
            <w:pPr>
              <w:pStyle w:val="BodyText"/>
            </w:pPr>
            <w:r w:rsidRPr="002F5BC0">
              <w:t>Those undertaking this unit would work independently as part of a team and under indirect supervision. They would use disc</w:t>
            </w:r>
            <w:r w:rsidRPr="002F5BC0">
              <w:t>retion and judgement and take responsibility for the quality of their outputs while performing routine tasks in a broad range of contexts.</w:t>
            </w:r>
          </w:p>
          <w:p w:rsidR="00000000" w:rsidRPr="002F5BC0" w:rsidP="002F5BC0">
            <w:pPr>
              <w:pStyle w:val="BodyText"/>
            </w:pPr>
            <w:r w:rsidRPr="002F5BC0">
              <w:t>No licensing, legislative or certification requirements apply to unit at the time of publication.</w:t>
            </w:r>
          </w:p>
        </w:tc>
      </w:tr>
    </w:tbl>
    <w:p w:rsidR="00CE632F" w:rsidP="002F5BC0">
      <w:pPr>
        <w:pStyle w:val="NoPaddingFontSize1"/>
      </w:pPr>
    </w:p>
    <w:p w:rsidR="00CE632F" w:rsidP="002F5BC0">
      <w:pPr>
        <w:pStyle w:val="NoPaddingFontSize1"/>
      </w:pPr>
    </w:p>
    <w:p w:rsidR="00000000" w:rsidRPr="002F5BC0" w:rsidP="002F5BC0">
      <w:pPr>
        <w:pStyle w:val="Heading1"/>
      </w:pPr>
      <w:bookmarkStart w:id="3" w:name="O_1283006"/>
      <w:bookmarkEnd w:id="3"/>
      <w:r w:rsidRPr="002F5BC0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F5B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5BC0" w:rsidP="002F5BC0">
            <w:pPr>
              <w:pStyle w:val="BodyText"/>
            </w:pPr>
            <w:r w:rsidRPr="002F5BC0">
              <w:t>Not applicable</w:t>
            </w:r>
          </w:p>
        </w:tc>
      </w:tr>
    </w:tbl>
    <w:p w:rsidR="00CE632F" w:rsidP="002F5BC0">
      <w:pPr>
        <w:pStyle w:val="NoPaddingFontSize1"/>
      </w:pPr>
    </w:p>
    <w:p w:rsidR="00CE632F" w:rsidP="002F5BC0">
      <w:pPr>
        <w:pStyle w:val="NoPaddingFontSize1"/>
      </w:pPr>
    </w:p>
    <w:p w:rsidR="00000000" w:rsidRPr="002F5BC0" w:rsidP="002F5BC0">
      <w:pPr>
        <w:pStyle w:val="Heading1"/>
      </w:pPr>
      <w:bookmarkStart w:id="4" w:name="O_1283005"/>
      <w:bookmarkEnd w:id="4"/>
      <w:r w:rsidRPr="002F5BC0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F5B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5BC0" w:rsidP="002F5BC0">
            <w:pPr>
              <w:pStyle w:val="BodyText"/>
            </w:pPr>
            <w:r w:rsidRPr="002F5BC0">
              <w:t>Explosive Ordnance</w:t>
            </w:r>
          </w:p>
        </w:tc>
      </w:tr>
    </w:tbl>
    <w:p w:rsidR="00CE632F" w:rsidP="002F5BC0">
      <w:pPr>
        <w:pStyle w:val="NoPaddingFontSize1"/>
      </w:pPr>
    </w:p>
    <w:p w:rsidR="00CE632F" w:rsidP="002F5BC0">
      <w:pPr>
        <w:pStyle w:val="NoPaddingFontSize1"/>
      </w:pPr>
    </w:p>
    <w:p w:rsidR="00000000" w:rsidRPr="002F5BC0" w:rsidP="002F5BC0">
      <w:pPr>
        <w:pStyle w:val="Heading1"/>
      </w:pPr>
      <w:bookmarkStart w:id="5" w:name="O_1283004"/>
      <w:bookmarkEnd w:id="5"/>
      <w:r w:rsidRPr="002F5BC0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F5B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5BC0" w:rsidP="002F5BC0">
            <w:pPr>
              <w:pStyle w:val="BodyText"/>
            </w:pPr>
            <w:r w:rsidRPr="002F5BC0">
              <w:t>Not applicable</w:t>
            </w:r>
          </w:p>
        </w:tc>
      </w:tr>
    </w:tbl>
    <w:p w:rsidR="00CE632F" w:rsidP="002F5BC0">
      <w:pPr>
        <w:pStyle w:val="NoPaddingFontSize1"/>
      </w:pPr>
    </w:p>
    <w:p w:rsidR="00CE632F" w:rsidP="002F5BC0">
      <w:pPr>
        <w:pStyle w:val="NoPaddingFontSize1"/>
      </w:pPr>
    </w:p>
    <w:p w:rsidR="00000000" w:rsidRPr="002F5BC0" w:rsidP="002F5BC0">
      <w:pPr>
        <w:pStyle w:val="Heading1"/>
      </w:pPr>
      <w:bookmarkStart w:id="6" w:name="O_1283003"/>
      <w:bookmarkEnd w:id="6"/>
      <w:r w:rsidRPr="002F5BC0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2F5B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5BC0" w:rsidP="002F5BC0">
            <w:pPr>
              <w:pStyle w:val="BodyText"/>
            </w:pPr>
            <w:r w:rsidRPr="002F5BC0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BC0">
            <w:pPr>
              <w:pStyle w:val="BodyText"/>
              <w:rPr>
                <w:lang w:val="en-NZ"/>
              </w:rPr>
            </w:pPr>
            <w:r w:rsidRPr="002F5BC0">
              <w:rPr>
                <w:rStyle w:val="SpecialBold"/>
              </w:rPr>
              <w:t>PERFORMANCE CRITERIA</w:t>
            </w:r>
          </w:p>
        </w:tc>
      </w:tr>
      <w:tr w:rsidTr="002F5B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BC0">
            <w:pPr>
              <w:pStyle w:val="BodyText"/>
              <w:rPr>
                <w:lang w:val="en-NZ"/>
              </w:rPr>
            </w:pPr>
            <w:r w:rsidRPr="002F5BC0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BC0">
            <w:pPr>
              <w:pStyle w:val="BodyText"/>
              <w:rPr>
                <w:lang w:val="en-NZ"/>
              </w:rPr>
            </w:pPr>
            <w:r w:rsidRPr="002F5BC0">
              <w:t>Performance criteria describe the performance needed to demonstrate achievement of the element.</w:t>
            </w:r>
          </w:p>
        </w:tc>
      </w:tr>
      <w:tr w:rsidTr="002F5B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5BC0" w:rsidP="002F5BC0">
            <w:pPr>
              <w:pStyle w:val="BodyText"/>
            </w:pPr>
            <w:r w:rsidRPr="002F5BC0">
              <w:rPr>
                <w:rStyle w:val="SpecialBold"/>
              </w:rPr>
              <w:t>1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5BC0" w:rsidP="002F5BC0">
            <w:pPr>
              <w:pStyle w:val="BodyText"/>
            </w:pPr>
            <w:r w:rsidRPr="002F5BC0">
              <w:rPr>
                <w:rStyle w:val="SpecialBold"/>
              </w:rPr>
              <w:t>Prepare explosive ordnance system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BC0">
            <w:pPr>
              <w:pStyle w:val="BodyText"/>
              <w:rPr>
                <w:lang w:val="en-NZ"/>
              </w:rPr>
            </w:pPr>
            <w:r w:rsidRPr="002F5BC0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BC0">
            <w:pPr>
              <w:pStyle w:val="BodyText"/>
              <w:rPr>
                <w:lang w:val="en-NZ"/>
              </w:rPr>
            </w:pPr>
            <w:r w:rsidRPr="002F5BC0">
              <w:t>Apply explosive ordnance control and safety measures</w:t>
            </w:r>
          </w:p>
        </w:tc>
      </w:tr>
      <w:tr w:rsidTr="002F5B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5BC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BC0">
            <w:pPr>
              <w:pStyle w:val="BodyText"/>
              <w:rPr>
                <w:lang w:val="en-NZ"/>
              </w:rPr>
            </w:pPr>
            <w:r w:rsidRPr="002F5BC0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BC0">
            <w:pPr>
              <w:pStyle w:val="BodyText"/>
              <w:rPr>
                <w:lang w:val="en-NZ"/>
              </w:rPr>
            </w:pPr>
            <w:r w:rsidRPr="002F5BC0">
              <w:t>Prepare explosive ordnance system within current control and safety measures</w:t>
            </w:r>
          </w:p>
        </w:tc>
      </w:tr>
      <w:tr w:rsidTr="002F5B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5BC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BC0">
            <w:pPr>
              <w:pStyle w:val="BodyText"/>
              <w:rPr>
                <w:lang w:val="en-NZ"/>
              </w:rPr>
            </w:pPr>
            <w:r w:rsidRPr="002F5BC0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BC0">
            <w:pPr>
              <w:pStyle w:val="BodyText"/>
              <w:rPr>
                <w:lang w:val="en-NZ"/>
              </w:rPr>
            </w:pPr>
            <w:r w:rsidRPr="002F5BC0">
              <w:t>Prepare weapon platform in accordance within current control and safety instructions</w:t>
            </w:r>
          </w:p>
        </w:tc>
      </w:tr>
      <w:tr w:rsidTr="002F5B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5BC0" w:rsidP="002F5BC0">
            <w:pPr>
              <w:pStyle w:val="BodyText"/>
            </w:pPr>
            <w:r w:rsidRPr="002F5BC0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5BC0" w:rsidP="002F5BC0">
            <w:pPr>
              <w:pStyle w:val="BodyText"/>
            </w:pPr>
            <w:r w:rsidRPr="002F5BC0">
              <w:rPr>
                <w:rStyle w:val="SpecialBold"/>
              </w:rPr>
              <w:t>Arm/de arm explosive ordnance system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BC0">
            <w:pPr>
              <w:pStyle w:val="BodyText"/>
              <w:rPr>
                <w:lang w:val="en-NZ"/>
              </w:rPr>
            </w:pPr>
            <w:r w:rsidRPr="002F5BC0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BC0">
            <w:pPr>
              <w:pStyle w:val="BodyText"/>
              <w:rPr>
                <w:lang w:val="en-NZ"/>
              </w:rPr>
            </w:pPr>
            <w:r w:rsidRPr="002F5BC0">
              <w:t>Conduct arming/de-arming operations applying explosive ordnance technical knowledge.</w:t>
            </w:r>
          </w:p>
        </w:tc>
      </w:tr>
      <w:tr w:rsidTr="002F5B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5BC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BC0">
            <w:pPr>
              <w:pStyle w:val="BodyText"/>
              <w:rPr>
                <w:lang w:val="en-NZ"/>
              </w:rPr>
            </w:pPr>
            <w:r w:rsidRPr="002F5BC0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BC0">
            <w:pPr>
              <w:pStyle w:val="BodyText"/>
              <w:rPr>
                <w:lang w:val="en-NZ"/>
              </w:rPr>
            </w:pPr>
            <w:r w:rsidRPr="002F5BC0">
              <w:t>Clear malfunctioned ordnance from weapon platforms.</w:t>
            </w:r>
          </w:p>
        </w:tc>
      </w:tr>
      <w:tr w:rsidTr="002F5B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5BC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BC0">
            <w:pPr>
              <w:pStyle w:val="BodyText"/>
              <w:rPr>
                <w:lang w:val="en-NZ"/>
              </w:rPr>
            </w:pPr>
            <w:r w:rsidRPr="002F5BC0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5BC0" w:rsidP="002F5BC0">
            <w:pPr>
              <w:pStyle w:val="BodyText"/>
            </w:pPr>
            <w:r w:rsidRPr="002F5BC0">
              <w:t>Identify and react to explosive ordnance emergencies.</w:t>
            </w:r>
          </w:p>
        </w:tc>
      </w:tr>
    </w:tbl>
    <w:p w:rsidR="00CE632F" w:rsidP="002F5BC0">
      <w:pPr>
        <w:pStyle w:val="NoPaddingFontSize1"/>
      </w:pPr>
    </w:p>
    <w:p w:rsidR="00CE632F" w:rsidP="002F5BC0">
      <w:pPr>
        <w:pStyle w:val="NoPaddingFontSize1"/>
      </w:pPr>
    </w:p>
    <w:p w:rsidR="00000000" w:rsidRPr="002F5BC0" w:rsidP="002F5BC0">
      <w:pPr>
        <w:pStyle w:val="Heading1"/>
      </w:pPr>
      <w:bookmarkStart w:id="7" w:name="O_1283002"/>
      <w:bookmarkEnd w:id="7"/>
      <w:r w:rsidRPr="002F5BC0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F5B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5BC0" w:rsidP="002F5BC0">
            <w:pPr>
              <w:pStyle w:val="BodyText"/>
            </w:pPr>
            <w:r w:rsidRPr="002F5BC0">
              <w:t>Foundation skills essential to performance are explicit in the performance criteria of this unit of competency.</w:t>
            </w:r>
          </w:p>
        </w:tc>
      </w:tr>
    </w:tbl>
    <w:p w:rsidR="00CE632F" w:rsidP="002F5BC0">
      <w:pPr>
        <w:pStyle w:val="NoPaddingFontSize1"/>
      </w:pPr>
    </w:p>
    <w:p w:rsidR="00CE632F" w:rsidP="002F5BC0">
      <w:pPr>
        <w:pStyle w:val="NoPaddingFontSize1"/>
      </w:pPr>
    </w:p>
    <w:p w:rsidR="00000000" w:rsidRPr="002F5BC0" w:rsidP="002F5BC0">
      <w:pPr>
        <w:pStyle w:val="Heading1"/>
      </w:pPr>
      <w:bookmarkStart w:id="8" w:name="O_1283001"/>
      <w:bookmarkEnd w:id="8"/>
      <w:r w:rsidRPr="002F5BC0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F5B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5BC0" w:rsidP="002F5BC0">
            <w:pPr>
              <w:pStyle w:val="BodyText"/>
            </w:pPr>
            <w:r w:rsidRPr="002F5BC0">
              <w:t>Range is restricted to essential operating conditions and any other variables essential to the work environment.</w:t>
            </w:r>
          </w:p>
          <w:p w:rsidR="00000000" w:rsidRPr="002F5BC0" w:rsidP="002F5BC0">
            <w:pPr>
              <w:pStyle w:val="BodyText"/>
            </w:pPr>
            <w:r w:rsidRPr="002F5BC0">
              <w:t>Non-essential conditions may be found in the Companion Volume Implementation Guide.</w:t>
            </w:r>
          </w:p>
        </w:tc>
      </w:tr>
    </w:tbl>
    <w:p w:rsidR="00CE632F" w:rsidP="002F5BC0">
      <w:pPr>
        <w:pStyle w:val="NoPaddingFontSize1"/>
      </w:pPr>
    </w:p>
    <w:p w:rsidR="00CE632F" w:rsidP="002F5BC0">
      <w:pPr>
        <w:pStyle w:val="NoPaddingFontSize1"/>
      </w:pPr>
    </w:p>
    <w:p w:rsidR="00000000" w:rsidRPr="002F5BC0" w:rsidP="002F5BC0">
      <w:pPr>
        <w:pStyle w:val="Heading1"/>
      </w:pPr>
      <w:bookmarkStart w:id="9" w:name="O_1283000"/>
      <w:bookmarkEnd w:id="9"/>
      <w:r w:rsidRPr="002F5BC0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F5B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5BC0" w:rsidP="002F5BC0">
            <w:pPr>
              <w:pStyle w:val="BodyText"/>
            </w:pPr>
            <w:r w:rsidRPr="002F5BC0">
              <w:t>This unit su</w:t>
            </w:r>
            <w:r w:rsidRPr="002F5BC0">
              <w:t>persedes and is equivalent to DEFEO710D Prepare and arm weapon systems.</w:t>
            </w:r>
          </w:p>
        </w:tc>
      </w:tr>
    </w:tbl>
    <w:p w:rsidR="00CE632F" w:rsidP="002F5BC0">
      <w:pPr>
        <w:pStyle w:val="NoPaddingFontSize1"/>
      </w:pPr>
    </w:p>
    <w:p w:rsidR="00CE632F" w:rsidP="002F5BC0">
      <w:pPr>
        <w:pStyle w:val="NoPaddingFontSize1"/>
      </w:pPr>
    </w:p>
    <w:p w:rsidR="00000000" w:rsidRPr="002F5BC0" w:rsidP="002F5BC0">
      <w:pPr>
        <w:pStyle w:val="Heading1"/>
      </w:pPr>
      <w:bookmarkStart w:id="10" w:name="O_1283009"/>
      <w:bookmarkEnd w:id="10"/>
      <w:r w:rsidRPr="002F5BC0">
        <w:t>Links</w:t>
      </w:r>
    </w:p>
    <w:p w:rsidR="00000000" w:rsidRPr="002F5BC0" w:rsidP="00CE632F">
      <w:pPr>
        <w:pStyle w:val="BodyText"/>
      </w:pPr>
      <w:r w:rsidRPr="002F5BC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8640E9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2F5BC0" w:rsidP="002F5BC0"/>
    <w:sectPr w:rsidSect="002F5BC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5BC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5BC0" w:rsidRPr="00CE632F" w:rsidP="00CE632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5BC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632F" w:rsidP="002F5BC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E632F" w:rsidP="002F5BC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CE632F" w:rsidP="002F5BC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5BC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632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F5BC0" w:rsidRPr="00CE632F" w:rsidP="00CE632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5BC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632F" w:rsidRPr="002D2AF8" w:rsidP="002F5BC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DEFEXO065 Prepare and arm weapon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CE632F" w:rsidP="002F5BC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8AA2C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9BA92C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5BC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F5BC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F5BC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F5BC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F5BC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F5BC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F5BC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F5BC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F5BC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F5BC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F5BC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F5BC0"/>
  </w:style>
  <w:style w:type="character" w:customStyle="1" w:styleId="Heading1Char">
    <w:name w:val="Heading 1 Char"/>
    <w:basedOn w:val="DefaultParagraphFont"/>
    <w:link w:val="Heading1"/>
    <w:rsid w:val="002F5BC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F5BC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F5BC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F5BC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F5BC0"/>
    <w:rPr>
      <w:b/>
      <w:spacing w:val="0"/>
    </w:rPr>
  </w:style>
  <w:style w:type="paragraph" w:customStyle="1" w:styleId="SuperHeading">
    <w:name w:val="SuperHeading"/>
    <w:basedOn w:val="Normal"/>
    <w:rsid w:val="002F5BC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F5BC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F5BC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F5BC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F5BC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F5B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F5B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F5B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F5B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F5BC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F5BC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F5BC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F5BC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F5BC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F5BC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F5BC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F5BC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F5BC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F5BC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F5BC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F5BC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F5BC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F5BC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F5BC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F5BC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F5BC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F5BC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F5BC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F5BC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F5BC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F5BC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F5BC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F5BC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F5BC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F5BC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F5BC0"/>
    <w:rPr>
      <w:i/>
    </w:rPr>
  </w:style>
  <w:style w:type="paragraph" w:styleId="Caption">
    <w:name w:val="caption"/>
    <w:basedOn w:val="BodyText"/>
    <w:next w:val="Normal"/>
    <w:qFormat/>
    <w:rsid w:val="002F5BC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F5BC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F5BC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F5BC0"/>
  </w:style>
  <w:style w:type="paragraph" w:styleId="TableofFigures">
    <w:name w:val="table of figures"/>
    <w:basedOn w:val="Normal"/>
    <w:next w:val="Normal"/>
    <w:semiHidden/>
    <w:rsid w:val="002F5BC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F5BC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F5BC0"/>
    <w:rPr>
      <w:rFonts w:ascii="Wingdings" w:hAnsi="Wingdings"/>
    </w:rPr>
  </w:style>
  <w:style w:type="paragraph" w:customStyle="1" w:styleId="TableHeading">
    <w:name w:val="Table Heading"/>
    <w:basedOn w:val="HeadingBase"/>
    <w:rsid w:val="002F5BC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F5BC0"/>
    <w:rPr>
      <w:color w:val="0033CC"/>
      <w:u w:val="none"/>
    </w:rPr>
  </w:style>
  <w:style w:type="paragraph" w:customStyle="1" w:styleId="BodyTextRight">
    <w:name w:val="Body Text Right"/>
    <w:basedOn w:val="BodyText"/>
    <w:rsid w:val="002F5BC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F5BC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F5BC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F5BC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F5BC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F5BC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F5BC0"/>
    <w:rPr>
      <w:sz w:val="32"/>
    </w:rPr>
  </w:style>
  <w:style w:type="paragraph" w:customStyle="1" w:styleId="HeadingProcedure">
    <w:name w:val="Heading Procedure"/>
    <w:basedOn w:val="HeadingBase"/>
    <w:next w:val="Normal"/>
    <w:rsid w:val="002F5BC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F5BC0"/>
    <w:pPr>
      <w:spacing w:before="60" w:after="60"/>
    </w:pPr>
  </w:style>
  <w:style w:type="paragraph" w:styleId="ListContinue">
    <w:name w:val="List Continue"/>
    <w:basedOn w:val="List"/>
    <w:rsid w:val="002F5BC0"/>
    <w:pPr>
      <w:ind w:firstLine="0"/>
    </w:pPr>
  </w:style>
  <w:style w:type="paragraph" w:customStyle="1" w:styleId="ListNote">
    <w:name w:val="List Note"/>
    <w:basedOn w:val="List"/>
    <w:rsid w:val="002F5BC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F5BC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F5BC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F5BC0"/>
    <w:rPr>
      <w:rFonts w:ascii="Courier New" w:hAnsi="Courier New"/>
    </w:rPr>
  </w:style>
  <w:style w:type="paragraph" w:customStyle="1" w:styleId="NoteBullet">
    <w:name w:val="Note Bullet"/>
    <w:basedOn w:val="Note"/>
    <w:rsid w:val="002F5BC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F5BC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F5BC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F5BC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F5BC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F5BC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F5BC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F5BC0"/>
    <w:rPr>
      <w:b/>
      <w:smallCaps/>
    </w:rPr>
  </w:style>
  <w:style w:type="paragraph" w:customStyle="1" w:styleId="TableListNumber">
    <w:name w:val="Table List Number"/>
    <w:basedOn w:val="ListNumber"/>
    <w:rsid w:val="002F5BC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F5BC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F5BC0"/>
    <w:pPr>
      <w:numPr>
        <w:numId w:val="8"/>
      </w:numPr>
    </w:pPr>
  </w:style>
  <w:style w:type="paragraph" w:customStyle="1" w:styleId="ListAlpha2">
    <w:name w:val="List Alpha 2"/>
    <w:basedOn w:val="List2"/>
    <w:rsid w:val="002F5BC0"/>
    <w:pPr>
      <w:numPr>
        <w:numId w:val="7"/>
      </w:numPr>
    </w:pPr>
  </w:style>
  <w:style w:type="paragraph" w:styleId="List2">
    <w:name w:val="List 2"/>
    <w:basedOn w:val="BodyText"/>
    <w:rsid w:val="002F5BC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F5BC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F5BC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F5BC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F5BC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F5BC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F5BC0"/>
    <w:pPr>
      <w:numPr>
        <w:numId w:val="3"/>
      </w:numPr>
    </w:pPr>
  </w:style>
  <w:style w:type="paragraph" w:styleId="ListContinue2">
    <w:name w:val="List Continue 2"/>
    <w:basedOn w:val="List2"/>
    <w:rsid w:val="002F5BC0"/>
    <w:pPr>
      <w:ind w:firstLine="0"/>
    </w:pPr>
  </w:style>
  <w:style w:type="paragraph" w:styleId="ListContinue3">
    <w:name w:val="List Continue 3"/>
    <w:basedOn w:val="List3"/>
    <w:rsid w:val="002F5BC0"/>
    <w:pPr>
      <w:ind w:left="1021" w:firstLine="0"/>
    </w:pPr>
  </w:style>
  <w:style w:type="paragraph" w:styleId="ListContinue4">
    <w:name w:val="List Continue 4"/>
    <w:basedOn w:val="List4"/>
    <w:rsid w:val="002F5BC0"/>
    <w:pPr>
      <w:ind w:firstLine="0"/>
    </w:pPr>
  </w:style>
  <w:style w:type="paragraph" w:styleId="ListContinue5">
    <w:name w:val="List Continue 5"/>
    <w:basedOn w:val="List5"/>
    <w:rsid w:val="002F5BC0"/>
    <w:pPr>
      <w:ind w:firstLine="0"/>
    </w:pPr>
  </w:style>
  <w:style w:type="paragraph" w:styleId="ListNumber3">
    <w:name w:val="List Number 3"/>
    <w:basedOn w:val="List3"/>
    <w:rsid w:val="002F5BC0"/>
    <w:pPr>
      <w:numPr>
        <w:numId w:val="4"/>
      </w:numPr>
    </w:pPr>
  </w:style>
  <w:style w:type="paragraph" w:styleId="ListNumber4">
    <w:name w:val="List Number 4"/>
    <w:basedOn w:val="List4"/>
    <w:rsid w:val="002F5BC0"/>
    <w:pPr>
      <w:numPr>
        <w:numId w:val="5"/>
      </w:numPr>
    </w:pPr>
  </w:style>
  <w:style w:type="paragraph" w:styleId="ListNumber5">
    <w:name w:val="List Number 5"/>
    <w:basedOn w:val="List5"/>
    <w:rsid w:val="002F5BC0"/>
    <w:pPr>
      <w:numPr>
        <w:numId w:val="6"/>
      </w:numPr>
    </w:pPr>
  </w:style>
  <w:style w:type="paragraph" w:styleId="BlockText">
    <w:name w:val="Block Text"/>
    <w:basedOn w:val="Normal"/>
    <w:rsid w:val="002F5BC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F5BC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F5BC0"/>
    <w:rPr>
      <w:sz w:val="16"/>
      <w:vertAlign w:val="superscript"/>
    </w:rPr>
  </w:style>
  <w:style w:type="character" w:customStyle="1" w:styleId="Symbols">
    <w:name w:val="Symbols"/>
    <w:basedOn w:val="DefaultParagraphFont"/>
    <w:rsid w:val="002F5BC0"/>
    <w:rPr>
      <w:rFonts w:ascii="Symbol" w:hAnsi="Symbol"/>
    </w:rPr>
  </w:style>
  <w:style w:type="character" w:customStyle="1" w:styleId="MenuOptions">
    <w:name w:val="Menu Options"/>
    <w:basedOn w:val="DefaultParagraphFont"/>
    <w:rsid w:val="002F5BC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F5BC0"/>
    <w:rPr>
      <w:b/>
    </w:rPr>
  </w:style>
  <w:style w:type="character" w:customStyle="1" w:styleId="Underlined">
    <w:name w:val="Underlined"/>
    <w:basedOn w:val="DefaultParagraphFont"/>
    <w:rsid w:val="002F5BC0"/>
    <w:rPr>
      <w:u w:val="single"/>
    </w:rPr>
  </w:style>
  <w:style w:type="paragraph" w:customStyle="1" w:styleId="TableBodyTextRight">
    <w:name w:val="Table Body Text Right"/>
    <w:basedOn w:val="TableBodyText"/>
    <w:rsid w:val="002F5BC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F5BC0"/>
    <w:rPr>
      <w:sz w:val="18"/>
    </w:rPr>
  </w:style>
  <w:style w:type="paragraph" w:customStyle="1" w:styleId="BodySmallRight">
    <w:name w:val="Body Small Right"/>
    <w:basedOn w:val="BodyTextRight"/>
    <w:rsid w:val="002F5BC0"/>
    <w:rPr>
      <w:sz w:val="18"/>
      <w:szCs w:val="18"/>
    </w:rPr>
  </w:style>
  <w:style w:type="paragraph" w:customStyle="1" w:styleId="MarginEdition">
    <w:name w:val="Margin Edition"/>
    <w:basedOn w:val="MarginNote"/>
    <w:rsid w:val="002F5BC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F5BC0"/>
    <w:rPr>
      <w:sz w:val="2"/>
      <w:szCs w:val="2"/>
    </w:rPr>
  </w:style>
  <w:style w:type="character" w:customStyle="1" w:styleId="Small">
    <w:name w:val="Small"/>
    <w:basedOn w:val="DefaultParagraphFont"/>
    <w:rsid w:val="002F5BC0"/>
    <w:rPr>
      <w:sz w:val="16"/>
    </w:rPr>
  </w:style>
  <w:style w:type="paragraph" w:customStyle="1" w:styleId="WideTable">
    <w:name w:val="Wide Table"/>
    <w:basedOn w:val="Normal"/>
    <w:rsid w:val="002F5BC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F5BC0"/>
  </w:style>
  <w:style w:type="paragraph" w:styleId="Quote">
    <w:name w:val="Quote"/>
    <w:basedOn w:val="Heading1"/>
    <w:link w:val="QuoteChar"/>
    <w:qFormat/>
    <w:rsid w:val="002F5BC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F5BC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F5BC0"/>
    <w:pPr>
      <w:pageBreakBefore/>
    </w:pPr>
  </w:style>
  <w:style w:type="paragraph" w:customStyle="1" w:styleId="Border">
    <w:name w:val="Border"/>
    <w:basedOn w:val="Normal"/>
    <w:qFormat/>
    <w:rsid w:val="002F5BC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F5BC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5BC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5BC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F5BC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F5BC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F5BC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F5BC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F5BC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F5BC0"/>
    <w:rPr>
      <w:u w:val="single"/>
    </w:rPr>
  </w:style>
  <w:style w:type="character" w:customStyle="1" w:styleId="BoldandItalics">
    <w:name w:val="Bold and Italics"/>
    <w:qFormat/>
    <w:rsid w:val="002F5BC0"/>
    <w:rPr>
      <w:b/>
      <w:i/>
      <w:u w:val="none"/>
    </w:rPr>
  </w:style>
  <w:style w:type="paragraph" w:styleId="BalloonText">
    <w:name w:val="Balloon Text"/>
    <w:basedOn w:val="Normal"/>
    <w:link w:val="BalloonTextChar"/>
    <w:rsid w:val="002F5B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F5BC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F5BC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F5BC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F5BC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F5BC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F5BC0"/>
    <w:pPr>
      <w:spacing w:before="0" w:after="0"/>
    </w:pPr>
  </w:style>
  <w:style w:type="paragraph" w:customStyle="1" w:styleId="BodyTextBold">
    <w:name w:val="Body Text Bold"/>
    <w:basedOn w:val="BodyText"/>
    <w:qFormat/>
    <w:rsid w:val="002F5BC0"/>
    <w:rPr>
      <w:b/>
    </w:rPr>
  </w:style>
  <w:style w:type="character" w:styleId="Hyperlink">
    <w:name w:val="Hyperlink"/>
    <w:basedOn w:val="DefaultParagraphFont"/>
    <w:uiPriority w:val="99"/>
    <w:unhideWhenUsed/>
    <w:rsid w:val="00CE632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483</Words>
  <Characters>2957</Characters>
  <Application>Microsoft Office Word</Application>
  <DocSecurity>0</DocSecurity>
  <Lines>109</Lines>
  <Paragraphs>66</Paragraphs>
  <ScaleCrop>false</ScaleCrop>
  <Company>Author-it Software Corporation Ltd.</Company>
  <LinksUpToDate>false</LinksUpToDate>
  <CharactersWithSpaces>3374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DEFEXO065 Prepare and arm weapon systems</dc:title>
  <dc:subject>Approved</dc:subject>
  <dc:creator>Public Skills Australia</dc:creator>
  <cp:keywords>Release: 3</cp:keywords>
  <dc:description>Review Date: 12 April 2008</dc:description>
  <cp:lastModifiedBy>HSD_TPCMSd.prod</cp:lastModifiedBy>
  <cp:revision>3</cp:revision>
  <dcterms:created xsi:type="dcterms:W3CDTF">2024-11-07T11:41:00Z</dcterms:created>
  <dcterms:modified xsi:type="dcterms:W3CDTF">2024-11-07T11:41:00Z</dcterms:modified>
</cp:coreProperties>
</file>