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41C" w:rsidP="0010241C">
      <w:pPr>
        <w:pStyle w:val="Title"/>
      </w:pPr>
      <w:r>
        <w:fldChar w:fldCharType="begin"/>
      </w:r>
      <w:r>
        <w:instrText xml:space="preserve"> TITLE   \* MERGEFORMAT </w:instrText>
      </w:r>
      <w:r>
        <w:fldChar w:fldCharType="separate"/>
      </w:r>
      <w:r>
        <w:t>DEFEXO063 Operate a large quantity explosives facility</w:t>
      </w:r>
      <w:r>
        <w:fldChar w:fldCharType="end"/>
      </w:r>
    </w:p>
    <w:p w:rsidR="0010241C" w:rsidP="0010241C">
      <w:pPr>
        <w:pStyle w:val="Version"/>
        <w:sectPr w:rsidSect="00DB21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217C" w:rsidP="00DB217C">
      <w:pPr>
        <w:pStyle w:val="SuperHeading"/>
      </w:pPr>
      <w:r w:rsidRPr="00DB217C">
        <w:t>DEFEXO063 Operate a large quantity explosives facility</w:t>
      </w:r>
    </w:p>
    <w:p w:rsidR="00000000" w:rsidRPr="00DB217C" w:rsidP="00DB217C">
      <w:pPr>
        <w:pStyle w:val="Heading1"/>
      </w:pPr>
      <w:bookmarkStart w:id="1" w:name="O_1097578"/>
      <w:bookmarkEnd w:id="1"/>
      <w:r w:rsidRPr="00DB217C">
        <w:t>Modification History</w:t>
      </w:r>
    </w:p>
    <w:tbl>
      <w:tblPr>
        <w:tblW w:w="9497" w:type="dxa"/>
        <w:tblLayout w:type="fixed"/>
        <w:tblCellMar>
          <w:left w:w="62" w:type="dxa"/>
          <w:right w:w="62" w:type="dxa"/>
        </w:tblCellMar>
        <w:tblLook w:val="0000"/>
      </w:tblPr>
      <w:tblGrid>
        <w:gridCol w:w="9497"/>
      </w:tblGrid>
      <w:tr w:rsidTr="00DB2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Release 2. Modifications made to Foundation Skills and Assessment Conditions.</w:t>
            </w:r>
          </w:p>
        </w:tc>
      </w:tr>
      <w:tr w:rsidTr="00DB2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t>Release 1. This unit was released in DEF Defence Training Package release 1.0 and meets the Standards for Training Packages.</w:t>
            </w:r>
          </w:p>
          <w:p w:rsidR="00000000" w:rsidRPr="00DB217C" w:rsidP="00DB217C">
            <w:pPr>
              <w:pStyle w:val="BodyText"/>
            </w:pPr>
            <w:r w:rsidRPr="00DB217C">
              <w:t>This unit sup</w:t>
            </w:r>
            <w:r w:rsidRPr="00DB217C">
              <w:t>ersedes and is equivalent to DEFEO217A Operate a large quantity explosives facility.</w:t>
            </w:r>
          </w:p>
          <w:p w:rsidR="00000000" w:rsidRPr="00DB217C" w:rsidP="00DB217C">
            <w:pPr>
              <w:pStyle w:val="ListBullet"/>
            </w:pPr>
            <w:r w:rsidRPr="00DB217C">
              <w:t>Unit code updated</w:t>
            </w:r>
          </w:p>
          <w:p w:rsidR="00000000" w:rsidRPr="00DB217C" w:rsidP="00DB217C">
            <w:pPr>
              <w:pStyle w:val="ListBullet"/>
            </w:pPr>
            <w:r w:rsidRPr="00DB217C">
              <w:t>Content and formatting updated to comply with the new standards</w:t>
            </w:r>
          </w:p>
          <w:p w:rsidR="00000000" w:rsidRPr="00DB217C" w:rsidP="00DB217C">
            <w:pPr>
              <w:pStyle w:val="ListBullet"/>
            </w:pPr>
            <w:r w:rsidRPr="00DB217C">
              <w:t>All PC transitioned from passive to active voice</w:t>
            </w:r>
          </w:p>
          <w:p w:rsidR="00000000" w:rsidRPr="00DB217C" w:rsidP="00DB217C">
            <w:pPr>
              <w:pStyle w:val="ListBullet"/>
            </w:pPr>
            <w:r w:rsidRPr="00DB217C">
              <w:t>PC 1.2, 1.3 and 2.3 removed</w:t>
            </w:r>
          </w:p>
          <w:p w:rsidR="00000000" w:rsidRPr="00DB217C" w:rsidP="00DB217C">
            <w:pPr>
              <w:pStyle w:val="ListBullet"/>
            </w:pPr>
            <w:r w:rsidRPr="00DB217C">
              <w:t xml:space="preserve">PC 1.4 and </w:t>
            </w:r>
            <w:r w:rsidRPr="00DB217C">
              <w:t>2.5 reworded</w:t>
            </w:r>
          </w:p>
        </w:tc>
      </w:tr>
    </w:tbl>
    <w:p w:rsidR="0010241C" w:rsidP="00DB217C">
      <w:pPr>
        <w:pStyle w:val="NoPaddingFontSize1"/>
      </w:pPr>
    </w:p>
    <w:p w:rsidR="0010241C" w:rsidP="00DB217C">
      <w:pPr>
        <w:pStyle w:val="NoPaddingFontSize1"/>
      </w:pPr>
    </w:p>
    <w:p w:rsidR="00000000" w:rsidRPr="00DB217C" w:rsidP="00DB217C">
      <w:pPr>
        <w:pStyle w:val="Heading1"/>
      </w:pPr>
      <w:bookmarkStart w:id="2" w:name="O_1097577"/>
      <w:bookmarkEnd w:id="2"/>
      <w:r w:rsidRPr="00DB217C">
        <w:t>Application</w:t>
      </w:r>
    </w:p>
    <w:tbl>
      <w:tblPr>
        <w:tblW w:w="9497" w:type="dxa"/>
        <w:tblLayout w:type="fixed"/>
        <w:tblCellMar>
          <w:left w:w="62" w:type="dxa"/>
          <w:right w:w="62" w:type="dxa"/>
        </w:tblCellMar>
        <w:tblLook w:val="0000"/>
      </w:tblPr>
      <w:tblGrid>
        <w:gridCol w:w="9497"/>
      </w:tblGrid>
      <w:tr w:rsidTr="00DB2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t xml:space="preserve">This unit describes the skills required to operate a storage facility licensed to contain a large quantity of explosive ordnance. This includes </w:t>
            </w:r>
            <w:r w:rsidRPr="00DB217C">
              <w:t>calculating net explosive quantity, applying compatibility constraints, ensuring package sealing requirements are applied and maintaining a range of documentation.</w:t>
            </w:r>
          </w:p>
          <w:p w:rsidR="00000000" w:rsidRPr="00DB217C" w:rsidP="00DB217C">
            <w:pPr>
              <w:pStyle w:val="BodyText"/>
            </w:pPr>
            <w:r w:rsidRPr="00DB217C">
              <w:t>This unit applies to those required to develop and apply storage plans and operate a large q</w:t>
            </w:r>
            <w:r w:rsidRPr="00DB217C">
              <w:t>uantity explosives facility.</w:t>
            </w:r>
          </w:p>
          <w:p w:rsidR="00000000" w:rsidRPr="00DB217C" w:rsidP="00DB217C">
            <w:pPr>
              <w:pStyle w:val="BodyText"/>
            </w:pPr>
            <w:r w:rsidRPr="00DB217C">
              <w:t>The skills and knowledge described in this unit must be applied within the legislative, regulatory and policy environment in which they are carried out. Organisational policies and procedures must be consulted and adhered to.</w:t>
            </w:r>
          </w:p>
          <w:p w:rsidR="00000000" w:rsidRPr="00DB217C" w:rsidP="00DB217C">
            <w:pPr>
              <w:pStyle w:val="BodyText"/>
            </w:pPr>
            <w:r w:rsidRPr="00DB217C">
              <w:t>T</w:t>
            </w:r>
            <w:r w:rsidRPr="00DB217C">
              <w:t>hose undertaking this unit would work independently and as part of a team, under indirect supervision, use discretion and judgement, and take responsibility for the quality of their output. They would perform specific tasks in a broad range of contexts.</w:t>
            </w:r>
          </w:p>
          <w:p w:rsidR="00000000" w:rsidRPr="00DB217C" w:rsidP="00DB217C">
            <w:pPr>
              <w:pStyle w:val="BodyText"/>
            </w:pPr>
            <w:r w:rsidRPr="00DB217C">
              <w:t>No</w:t>
            </w:r>
            <w:r w:rsidRPr="00DB217C">
              <w:t xml:space="preserve"> licensing, legislative or certification requirements apply to unit at the time of publication.</w:t>
            </w:r>
          </w:p>
        </w:tc>
      </w:tr>
    </w:tbl>
    <w:p w:rsidR="0010241C" w:rsidP="00DB217C">
      <w:pPr>
        <w:pStyle w:val="NoPaddingFontSize1"/>
      </w:pPr>
    </w:p>
    <w:p w:rsidR="0010241C" w:rsidP="00DB217C">
      <w:pPr>
        <w:pStyle w:val="NoPaddingFontSize1"/>
      </w:pPr>
    </w:p>
    <w:p w:rsidR="00000000" w:rsidRPr="00DB217C" w:rsidP="00DB217C">
      <w:pPr>
        <w:pStyle w:val="Heading1"/>
      </w:pPr>
      <w:bookmarkStart w:id="3" w:name="O_1101446"/>
      <w:bookmarkEnd w:id="3"/>
      <w:r w:rsidRPr="00DB217C">
        <w:t>Pre-requisite Unit</w:t>
      </w:r>
    </w:p>
    <w:tbl>
      <w:tblPr>
        <w:tblW w:w="9497" w:type="dxa"/>
        <w:tblLayout w:type="fixed"/>
        <w:tblCellMar>
          <w:left w:w="62" w:type="dxa"/>
          <w:right w:w="62" w:type="dxa"/>
        </w:tblCellMar>
        <w:tblLook w:val="0000"/>
      </w:tblPr>
      <w:tblGrid>
        <w:gridCol w:w="9497"/>
      </w:tblGrid>
      <w:tr w:rsidTr="00DB2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t>Not applicable.</w:t>
            </w:r>
          </w:p>
        </w:tc>
      </w:tr>
    </w:tbl>
    <w:p w:rsidR="0010241C" w:rsidP="00DB217C">
      <w:pPr>
        <w:pStyle w:val="NoPaddingFontSize1"/>
      </w:pPr>
    </w:p>
    <w:p w:rsidR="0010241C" w:rsidP="00DB217C">
      <w:pPr>
        <w:pStyle w:val="NoPaddingFontSize1"/>
      </w:pPr>
    </w:p>
    <w:p w:rsidR="00000000" w:rsidRPr="00DB217C" w:rsidP="00DB217C">
      <w:pPr>
        <w:pStyle w:val="Heading1"/>
      </w:pPr>
      <w:bookmarkStart w:id="4" w:name="O_1097576"/>
      <w:bookmarkEnd w:id="4"/>
      <w:r w:rsidRPr="00DB217C">
        <w:t>Competency Field</w:t>
      </w:r>
    </w:p>
    <w:tbl>
      <w:tblPr>
        <w:tblW w:w="9497" w:type="dxa"/>
        <w:tblLayout w:type="fixed"/>
        <w:tblCellMar>
          <w:left w:w="62" w:type="dxa"/>
          <w:right w:w="62" w:type="dxa"/>
        </w:tblCellMar>
        <w:tblLook w:val="0000"/>
      </w:tblPr>
      <w:tblGrid>
        <w:gridCol w:w="9497"/>
      </w:tblGrid>
      <w:tr w:rsidTr="00DB2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t>Explosive Ordnance</w:t>
            </w:r>
          </w:p>
        </w:tc>
      </w:tr>
    </w:tbl>
    <w:p w:rsidR="0010241C" w:rsidP="00DB217C">
      <w:pPr>
        <w:pStyle w:val="NoPaddingFontSize1"/>
      </w:pPr>
    </w:p>
    <w:p w:rsidR="0010241C" w:rsidP="00DB217C">
      <w:pPr>
        <w:pStyle w:val="NoPaddingFontSize1"/>
      </w:pPr>
    </w:p>
    <w:p w:rsidR="00000000" w:rsidRPr="00DB217C" w:rsidP="00DB217C">
      <w:pPr>
        <w:pStyle w:val="Heading1"/>
      </w:pPr>
      <w:bookmarkStart w:id="5" w:name="O_1101447"/>
      <w:bookmarkEnd w:id="5"/>
      <w:r w:rsidRPr="00DB217C">
        <w:t>Unit Sector</w:t>
      </w:r>
    </w:p>
    <w:tbl>
      <w:tblPr>
        <w:tblW w:w="9497" w:type="dxa"/>
        <w:tblLayout w:type="fixed"/>
        <w:tblCellMar>
          <w:left w:w="62" w:type="dxa"/>
          <w:right w:w="62" w:type="dxa"/>
        </w:tblCellMar>
        <w:tblLook w:val="0000"/>
      </w:tblPr>
      <w:tblGrid>
        <w:gridCol w:w="9497"/>
      </w:tblGrid>
      <w:tr w:rsidTr="00DB2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t>Not applicable.</w:t>
            </w:r>
          </w:p>
        </w:tc>
      </w:tr>
    </w:tbl>
    <w:p w:rsidR="0010241C" w:rsidP="00DB217C">
      <w:pPr>
        <w:pStyle w:val="BodyText"/>
      </w:pPr>
    </w:p>
    <w:p w:rsidR="0010241C" w:rsidP="00DB217C">
      <w:pPr>
        <w:pStyle w:val="BodyText"/>
      </w:pPr>
    </w:p>
    <w:p w:rsidR="00000000" w:rsidRPr="00DB217C" w:rsidP="00DB217C">
      <w:pPr>
        <w:pStyle w:val="Heading1"/>
      </w:pPr>
      <w:bookmarkStart w:id="6" w:name="O_1097575"/>
      <w:bookmarkEnd w:id="6"/>
      <w:r w:rsidRPr="00DB217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B217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rPr>
                <w:rStyle w:val="SpecialBold"/>
              </w:rPr>
              <w:t>PERFORMANCE CRITERIA</w:t>
            </w:r>
          </w:p>
        </w:tc>
      </w:tr>
      <w:tr w:rsidTr="00DB217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Performance criteria describe the performance needed to demonstrate achievement of the element.</w:t>
            </w:r>
          </w:p>
        </w:tc>
      </w:tr>
      <w:tr w:rsidTr="00DB2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rPr>
                <w:rStyle w:val="SpecialBold"/>
              </w:rPr>
              <w:t>Confirm requirements of a large quantity facility</w:t>
            </w:r>
          </w:p>
        </w:tc>
        <w:tc>
          <w:tcPr>
            <w:tcW w:w="697"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Identify large quantity facility requirements</w:t>
            </w:r>
          </w:p>
        </w:tc>
      </w:tr>
      <w:tr w:rsidTr="00DB2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Manage facility in accordance with explosive limit licences</w:t>
            </w:r>
          </w:p>
        </w:tc>
      </w:tr>
      <w:tr w:rsidTr="00DB2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Develop, approve and display storage plans</w:t>
            </w:r>
          </w:p>
        </w:tc>
      </w:tr>
      <w:tr w:rsidTr="00DB2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rPr>
                <w:rStyle w:val="SpecialBold"/>
              </w:rPr>
              <w:t>Operate the facility</w:t>
            </w:r>
          </w:p>
        </w:tc>
        <w:tc>
          <w:tcPr>
            <w:tcW w:w="697"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Identify, calculate, confirm and apply net explosive quantities and compatibility throughout the operation</w:t>
            </w:r>
          </w:p>
        </w:tc>
      </w:tr>
      <w:tr w:rsidTr="00DB2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Ensure authorised packages, seals and marks comply with organisational requirements</w:t>
            </w:r>
          </w:p>
        </w:tc>
      </w:tr>
      <w:tr w:rsidTr="00DB2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Issue and receipt items held in a large quantity fa</w:t>
            </w:r>
            <w:r w:rsidRPr="00DB217C">
              <w:t>cility</w:t>
            </w:r>
          </w:p>
        </w:tc>
      </w:tr>
      <w:tr w:rsidTr="00DB2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Display hazard divisions including applicable supplementary fire symbols</w:t>
            </w:r>
          </w:p>
        </w:tc>
      </w:tr>
      <w:tr w:rsidTr="00DB2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Interpret emergency procedure specific for the facility and apply contingency plans</w:t>
            </w:r>
          </w:p>
        </w:tc>
      </w:tr>
      <w:tr w:rsidTr="00DB2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Monitor explosive license limit during operations using authorised record systems</w:t>
            </w:r>
          </w:p>
        </w:tc>
      </w:tr>
      <w:tr w:rsidTr="00DB2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rPr>
                <w:rStyle w:val="SpecialBold"/>
              </w:rPr>
              <w:t>Maintain facility operating requirements</w:t>
            </w:r>
          </w:p>
        </w:tc>
        <w:tc>
          <w:tcPr>
            <w:tcW w:w="697"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Ensure serviceability of equipment and tools</w:t>
            </w:r>
          </w:p>
        </w:tc>
      </w:tr>
      <w:tr w:rsidTr="00DB2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t>Ensure housekeeping procedures are adhered to</w:t>
            </w:r>
          </w:p>
        </w:tc>
      </w:tr>
      <w:tr w:rsidTr="00DB217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21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B217C">
            <w:pPr>
              <w:pStyle w:val="BodyText"/>
              <w:rPr>
                <w:lang w:val="en-NZ"/>
              </w:rPr>
            </w:pPr>
            <w:r w:rsidRPr="00DB217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t>Maintain documentation and records</w:t>
            </w:r>
          </w:p>
        </w:tc>
      </w:tr>
    </w:tbl>
    <w:p w:rsidR="0010241C" w:rsidP="00DB217C">
      <w:pPr>
        <w:pStyle w:val="NoPaddingFontSize1"/>
      </w:pPr>
    </w:p>
    <w:p w:rsidR="0010241C" w:rsidP="00DB217C">
      <w:pPr>
        <w:pStyle w:val="NoPaddingFontSize1"/>
      </w:pPr>
    </w:p>
    <w:p w:rsidR="00000000" w:rsidRPr="00DB217C" w:rsidP="00DB217C">
      <w:pPr>
        <w:pStyle w:val="Heading1"/>
      </w:pPr>
      <w:bookmarkStart w:id="7" w:name="O_1097574"/>
      <w:bookmarkEnd w:id="7"/>
      <w:r w:rsidRPr="00DB217C">
        <w:t>Foundation Skills</w:t>
      </w:r>
    </w:p>
    <w:tbl>
      <w:tblPr>
        <w:tblW w:w="9497" w:type="dxa"/>
        <w:tblLayout w:type="fixed"/>
        <w:tblCellMar>
          <w:left w:w="62" w:type="dxa"/>
          <w:right w:w="62" w:type="dxa"/>
        </w:tblCellMar>
        <w:tblLook w:val="0000"/>
      </w:tblPr>
      <w:tblGrid>
        <w:gridCol w:w="9497"/>
      </w:tblGrid>
      <w:tr w:rsidTr="00DB2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t>Foundation skills essential to performance are explicit in the performance criteria of this unit of competency.</w:t>
            </w:r>
          </w:p>
        </w:tc>
      </w:tr>
    </w:tbl>
    <w:p w:rsidR="0010241C" w:rsidP="00DB217C">
      <w:pPr>
        <w:pStyle w:val="NoPaddingFontSize1"/>
      </w:pPr>
    </w:p>
    <w:p w:rsidR="0010241C" w:rsidP="00DB217C">
      <w:pPr>
        <w:pStyle w:val="NoPaddingFontSize1"/>
      </w:pPr>
    </w:p>
    <w:p w:rsidR="00000000" w:rsidRPr="00DB217C" w:rsidP="00DB217C">
      <w:pPr>
        <w:pStyle w:val="Heading1"/>
      </w:pPr>
      <w:bookmarkStart w:id="8" w:name="O_1101448"/>
      <w:bookmarkEnd w:id="8"/>
      <w:r w:rsidRPr="00DB217C">
        <w:t>Range of Conditions</w:t>
      </w:r>
    </w:p>
    <w:tbl>
      <w:tblPr>
        <w:tblW w:w="9497" w:type="dxa"/>
        <w:tblLayout w:type="fixed"/>
        <w:tblCellMar>
          <w:left w:w="62" w:type="dxa"/>
          <w:right w:w="62" w:type="dxa"/>
        </w:tblCellMar>
        <w:tblLook w:val="0000"/>
      </w:tblPr>
      <w:tblGrid>
        <w:gridCol w:w="9497"/>
      </w:tblGrid>
      <w:tr w:rsidTr="00DB2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t>Range is restricted to esse</w:t>
            </w:r>
            <w:r w:rsidRPr="00DB217C">
              <w:t>ntial operating conditions and any other variables essential to the work environment.</w:t>
            </w:r>
          </w:p>
          <w:p w:rsidR="00000000" w:rsidRPr="00DB217C" w:rsidP="00DB217C">
            <w:pPr>
              <w:pStyle w:val="BodyText"/>
            </w:pPr>
            <w:r w:rsidRPr="00DB217C">
              <w:t>Non-essential conditions may be found in the Companion Volume Implementation Guide.</w:t>
            </w:r>
          </w:p>
        </w:tc>
      </w:tr>
    </w:tbl>
    <w:p w:rsidR="0010241C" w:rsidP="00DB217C">
      <w:pPr>
        <w:pStyle w:val="NoPaddingFontSize1"/>
      </w:pPr>
    </w:p>
    <w:p w:rsidR="0010241C" w:rsidP="00DB217C">
      <w:pPr>
        <w:pStyle w:val="NoPaddingFontSize1"/>
      </w:pPr>
    </w:p>
    <w:p w:rsidR="00000000" w:rsidRPr="00DB217C" w:rsidP="00DB217C">
      <w:pPr>
        <w:pStyle w:val="Heading1"/>
      </w:pPr>
      <w:bookmarkStart w:id="9" w:name="O_1097573"/>
      <w:bookmarkEnd w:id="9"/>
      <w:r w:rsidRPr="00DB217C">
        <w:t>Unit Mapping Information</w:t>
      </w:r>
    </w:p>
    <w:tbl>
      <w:tblPr>
        <w:tblW w:w="9497" w:type="dxa"/>
        <w:tblLayout w:type="fixed"/>
        <w:tblCellMar>
          <w:left w:w="62" w:type="dxa"/>
          <w:right w:w="62" w:type="dxa"/>
        </w:tblCellMar>
        <w:tblLook w:val="0000"/>
      </w:tblPr>
      <w:tblGrid>
        <w:gridCol w:w="9497"/>
      </w:tblGrid>
      <w:tr w:rsidTr="00DB21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217C" w:rsidP="00DB217C">
            <w:pPr>
              <w:pStyle w:val="BodyText"/>
            </w:pPr>
            <w:r w:rsidRPr="00DB217C">
              <w:t>This unit supersedes and is equivalent to DEFEO217A Operate a large quantity explosives facility.</w:t>
            </w:r>
          </w:p>
        </w:tc>
      </w:tr>
    </w:tbl>
    <w:p w:rsidR="0010241C" w:rsidP="00DB217C">
      <w:pPr>
        <w:pStyle w:val="NoPaddingFontSize1"/>
      </w:pPr>
    </w:p>
    <w:p w:rsidR="0010241C" w:rsidP="00DB217C">
      <w:pPr>
        <w:pStyle w:val="NoPaddingFontSize1"/>
      </w:pPr>
    </w:p>
    <w:p w:rsidR="00000000" w:rsidRPr="00DB217C" w:rsidP="00DB217C">
      <w:pPr>
        <w:pStyle w:val="Heading1"/>
      </w:pPr>
      <w:bookmarkStart w:id="10" w:name="O_1097579"/>
      <w:bookmarkEnd w:id="10"/>
      <w:r w:rsidRPr="00DB217C">
        <w:t>Links</w:t>
      </w:r>
    </w:p>
    <w:p w:rsidR="00000000" w:rsidRPr="00DB217C" w:rsidP="0010241C">
      <w:pPr>
        <w:pStyle w:val="BodyText"/>
      </w:pPr>
      <w:r w:rsidRPr="00DB217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D3CFC">
        <w:rPr>
          <w:rStyle w:val="Hyperlink"/>
        </w:rPr>
        <w:t>https://vetnet.gov.au/Pages/TrainingDocs.aspx?q=6bdbab1e-11ed-4bc9-9cba-9e1a55d4e4a9</w:t>
      </w:r>
      <w:r>
        <w:fldChar w:fldCharType="end"/>
      </w:r>
    </w:p>
    <w:p w:rsidR="00000000" w:rsidRPr="00DB217C" w:rsidP="00DB217C"/>
    <w:sectPr w:rsidSect="00DB21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7C" w:rsidRPr="0010241C" w:rsidP="00102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1C" w:rsidP="00DB21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241C" w:rsidP="00DB217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0241C" w:rsidP="00DB21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17C" w:rsidRPr="0010241C" w:rsidP="00102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1C" w:rsidRPr="002D2AF8" w:rsidP="00DB217C">
    <w:pPr>
      <w:pStyle w:val="Header"/>
      <w:framePr w:wrap="around"/>
    </w:pPr>
    <w:r>
      <w:fldChar w:fldCharType="begin"/>
    </w:r>
    <w:r>
      <w:instrText xml:space="preserve"> TITLE   \* MERGEFORMAT </w:instrText>
    </w:r>
    <w:r>
      <w:fldChar w:fldCharType="separate"/>
    </w:r>
    <w:r>
      <w:t>DEFEXO063 Operate a large quantity explosives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0241C" w:rsidP="00DB21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0EA3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ECD4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1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17C"/>
    <w:pPr>
      <w:spacing w:before="360" w:after="60"/>
      <w:outlineLvl w:val="0"/>
    </w:pPr>
    <w:rPr>
      <w:sz w:val="32"/>
    </w:rPr>
  </w:style>
  <w:style w:type="paragraph" w:styleId="Heading2">
    <w:name w:val="heading 2"/>
    <w:basedOn w:val="HeadingBase"/>
    <w:next w:val="BodyText"/>
    <w:link w:val="Heading2Char"/>
    <w:qFormat/>
    <w:rsid w:val="00DB217C"/>
    <w:pPr>
      <w:keepLines/>
      <w:spacing w:before="240" w:after="120"/>
      <w:outlineLvl w:val="1"/>
    </w:pPr>
    <w:rPr>
      <w:sz w:val="28"/>
      <w:szCs w:val="40"/>
    </w:rPr>
  </w:style>
  <w:style w:type="paragraph" w:styleId="Heading3">
    <w:name w:val="heading 3"/>
    <w:basedOn w:val="HeadingBase"/>
    <w:next w:val="BodyText"/>
    <w:link w:val="Heading3Char"/>
    <w:qFormat/>
    <w:rsid w:val="00DB217C"/>
    <w:pPr>
      <w:spacing w:before="180" w:after="120"/>
      <w:outlineLvl w:val="2"/>
    </w:pPr>
    <w:rPr>
      <w:spacing w:val="-10"/>
      <w:kern w:val="32"/>
    </w:rPr>
  </w:style>
  <w:style w:type="paragraph" w:styleId="Heading4">
    <w:name w:val="heading 4"/>
    <w:basedOn w:val="HeadingBase"/>
    <w:next w:val="BodyText"/>
    <w:link w:val="Heading4Char"/>
    <w:qFormat/>
    <w:rsid w:val="00DB217C"/>
    <w:pPr>
      <w:spacing w:before="160" w:after="120"/>
      <w:outlineLvl w:val="3"/>
    </w:pPr>
    <w:rPr>
      <w:sz w:val="22"/>
    </w:rPr>
  </w:style>
  <w:style w:type="paragraph" w:styleId="Heading5">
    <w:name w:val="heading 5"/>
    <w:basedOn w:val="HeadingBase"/>
    <w:next w:val="Normal"/>
    <w:link w:val="Heading5Char"/>
    <w:qFormat/>
    <w:rsid w:val="00DB217C"/>
    <w:pPr>
      <w:spacing w:before="80"/>
      <w:outlineLvl w:val="4"/>
    </w:pPr>
    <w:rPr>
      <w:color w:val="918585"/>
      <w:sz w:val="20"/>
    </w:rPr>
  </w:style>
  <w:style w:type="paragraph" w:styleId="Heading6">
    <w:name w:val="heading 6"/>
    <w:basedOn w:val="HeadingBase"/>
    <w:next w:val="Normal"/>
    <w:link w:val="Heading6Char"/>
    <w:qFormat/>
    <w:rsid w:val="00DB217C"/>
    <w:pPr>
      <w:spacing w:before="60"/>
      <w:outlineLvl w:val="5"/>
    </w:pPr>
    <w:rPr>
      <w:color w:val="918585"/>
      <w:sz w:val="20"/>
    </w:rPr>
  </w:style>
  <w:style w:type="paragraph" w:styleId="Heading7">
    <w:name w:val="heading 7"/>
    <w:basedOn w:val="Normal"/>
    <w:next w:val="Normal"/>
    <w:link w:val="Heading7Char"/>
    <w:qFormat/>
    <w:rsid w:val="00DB217C"/>
    <w:pPr>
      <w:ind w:left="720"/>
      <w:outlineLvl w:val="6"/>
    </w:pPr>
    <w:rPr>
      <w:i/>
    </w:rPr>
  </w:style>
  <w:style w:type="paragraph" w:styleId="Heading8">
    <w:name w:val="heading 8"/>
    <w:basedOn w:val="Normal"/>
    <w:next w:val="Normal"/>
    <w:link w:val="Heading8Char"/>
    <w:qFormat/>
    <w:rsid w:val="00DB217C"/>
    <w:pPr>
      <w:ind w:left="720"/>
      <w:outlineLvl w:val="7"/>
    </w:pPr>
    <w:rPr>
      <w:i/>
    </w:rPr>
  </w:style>
  <w:style w:type="paragraph" w:styleId="Heading9">
    <w:name w:val="heading 9"/>
    <w:basedOn w:val="Normal"/>
    <w:next w:val="Normal"/>
    <w:link w:val="Heading9Char"/>
    <w:qFormat/>
    <w:rsid w:val="00DB217C"/>
    <w:pPr>
      <w:ind w:left="720"/>
      <w:outlineLvl w:val="8"/>
    </w:pPr>
    <w:rPr>
      <w:i/>
    </w:rPr>
  </w:style>
  <w:style w:type="character" w:default="1" w:styleId="DefaultParagraphFont">
    <w:name w:val="Default Paragraph Font"/>
    <w:uiPriority w:val="1"/>
    <w:unhideWhenUsed/>
    <w:rsid w:val="00DB21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17C"/>
  </w:style>
  <w:style w:type="character" w:customStyle="1" w:styleId="Heading1Char">
    <w:name w:val="Heading 1 Char"/>
    <w:basedOn w:val="DefaultParagraphFont"/>
    <w:link w:val="Heading1"/>
    <w:rsid w:val="00DB217C"/>
    <w:rPr>
      <w:rFonts w:ascii="Times New Roman" w:eastAsia="Times New Roman" w:hAnsi="Times New Roman" w:cs="Times New Roman"/>
      <w:b/>
      <w:sz w:val="32"/>
      <w:szCs w:val="20"/>
      <w:lang w:eastAsia="en-US"/>
    </w:rPr>
  </w:style>
  <w:style w:type="paragraph" w:styleId="BodyText">
    <w:name w:val="Body Text"/>
    <w:basedOn w:val="Normal"/>
    <w:link w:val="BodyTextChar"/>
    <w:rsid w:val="00DB21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17C"/>
    <w:rPr>
      <w:rFonts w:ascii="Times New Roman" w:eastAsia="Times New Roman" w:hAnsi="Times New Roman" w:cs="Times New Roman"/>
      <w:sz w:val="24"/>
      <w:lang w:eastAsia="en-US"/>
    </w:rPr>
  </w:style>
  <w:style w:type="paragraph" w:styleId="ListBullet">
    <w:name w:val="List Bullet"/>
    <w:basedOn w:val="List"/>
    <w:rsid w:val="00DB217C"/>
    <w:pPr>
      <w:numPr>
        <w:numId w:val="11"/>
      </w:numPr>
      <w:tabs>
        <w:tab w:val="clear" w:pos="340"/>
      </w:tabs>
      <w:spacing w:before="40" w:after="40"/>
    </w:pPr>
  </w:style>
  <w:style w:type="character" w:customStyle="1" w:styleId="SpecialBold">
    <w:name w:val="Special Bold"/>
    <w:basedOn w:val="DefaultParagraphFont"/>
    <w:rsid w:val="00DB217C"/>
    <w:rPr>
      <w:b/>
      <w:spacing w:val="0"/>
    </w:rPr>
  </w:style>
  <w:style w:type="paragraph" w:customStyle="1" w:styleId="SuperHeading">
    <w:name w:val="SuperHeading"/>
    <w:basedOn w:val="Normal"/>
    <w:rsid w:val="00DB217C"/>
    <w:pPr>
      <w:spacing w:before="240" w:after="120"/>
      <w:outlineLvl w:val="0"/>
    </w:pPr>
    <w:rPr>
      <w:rFonts w:ascii="Times New Roman" w:hAnsi="Times New Roman"/>
      <w:b/>
      <w:sz w:val="32"/>
    </w:rPr>
  </w:style>
  <w:style w:type="paragraph" w:customStyle="1" w:styleId="AllowPageBreak">
    <w:name w:val="AllowPageBreak"/>
    <w:rsid w:val="00DB21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21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1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1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1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1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1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1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17C"/>
    <w:rPr>
      <w:rFonts w:ascii="Courier New" w:eastAsia="Times New Roman" w:hAnsi="Courier New" w:cs="Times New Roman"/>
      <w:i/>
      <w:szCs w:val="20"/>
      <w:lang w:eastAsia="en-US"/>
    </w:rPr>
  </w:style>
  <w:style w:type="paragraph" w:customStyle="1" w:styleId="HeadingBase">
    <w:name w:val="Heading Base"/>
    <w:rsid w:val="00DB21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17C"/>
    <w:pPr>
      <w:tabs>
        <w:tab w:val="right" w:leader="dot" w:pos="9072"/>
      </w:tabs>
      <w:ind w:left="567"/>
    </w:pPr>
    <w:rPr>
      <w:szCs w:val="22"/>
    </w:rPr>
  </w:style>
  <w:style w:type="paragraph" w:customStyle="1" w:styleId="TOCBase">
    <w:name w:val="TOC Base"/>
    <w:rsid w:val="00DB21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17C"/>
    <w:pPr>
      <w:tabs>
        <w:tab w:val="right" w:leader="dot" w:pos="9072"/>
      </w:tabs>
      <w:spacing w:before="40" w:after="40"/>
      <w:ind w:left="284"/>
    </w:pPr>
    <w:rPr>
      <w:rFonts w:ascii="Times New Roman" w:hAnsi="Times New Roman"/>
    </w:rPr>
  </w:style>
  <w:style w:type="paragraph" w:styleId="TOC1">
    <w:name w:val="toc 1"/>
    <w:basedOn w:val="TOCBase"/>
    <w:next w:val="Normal"/>
    <w:rsid w:val="00DB21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1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17C"/>
    <w:rPr>
      <w:rFonts w:ascii="Times New Roman" w:eastAsia="Times New Roman" w:hAnsi="Times New Roman" w:cs="Times New Roman"/>
      <w:sz w:val="16"/>
      <w:lang w:eastAsia="en-US"/>
    </w:rPr>
  </w:style>
  <w:style w:type="paragraph" w:styleId="Title">
    <w:name w:val="Title"/>
    <w:basedOn w:val="HeadingBase"/>
    <w:link w:val="TitleChar"/>
    <w:qFormat/>
    <w:rsid w:val="00DB217C"/>
    <w:pPr>
      <w:spacing w:before="5040"/>
      <w:jc w:val="center"/>
    </w:pPr>
    <w:rPr>
      <w:sz w:val="48"/>
      <w:szCs w:val="72"/>
      <w:lang w:val="en-US"/>
    </w:rPr>
  </w:style>
  <w:style w:type="character" w:customStyle="1" w:styleId="TitleChar">
    <w:name w:val="Title Char"/>
    <w:basedOn w:val="DefaultParagraphFont"/>
    <w:link w:val="Title"/>
    <w:rsid w:val="00DB21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17C"/>
    <w:pPr>
      <w:tabs>
        <w:tab w:val="left" w:pos="3600"/>
        <w:tab w:val="left" w:pos="3958"/>
      </w:tabs>
    </w:pPr>
  </w:style>
  <w:style w:type="paragraph" w:styleId="List">
    <w:name w:val="List"/>
    <w:basedOn w:val="BodyText"/>
    <w:next w:val="BodyText"/>
    <w:rsid w:val="00DB217C"/>
    <w:pPr>
      <w:tabs>
        <w:tab w:val="left" w:pos="340"/>
      </w:tabs>
      <w:spacing w:before="60" w:after="60"/>
      <w:ind w:left="340" w:hanging="340"/>
    </w:pPr>
  </w:style>
  <w:style w:type="paragraph" w:customStyle="1" w:styleId="Note">
    <w:name w:val="Note"/>
    <w:basedOn w:val="BodyText"/>
    <w:rsid w:val="00DB21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17C"/>
    <w:pPr>
      <w:framePr w:wrap="auto" w:hAnchor="text" w:y="6049"/>
    </w:pPr>
    <w:rPr>
      <w:color w:val="000000"/>
      <w:sz w:val="40"/>
    </w:rPr>
  </w:style>
  <w:style w:type="paragraph" w:customStyle="1" w:styleId="TOCTitle">
    <w:name w:val="TOCTitle"/>
    <w:basedOn w:val="Heading1"/>
    <w:rsid w:val="00DB217C"/>
    <w:pPr>
      <w:spacing w:after="240"/>
      <w:jc w:val="center"/>
      <w:outlineLvl w:val="9"/>
    </w:pPr>
    <w:rPr>
      <w:caps/>
    </w:rPr>
  </w:style>
  <w:style w:type="paragraph" w:customStyle="1" w:styleId="Version">
    <w:name w:val="Version"/>
    <w:rsid w:val="00DB21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17C"/>
    <w:pPr>
      <w:numPr>
        <w:numId w:val="12"/>
      </w:numPr>
      <w:tabs>
        <w:tab w:val="clear" w:pos="680"/>
      </w:tabs>
    </w:pPr>
  </w:style>
  <w:style w:type="paragraph" w:styleId="Index1">
    <w:name w:val="index 1"/>
    <w:basedOn w:val="Normal"/>
    <w:next w:val="Normal"/>
    <w:semiHidden/>
    <w:rsid w:val="00DB217C"/>
    <w:pPr>
      <w:keepNext w:val="0"/>
      <w:tabs>
        <w:tab w:val="right" w:pos="4176"/>
      </w:tabs>
      <w:ind w:left="198" w:hanging="198"/>
    </w:pPr>
    <w:rPr>
      <w:rFonts w:ascii="Garamond" w:hAnsi="Garamond"/>
    </w:rPr>
  </w:style>
  <w:style w:type="paragraph" w:styleId="IndexHeading">
    <w:name w:val="index heading"/>
    <w:basedOn w:val="Normal"/>
    <w:next w:val="Index1"/>
    <w:semiHidden/>
    <w:rsid w:val="00DB217C"/>
    <w:pPr>
      <w:spacing w:before="120" w:after="120"/>
    </w:pPr>
    <w:rPr>
      <w:rFonts w:ascii="Arial" w:hAnsi="Arial"/>
      <w:b/>
      <w:color w:val="918585"/>
      <w:sz w:val="24"/>
    </w:rPr>
  </w:style>
  <w:style w:type="paragraph" w:styleId="Header">
    <w:name w:val="header"/>
    <w:basedOn w:val="Normal"/>
    <w:link w:val="HeaderChar"/>
    <w:rsid w:val="00DB21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17C"/>
    <w:rPr>
      <w:rFonts w:ascii="Times New Roman" w:eastAsia="Times New Roman" w:hAnsi="Times New Roman" w:cs="Times New Roman"/>
      <w:sz w:val="16"/>
      <w:szCs w:val="20"/>
      <w:lang w:val="en-GB" w:eastAsia="en-US"/>
    </w:rPr>
  </w:style>
  <w:style w:type="paragraph" w:customStyle="1" w:styleId="Chapter">
    <w:name w:val="Chapter"/>
    <w:basedOn w:val="Normal"/>
    <w:rsid w:val="00DB217C"/>
    <w:pPr>
      <w:spacing w:before="240"/>
    </w:pPr>
    <w:rPr>
      <w:rFonts w:ascii="Times New Roman" w:hAnsi="Times New Roman"/>
      <w:smallCaps/>
      <w:spacing w:val="80"/>
      <w:sz w:val="28"/>
    </w:rPr>
  </w:style>
  <w:style w:type="paragraph" w:customStyle="1" w:styleId="InChapter">
    <w:name w:val="InChapter"/>
    <w:basedOn w:val="Heading3"/>
    <w:rsid w:val="00DB217C"/>
    <w:pPr>
      <w:spacing w:after="240"/>
      <w:outlineLvl w:val="9"/>
    </w:pPr>
    <w:rPr>
      <w:noProof/>
    </w:rPr>
  </w:style>
  <w:style w:type="paragraph" w:styleId="Index2">
    <w:name w:val="index 2"/>
    <w:basedOn w:val="Normal"/>
    <w:next w:val="Normal"/>
    <w:semiHidden/>
    <w:rsid w:val="00DB217C"/>
    <w:pPr>
      <w:tabs>
        <w:tab w:val="right" w:pos="4176"/>
      </w:tabs>
      <w:ind w:left="568" w:hanging="284"/>
    </w:pPr>
    <w:rPr>
      <w:rFonts w:ascii="Garamond" w:hAnsi="Garamond"/>
    </w:rPr>
  </w:style>
  <w:style w:type="paragraph" w:customStyle="1" w:styleId="Byline">
    <w:name w:val="Byline"/>
    <w:rsid w:val="00DB21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17C"/>
    <w:pPr>
      <w:tabs>
        <w:tab w:val="clear" w:pos="3600"/>
        <w:tab w:val="clear" w:pos="3958"/>
      </w:tabs>
      <w:jc w:val="right"/>
    </w:pPr>
  </w:style>
  <w:style w:type="character" w:styleId="Emphasis">
    <w:name w:val="Emphasis"/>
    <w:basedOn w:val="DefaultParagraphFont"/>
    <w:qFormat/>
    <w:rsid w:val="00DB217C"/>
    <w:rPr>
      <w:i/>
    </w:rPr>
  </w:style>
  <w:style w:type="paragraph" w:styleId="Caption">
    <w:name w:val="caption"/>
    <w:basedOn w:val="BodyText"/>
    <w:next w:val="Normal"/>
    <w:qFormat/>
    <w:rsid w:val="00DB217C"/>
    <w:pPr>
      <w:framePr w:w="2268" w:hSpace="181" w:vSpace="181" w:wrap="around" w:vAnchor="text" w:hAnchor="page" w:x="1135" w:y="285" w:anchorLock="1"/>
    </w:pPr>
    <w:rPr>
      <w:i/>
    </w:rPr>
  </w:style>
  <w:style w:type="paragraph" w:customStyle="1" w:styleId="MiniTOCTitle">
    <w:name w:val="MiniTOCTitle"/>
    <w:basedOn w:val="Heading4"/>
    <w:rsid w:val="00DB217C"/>
    <w:pPr>
      <w:spacing w:before="240"/>
      <w:outlineLvl w:val="9"/>
    </w:pPr>
    <w:rPr>
      <w:noProof/>
      <w:sz w:val="24"/>
    </w:rPr>
  </w:style>
  <w:style w:type="paragraph" w:customStyle="1" w:styleId="MiniTOCItem">
    <w:name w:val="MiniTOCItem"/>
    <w:basedOn w:val="ListBullet"/>
    <w:rsid w:val="00DB217C"/>
    <w:pPr>
      <w:numPr>
        <w:numId w:val="0"/>
      </w:numPr>
      <w:tabs>
        <w:tab w:val="right" w:leader="dot" w:pos="6521"/>
      </w:tabs>
      <w:spacing w:before="0" w:after="0"/>
    </w:pPr>
  </w:style>
  <w:style w:type="paragraph" w:customStyle="1" w:styleId="TOFTitle">
    <w:name w:val="TOFTitle"/>
    <w:basedOn w:val="TOCTitle"/>
    <w:rsid w:val="00DB217C"/>
  </w:style>
  <w:style w:type="paragraph" w:styleId="TableofFigures">
    <w:name w:val="table of figures"/>
    <w:basedOn w:val="Normal"/>
    <w:next w:val="Normal"/>
    <w:semiHidden/>
    <w:rsid w:val="00DB217C"/>
    <w:pPr>
      <w:tabs>
        <w:tab w:val="right" w:leader="dot" w:pos="9072"/>
      </w:tabs>
      <w:ind w:left="970" w:hanging="403"/>
    </w:pPr>
    <w:rPr>
      <w:rFonts w:ascii="Times New Roman" w:hAnsi="Times New Roman"/>
      <w:b/>
    </w:rPr>
  </w:style>
  <w:style w:type="paragraph" w:styleId="ListNumber">
    <w:name w:val="List Number"/>
    <w:basedOn w:val="List"/>
    <w:rsid w:val="00DB217C"/>
    <w:pPr>
      <w:numPr>
        <w:numId w:val="14"/>
      </w:numPr>
      <w:tabs>
        <w:tab w:val="clear" w:pos="340"/>
      </w:tabs>
    </w:pPr>
  </w:style>
  <w:style w:type="character" w:customStyle="1" w:styleId="WingdingSymbols">
    <w:name w:val="Wingding Symbols"/>
    <w:rsid w:val="00DB217C"/>
    <w:rPr>
      <w:rFonts w:ascii="Wingdings" w:hAnsi="Wingdings"/>
    </w:rPr>
  </w:style>
  <w:style w:type="paragraph" w:customStyle="1" w:styleId="TableHeading">
    <w:name w:val="Table Heading"/>
    <w:basedOn w:val="HeadingBase"/>
    <w:rsid w:val="00DB217C"/>
    <w:pPr>
      <w:keepLines/>
      <w:pBdr>
        <w:bottom w:val="single" w:sz="6" w:space="1" w:color="918585"/>
      </w:pBdr>
      <w:spacing w:before="240"/>
    </w:pPr>
  </w:style>
  <w:style w:type="character" w:customStyle="1" w:styleId="HotSpot">
    <w:name w:val="HotSpot"/>
    <w:rsid w:val="00DB217C"/>
    <w:rPr>
      <w:color w:val="0033CC"/>
      <w:u w:val="none"/>
    </w:rPr>
  </w:style>
  <w:style w:type="paragraph" w:customStyle="1" w:styleId="BodyTextRight">
    <w:name w:val="Body Text Right"/>
    <w:basedOn w:val="BodyText"/>
    <w:rsid w:val="00DB217C"/>
    <w:pPr>
      <w:spacing w:before="0" w:after="0"/>
      <w:jc w:val="right"/>
    </w:pPr>
  </w:style>
  <w:style w:type="paragraph" w:styleId="Index3">
    <w:name w:val="index 3"/>
    <w:basedOn w:val="ListNumber2"/>
    <w:next w:val="Normal"/>
    <w:semiHidden/>
    <w:rsid w:val="00DB217C"/>
    <w:pPr>
      <w:numPr>
        <w:numId w:val="0"/>
      </w:numPr>
      <w:tabs>
        <w:tab w:val="right" w:leader="dot" w:pos="4176"/>
      </w:tabs>
    </w:pPr>
  </w:style>
  <w:style w:type="paragraph" w:styleId="ListNumber2">
    <w:name w:val="List Number 2"/>
    <w:basedOn w:val="List2"/>
    <w:rsid w:val="00DB217C"/>
    <w:pPr>
      <w:numPr>
        <w:numId w:val="9"/>
      </w:numPr>
      <w:tabs>
        <w:tab w:val="clear" w:pos="1060"/>
      </w:tabs>
    </w:pPr>
  </w:style>
  <w:style w:type="paragraph" w:customStyle="1" w:styleId="MarginNote">
    <w:name w:val="Margin Note"/>
    <w:basedOn w:val="BodyText"/>
    <w:rsid w:val="00DB21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1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1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17C"/>
    <w:rPr>
      <w:sz w:val="32"/>
    </w:rPr>
  </w:style>
  <w:style w:type="paragraph" w:customStyle="1" w:styleId="HeadingProcedure">
    <w:name w:val="Heading Procedure"/>
    <w:basedOn w:val="HeadingBase"/>
    <w:next w:val="Normal"/>
    <w:rsid w:val="00DB217C"/>
    <w:pPr>
      <w:tabs>
        <w:tab w:val="left" w:pos="0"/>
      </w:tabs>
      <w:spacing w:before="120" w:after="60"/>
    </w:pPr>
    <w:rPr>
      <w:i/>
      <w:color w:val="918585"/>
      <w:sz w:val="22"/>
    </w:rPr>
  </w:style>
  <w:style w:type="paragraph" w:customStyle="1" w:styleId="TableBodyText">
    <w:name w:val="Table Body Text"/>
    <w:basedOn w:val="BodyText"/>
    <w:rsid w:val="00DB217C"/>
    <w:pPr>
      <w:spacing w:before="60" w:after="60"/>
    </w:pPr>
  </w:style>
  <w:style w:type="paragraph" w:styleId="ListContinue">
    <w:name w:val="List Continue"/>
    <w:basedOn w:val="List"/>
    <w:rsid w:val="00DB217C"/>
    <w:pPr>
      <w:ind w:firstLine="0"/>
    </w:pPr>
  </w:style>
  <w:style w:type="paragraph" w:customStyle="1" w:styleId="ListNote">
    <w:name w:val="List Note"/>
    <w:basedOn w:val="List"/>
    <w:rsid w:val="00DB217C"/>
    <w:pPr>
      <w:pBdr>
        <w:top w:val="single" w:sz="6" w:space="2" w:color="918585"/>
        <w:bottom w:val="single" w:sz="6" w:space="2" w:color="918585"/>
      </w:pBdr>
      <w:tabs>
        <w:tab w:val="left" w:pos="1021"/>
      </w:tabs>
      <w:ind w:firstLine="0"/>
    </w:pPr>
  </w:style>
  <w:style w:type="paragraph" w:customStyle="1" w:styleId="Warning">
    <w:name w:val="Warning"/>
    <w:basedOn w:val="BodyText"/>
    <w:rsid w:val="00DB217C"/>
    <w:pPr>
      <w:shd w:val="clear" w:color="auto" w:fill="D9D9D9"/>
      <w:tabs>
        <w:tab w:val="left" w:pos="992"/>
      </w:tabs>
      <w:ind w:left="119" w:right="119"/>
    </w:pPr>
    <w:rPr>
      <w:sz w:val="20"/>
    </w:rPr>
  </w:style>
  <w:style w:type="paragraph" w:customStyle="1" w:styleId="MarginIcons">
    <w:name w:val="Margin Icons"/>
    <w:basedOn w:val="BodyText"/>
    <w:rsid w:val="00DB21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17C"/>
    <w:rPr>
      <w:rFonts w:ascii="Courier New" w:hAnsi="Courier New"/>
    </w:rPr>
  </w:style>
  <w:style w:type="paragraph" w:customStyle="1" w:styleId="NoteBullet">
    <w:name w:val="Note Bullet"/>
    <w:basedOn w:val="Note"/>
    <w:rsid w:val="00DB217C"/>
    <w:pPr>
      <w:tabs>
        <w:tab w:val="clear" w:pos="680"/>
      </w:tabs>
      <w:spacing w:before="60" w:after="60"/>
    </w:pPr>
  </w:style>
  <w:style w:type="paragraph" w:customStyle="1" w:styleId="SubHeading2">
    <w:name w:val="SubHeading2"/>
    <w:basedOn w:val="HeadingBase"/>
    <w:rsid w:val="00DB217C"/>
    <w:pPr>
      <w:spacing w:before="240" w:after="60"/>
    </w:pPr>
    <w:rPr>
      <w:sz w:val="20"/>
    </w:rPr>
  </w:style>
  <w:style w:type="paragraph" w:customStyle="1" w:styleId="SubHeading1">
    <w:name w:val="SubHeading1"/>
    <w:basedOn w:val="HeadingBase"/>
    <w:rsid w:val="00DB217C"/>
    <w:pPr>
      <w:spacing w:before="240" w:after="60"/>
    </w:pPr>
    <w:rPr>
      <w:color w:val="918585"/>
      <w:sz w:val="22"/>
    </w:rPr>
  </w:style>
  <w:style w:type="paragraph" w:customStyle="1" w:styleId="SideHeading">
    <w:name w:val="Side Heading"/>
    <w:basedOn w:val="HeadingBase"/>
    <w:rsid w:val="00DB21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17C"/>
    <w:pPr>
      <w:numPr>
        <w:numId w:val="10"/>
      </w:numPr>
    </w:pPr>
  </w:style>
  <w:style w:type="paragraph" w:styleId="PlainText">
    <w:name w:val="Plain Text"/>
    <w:basedOn w:val="Normal"/>
    <w:link w:val="PlainTextChar"/>
    <w:rsid w:val="00DB217C"/>
    <w:rPr>
      <w:sz w:val="20"/>
    </w:rPr>
  </w:style>
  <w:style w:type="character" w:customStyle="1" w:styleId="PlainTextChar">
    <w:name w:val="Plain Text Char"/>
    <w:basedOn w:val="DefaultParagraphFont"/>
    <w:link w:val="PlainText"/>
    <w:rsid w:val="00DB217C"/>
    <w:rPr>
      <w:rFonts w:ascii="Courier New" w:eastAsia="Times New Roman" w:hAnsi="Courier New" w:cs="Times New Roman"/>
      <w:sz w:val="20"/>
      <w:szCs w:val="20"/>
      <w:lang w:eastAsia="en-US"/>
    </w:rPr>
  </w:style>
  <w:style w:type="character" w:customStyle="1" w:styleId="MenuOption">
    <w:name w:val="Menu Option"/>
    <w:basedOn w:val="DefaultParagraphFont"/>
    <w:rsid w:val="00DB217C"/>
    <w:rPr>
      <w:b/>
      <w:smallCaps/>
    </w:rPr>
  </w:style>
  <w:style w:type="paragraph" w:customStyle="1" w:styleId="TableListNumber">
    <w:name w:val="Table List Number"/>
    <w:basedOn w:val="ListNumber"/>
    <w:rsid w:val="00DB217C"/>
    <w:pPr>
      <w:numPr>
        <w:numId w:val="0"/>
      </w:numPr>
    </w:pPr>
  </w:style>
  <w:style w:type="paragraph" w:styleId="TOC4">
    <w:name w:val="toc 4"/>
    <w:basedOn w:val="TOCBase"/>
    <w:next w:val="Normal"/>
    <w:semiHidden/>
    <w:rsid w:val="00DB217C"/>
    <w:pPr>
      <w:tabs>
        <w:tab w:val="right" w:leader="dot" w:pos="9071"/>
      </w:tabs>
      <w:ind w:left="1701"/>
    </w:pPr>
  </w:style>
  <w:style w:type="paragraph" w:customStyle="1" w:styleId="ListAlpha">
    <w:name w:val="List Alpha"/>
    <w:basedOn w:val="List"/>
    <w:rsid w:val="00DB217C"/>
    <w:pPr>
      <w:numPr>
        <w:numId w:val="8"/>
      </w:numPr>
    </w:pPr>
  </w:style>
  <w:style w:type="paragraph" w:customStyle="1" w:styleId="ListAlpha2">
    <w:name w:val="List Alpha 2"/>
    <w:basedOn w:val="List2"/>
    <w:rsid w:val="00DB217C"/>
    <w:pPr>
      <w:numPr>
        <w:numId w:val="7"/>
      </w:numPr>
    </w:pPr>
  </w:style>
  <w:style w:type="paragraph" w:styleId="List2">
    <w:name w:val="List 2"/>
    <w:basedOn w:val="BodyText"/>
    <w:rsid w:val="00DB217C"/>
    <w:pPr>
      <w:tabs>
        <w:tab w:val="left" w:pos="680"/>
      </w:tabs>
      <w:spacing w:before="60" w:after="60"/>
      <w:ind w:left="680" w:hanging="340"/>
    </w:pPr>
  </w:style>
  <w:style w:type="paragraph" w:styleId="List3">
    <w:name w:val="List 3"/>
    <w:basedOn w:val="BodyText"/>
    <w:rsid w:val="00DB217C"/>
    <w:pPr>
      <w:tabs>
        <w:tab w:val="left" w:pos="1021"/>
      </w:tabs>
      <w:spacing w:before="60" w:after="60"/>
      <w:ind w:left="1020" w:hanging="340"/>
    </w:pPr>
  </w:style>
  <w:style w:type="paragraph" w:styleId="List4">
    <w:name w:val="List 4"/>
    <w:basedOn w:val="BodyText"/>
    <w:rsid w:val="00DB217C"/>
    <w:pPr>
      <w:tabs>
        <w:tab w:val="left" w:pos="1361"/>
      </w:tabs>
      <w:spacing w:before="60" w:after="60"/>
      <w:ind w:left="1361" w:hanging="340"/>
    </w:pPr>
  </w:style>
  <w:style w:type="paragraph" w:styleId="List5">
    <w:name w:val="List 5"/>
    <w:basedOn w:val="BodyText"/>
    <w:rsid w:val="00DB217C"/>
    <w:pPr>
      <w:tabs>
        <w:tab w:val="left" w:pos="1701"/>
      </w:tabs>
      <w:spacing w:before="60" w:after="60"/>
      <w:ind w:left="1701" w:hanging="340"/>
    </w:pPr>
  </w:style>
  <w:style w:type="paragraph" w:styleId="ListBullet3">
    <w:name w:val="List Bullet 3"/>
    <w:basedOn w:val="List3"/>
    <w:rsid w:val="00DB217C"/>
    <w:pPr>
      <w:numPr>
        <w:numId w:val="13"/>
      </w:numPr>
      <w:tabs>
        <w:tab w:val="clear" w:pos="1021"/>
      </w:tabs>
      <w:ind w:left="1037" w:hanging="357"/>
    </w:pPr>
  </w:style>
  <w:style w:type="paragraph" w:styleId="ListBullet4">
    <w:name w:val="List Bullet 4"/>
    <w:basedOn w:val="List4"/>
    <w:rsid w:val="00DB217C"/>
    <w:pPr>
      <w:numPr>
        <w:numId w:val="2"/>
      </w:numPr>
      <w:tabs>
        <w:tab w:val="clear" w:pos="1361"/>
      </w:tabs>
    </w:pPr>
  </w:style>
  <w:style w:type="paragraph" w:styleId="ListBullet5">
    <w:name w:val="List Bullet 5"/>
    <w:basedOn w:val="List5"/>
    <w:rsid w:val="00DB217C"/>
    <w:pPr>
      <w:numPr>
        <w:numId w:val="3"/>
      </w:numPr>
    </w:pPr>
  </w:style>
  <w:style w:type="paragraph" w:styleId="ListContinue2">
    <w:name w:val="List Continue 2"/>
    <w:basedOn w:val="List2"/>
    <w:rsid w:val="00DB217C"/>
    <w:pPr>
      <w:ind w:firstLine="0"/>
    </w:pPr>
  </w:style>
  <w:style w:type="paragraph" w:styleId="ListContinue3">
    <w:name w:val="List Continue 3"/>
    <w:basedOn w:val="List3"/>
    <w:rsid w:val="00DB217C"/>
    <w:pPr>
      <w:ind w:left="1021" w:firstLine="0"/>
    </w:pPr>
  </w:style>
  <w:style w:type="paragraph" w:styleId="ListContinue4">
    <w:name w:val="List Continue 4"/>
    <w:basedOn w:val="List4"/>
    <w:rsid w:val="00DB217C"/>
    <w:pPr>
      <w:ind w:firstLine="0"/>
    </w:pPr>
  </w:style>
  <w:style w:type="paragraph" w:styleId="ListContinue5">
    <w:name w:val="List Continue 5"/>
    <w:basedOn w:val="List5"/>
    <w:rsid w:val="00DB217C"/>
    <w:pPr>
      <w:ind w:firstLine="0"/>
    </w:pPr>
  </w:style>
  <w:style w:type="paragraph" w:styleId="ListNumber3">
    <w:name w:val="List Number 3"/>
    <w:basedOn w:val="List3"/>
    <w:rsid w:val="00DB217C"/>
    <w:pPr>
      <w:numPr>
        <w:numId w:val="4"/>
      </w:numPr>
    </w:pPr>
  </w:style>
  <w:style w:type="paragraph" w:styleId="ListNumber4">
    <w:name w:val="List Number 4"/>
    <w:basedOn w:val="List4"/>
    <w:rsid w:val="00DB217C"/>
    <w:pPr>
      <w:numPr>
        <w:numId w:val="5"/>
      </w:numPr>
    </w:pPr>
  </w:style>
  <w:style w:type="paragraph" w:styleId="ListNumber5">
    <w:name w:val="List Number 5"/>
    <w:basedOn w:val="List5"/>
    <w:rsid w:val="00DB217C"/>
    <w:pPr>
      <w:numPr>
        <w:numId w:val="6"/>
      </w:numPr>
    </w:pPr>
  </w:style>
  <w:style w:type="paragraph" w:styleId="BlockText">
    <w:name w:val="Block Text"/>
    <w:basedOn w:val="Normal"/>
    <w:rsid w:val="00DB217C"/>
    <w:pPr>
      <w:spacing w:after="120"/>
      <w:ind w:left="1440" w:right="1440"/>
    </w:pPr>
  </w:style>
  <w:style w:type="character" w:customStyle="1" w:styleId="Subscript">
    <w:name w:val="Subscript"/>
    <w:basedOn w:val="DefaultParagraphFont"/>
    <w:rsid w:val="00DB217C"/>
    <w:rPr>
      <w:sz w:val="16"/>
      <w:vertAlign w:val="subscript"/>
    </w:rPr>
  </w:style>
  <w:style w:type="character" w:customStyle="1" w:styleId="Superscript">
    <w:name w:val="Superscript"/>
    <w:basedOn w:val="DefaultParagraphFont"/>
    <w:rsid w:val="00DB217C"/>
    <w:rPr>
      <w:sz w:val="16"/>
      <w:vertAlign w:val="superscript"/>
    </w:rPr>
  </w:style>
  <w:style w:type="character" w:customStyle="1" w:styleId="Symbols">
    <w:name w:val="Symbols"/>
    <w:basedOn w:val="DefaultParagraphFont"/>
    <w:rsid w:val="00DB217C"/>
    <w:rPr>
      <w:rFonts w:ascii="Symbol" w:hAnsi="Symbol"/>
    </w:rPr>
  </w:style>
  <w:style w:type="character" w:customStyle="1" w:styleId="MenuOptions">
    <w:name w:val="Menu Options"/>
    <w:basedOn w:val="DefaultParagraphFont"/>
    <w:rsid w:val="00DB217C"/>
    <w:rPr>
      <w:rFonts w:ascii="Arial Narrow" w:hAnsi="Arial Narrow"/>
      <w:smallCaps/>
    </w:rPr>
  </w:style>
  <w:style w:type="character" w:customStyle="1" w:styleId="Buttons">
    <w:name w:val="Buttons"/>
    <w:basedOn w:val="DefaultParagraphFont"/>
    <w:rsid w:val="00DB217C"/>
    <w:rPr>
      <w:b/>
    </w:rPr>
  </w:style>
  <w:style w:type="character" w:customStyle="1" w:styleId="Underlined">
    <w:name w:val="Underlined"/>
    <w:basedOn w:val="DefaultParagraphFont"/>
    <w:rsid w:val="00DB217C"/>
    <w:rPr>
      <w:u w:val="single"/>
    </w:rPr>
  </w:style>
  <w:style w:type="paragraph" w:customStyle="1" w:styleId="TableBodyTextRight">
    <w:name w:val="Table Body Text Right"/>
    <w:basedOn w:val="TableBodyText"/>
    <w:rsid w:val="00DB217C"/>
    <w:pPr>
      <w:widowControl w:val="0"/>
      <w:autoSpaceDE w:val="0"/>
      <w:autoSpaceDN w:val="0"/>
      <w:adjustRightInd w:val="0"/>
      <w:jc w:val="right"/>
    </w:pPr>
    <w:rPr>
      <w:rFonts w:cs="Arial"/>
      <w:szCs w:val="18"/>
    </w:rPr>
  </w:style>
  <w:style w:type="paragraph" w:customStyle="1" w:styleId="CopyrightText">
    <w:name w:val="Copyright Text"/>
    <w:basedOn w:val="BodyText"/>
    <w:rsid w:val="00DB217C"/>
    <w:rPr>
      <w:sz w:val="18"/>
    </w:rPr>
  </w:style>
  <w:style w:type="paragraph" w:customStyle="1" w:styleId="BodySmallRight">
    <w:name w:val="Body Small Right"/>
    <w:basedOn w:val="BodyTextRight"/>
    <w:rsid w:val="00DB217C"/>
    <w:rPr>
      <w:sz w:val="18"/>
      <w:szCs w:val="18"/>
    </w:rPr>
  </w:style>
  <w:style w:type="paragraph" w:customStyle="1" w:styleId="MarginEdition">
    <w:name w:val="Margin Edition"/>
    <w:basedOn w:val="MarginNote"/>
    <w:rsid w:val="00DB217C"/>
    <w:pPr>
      <w:spacing w:before="0" w:after="0"/>
    </w:pPr>
    <w:rPr>
      <w:rFonts w:ascii="Times New Roman" w:hAnsi="Times New Roman"/>
      <w:color w:val="999999"/>
    </w:rPr>
  </w:style>
  <w:style w:type="paragraph" w:customStyle="1" w:styleId="Spacer">
    <w:name w:val="Spacer"/>
    <w:basedOn w:val="Normal"/>
    <w:rsid w:val="00DB217C"/>
    <w:rPr>
      <w:sz w:val="2"/>
      <w:szCs w:val="2"/>
    </w:rPr>
  </w:style>
  <w:style w:type="character" w:customStyle="1" w:styleId="Small">
    <w:name w:val="Small"/>
    <w:basedOn w:val="DefaultParagraphFont"/>
    <w:rsid w:val="00DB217C"/>
    <w:rPr>
      <w:sz w:val="16"/>
    </w:rPr>
  </w:style>
  <w:style w:type="paragraph" w:customStyle="1" w:styleId="WideTable">
    <w:name w:val="Wide Table"/>
    <w:basedOn w:val="Normal"/>
    <w:rsid w:val="00DB217C"/>
    <w:pPr>
      <w:ind w:left="-1418"/>
    </w:pPr>
    <w:rPr>
      <w:sz w:val="2"/>
      <w:szCs w:val="2"/>
    </w:rPr>
  </w:style>
  <w:style w:type="character" w:styleId="PageNumber">
    <w:name w:val="page number"/>
    <w:basedOn w:val="DefaultParagraphFont"/>
    <w:rsid w:val="00DB217C"/>
  </w:style>
  <w:style w:type="paragraph" w:styleId="Quote">
    <w:name w:val="Quote"/>
    <w:basedOn w:val="Heading1"/>
    <w:link w:val="QuoteChar"/>
    <w:qFormat/>
    <w:rsid w:val="00DB217C"/>
    <w:rPr>
      <w:b w:val="0"/>
      <w:sz w:val="72"/>
      <w:szCs w:val="72"/>
      <w:lang w:val="en-NZ"/>
    </w:rPr>
  </w:style>
  <w:style w:type="character" w:customStyle="1" w:styleId="QuoteChar">
    <w:name w:val="Quote Char"/>
    <w:basedOn w:val="DefaultParagraphFont"/>
    <w:link w:val="Quote"/>
    <w:rsid w:val="00DB21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17C"/>
    <w:pPr>
      <w:pageBreakBefore/>
    </w:pPr>
  </w:style>
  <w:style w:type="paragraph" w:customStyle="1" w:styleId="Border">
    <w:name w:val="Border"/>
    <w:basedOn w:val="Normal"/>
    <w:qFormat/>
    <w:rsid w:val="00DB21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17C"/>
    <w:rPr>
      <w:b/>
      <w:bCs/>
      <w:i/>
      <w:iCs/>
      <w:color w:val="auto"/>
    </w:rPr>
  </w:style>
  <w:style w:type="paragraph" w:styleId="IntenseQuote">
    <w:name w:val="Intense Quote"/>
    <w:basedOn w:val="Normal"/>
    <w:next w:val="Normal"/>
    <w:link w:val="IntenseQuoteChar"/>
    <w:uiPriority w:val="30"/>
    <w:qFormat/>
    <w:rsid w:val="00DB21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1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17C"/>
    <w:rPr>
      <w:smallCaps/>
      <w:color w:val="auto"/>
      <w:u w:val="single"/>
    </w:rPr>
  </w:style>
  <w:style w:type="character" w:styleId="IntenseReference">
    <w:name w:val="Intense Reference"/>
    <w:basedOn w:val="DefaultParagraphFont"/>
    <w:uiPriority w:val="32"/>
    <w:qFormat/>
    <w:rsid w:val="00DB217C"/>
    <w:rPr>
      <w:b/>
      <w:bCs/>
      <w:smallCaps/>
      <w:color w:val="auto"/>
      <w:spacing w:val="5"/>
      <w:u w:val="single"/>
    </w:rPr>
  </w:style>
  <w:style w:type="paragraph" w:customStyle="1" w:styleId="2ColumnHeading">
    <w:name w:val="2Column Heading"/>
    <w:basedOn w:val="BodyText"/>
    <w:qFormat/>
    <w:rsid w:val="00DB217C"/>
    <w:pPr>
      <w:spacing w:after="60"/>
      <w:ind w:left="-2268"/>
    </w:pPr>
    <w:rPr>
      <w:b/>
    </w:rPr>
  </w:style>
  <w:style w:type="paragraph" w:customStyle="1" w:styleId="Heading1TOC">
    <w:name w:val="Heading1 TOC"/>
    <w:basedOn w:val="Normal"/>
    <w:qFormat/>
    <w:rsid w:val="00DB217C"/>
    <w:pPr>
      <w:spacing w:before="240" w:after="120"/>
    </w:pPr>
    <w:rPr>
      <w:rFonts w:ascii="Times New Roman" w:hAnsi="Times New Roman"/>
      <w:b/>
      <w:sz w:val="32"/>
    </w:rPr>
  </w:style>
  <w:style w:type="paragraph" w:customStyle="1" w:styleId="Heading2TOC">
    <w:name w:val="Heading2 TOC"/>
    <w:basedOn w:val="Normal"/>
    <w:qFormat/>
    <w:rsid w:val="00DB217C"/>
    <w:pPr>
      <w:spacing w:before="240" w:after="60"/>
    </w:pPr>
    <w:rPr>
      <w:rFonts w:ascii="Times New Roman" w:hAnsi="Times New Roman"/>
      <w:b/>
      <w:sz w:val="28"/>
    </w:rPr>
  </w:style>
  <w:style w:type="character" w:customStyle="1" w:styleId="Underline">
    <w:name w:val="Underline"/>
    <w:basedOn w:val="DefaultParagraphFont"/>
    <w:qFormat/>
    <w:rsid w:val="00DB217C"/>
    <w:rPr>
      <w:u w:val="single"/>
    </w:rPr>
  </w:style>
  <w:style w:type="character" w:customStyle="1" w:styleId="BoldandItalics">
    <w:name w:val="Bold and Italics"/>
    <w:qFormat/>
    <w:rsid w:val="00DB217C"/>
    <w:rPr>
      <w:b/>
      <w:i/>
      <w:u w:val="none"/>
    </w:rPr>
  </w:style>
  <w:style w:type="paragraph" w:styleId="BalloonText">
    <w:name w:val="Balloon Text"/>
    <w:basedOn w:val="Normal"/>
    <w:link w:val="BalloonTextChar"/>
    <w:rsid w:val="00DB217C"/>
    <w:rPr>
      <w:rFonts w:ascii="Tahoma" w:hAnsi="Tahoma" w:cs="Tahoma"/>
      <w:sz w:val="16"/>
      <w:szCs w:val="16"/>
    </w:rPr>
  </w:style>
  <w:style w:type="character" w:customStyle="1" w:styleId="BalloonTextChar">
    <w:name w:val="Balloon Text Char"/>
    <w:basedOn w:val="DefaultParagraphFont"/>
    <w:link w:val="BalloonText"/>
    <w:rsid w:val="00DB21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1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1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17C"/>
    <w:rPr>
      <w:b/>
      <w:color w:val="660033"/>
      <w:spacing w:val="0"/>
    </w:rPr>
  </w:style>
  <w:style w:type="paragraph" w:customStyle="1" w:styleId="Nameditemlist">
    <w:name w:val="Named item list"/>
    <w:basedOn w:val="BodyText"/>
    <w:qFormat/>
    <w:rsid w:val="00DB217C"/>
    <w:pPr>
      <w:tabs>
        <w:tab w:val="left" w:pos="2835"/>
      </w:tabs>
      <w:ind w:left="2835" w:hanging="2835"/>
    </w:pPr>
  </w:style>
  <w:style w:type="paragraph" w:customStyle="1" w:styleId="BodyTextnopadding">
    <w:name w:val="Body Text no padding"/>
    <w:basedOn w:val="BodyText"/>
    <w:qFormat/>
    <w:rsid w:val="00DB217C"/>
    <w:pPr>
      <w:spacing w:before="0" w:after="0"/>
    </w:pPr>
  </w:style>
  <w:style w:type="paragraph" w:customStyle="1" w:styleId="BodyTextBold">
    <w:name w:val="Body Text Bold"/>
    <w:basedOn w:val="BodyText"/>
    <w:qFormat/>
    <w:rsid w:val="00DB217C"/>
    <w:rPr>
      <w:b/>
    </w:rPr>
  </w:style>
  <w:style w:type="character" w:styleId="Hyperlink">
    <w:name w:val="Hyperlink"/>
    <w:basedOn w:val="DefaultParagraphFont"/>
    <w:uiPriority w:val="99"/>
    <w:unhideWhenUsed/>
    <w:rsid w:val="00102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512</Words>
  <Characters>3217</Characters>
  <Application>Microsoft Office Word</Application>
  <DocSecurity>0</DocSecurity>
  <Lines>139</Lines>
  <Paragraphs>82</Paragraphs>
  <ScaleCrop>false</ScaleCrop>
  <Company>Author-it Software Corporation Ltd.</Company>
  <LinksUpToDate>false</LinksUpToDate>
  <CharactersWithSpaces>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DEFEXO063 Operate a large quantity explosives facility</dc:title>
  <dc:subject>Approved</dc:subject>
  <dc:creator>Public Skills Australia</dc:creator>
  <cp:keywords>Release: 2</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