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67AD" w:rsidP="005167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DEFEXO062 Operate a small quantity explosives facility</w:t>
      </w:r>
      <w:r>
        <w:fldChar w:fldCharType="end"/>
      </w:r>
    </w:p>
    <w:p w:rsidR="005167AD" w:rsidP="005167AD">
      <w:pPr>
        <w:pStyle w:val="Version"/>
        <w:sectPr w:rsidSect="008504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504E7" w:rsidP="008504E7">
      <w:pPr>
        <w:pStyle w:val="SuperHeading"/>
      </w:pPr>
      <w:r w:rsidRPr="008504E7">
        <w:t>DEFEXO062 Operate a small quantity explosives facility</w:t>
      </w:r>
    </w:p>
    <w:p w:rsidR="00000000" w:rsidRPr="008504E7" w:rsidP="008504E7">
      <w:pPr>
        <w:pStyle w:val="Heading1"/>
      </w:pPr>
      <w:bookmarkStart w:id="1" w:name="O_1097563"/>
      <w:bookmarkEnd w:id="1"/>
      <w:r w:rsidRPr="008504E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0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E7">
            <w:pPr>
              <w:pStyle w:val="BodyText"/>
              <w:rPr>
                <w:lang w:val="en-NZ"/>
              </w:rPr>
            </w:pPr>
            <w:r w:rsidRPr="008504E7">
              <w:t>Release 2. Modifications made to Foundation Skills and Assessment Conditions.</w:t>
            </w:r>
          </w:p>
        </w:tc>
      </w:tr>
      <w:tr w:rsidTr="00850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E7" w:rsidP="008504E7">
            <w:pPr>
              <w:pStyle w:val="BodyText"/>
            </w:pPr>
            <w:r w:rsidRPr="008504E7">
              <w:t>Release 1. This unit was released in DEF Defence Training Package release 1.0 and meets the Standards for Training Packages.</w:t>
            </w:r>
          </w:p>
          <w:p w:rsidR="00000000" w:rsidRPr="008504E7" w:rsidP="008504E7">
            <w:pPr>
              <w:pStyle w:val="BodyText"/>
            </w:pPr>
            <w:r w:rsidRPr="008504E7">
              <w:t>This unit sup</w:t>
            </w:r>
            <w:r w:rsidRPr="008504E7">
              <w:t>ersedes and is equivalent to DEFEO216A Operate a small quantity explosives facility.</w:t>
            </w:r>
          </w:p>
          <w:p w:rsidR="00000000" w:rsidRPr="008504E7" w:rsidP="008504E7">
            <w:pPr>
              <w:pStyle w:val="ListBullet"/>
            </w:pPr>
            <w:r w:rsidRPr="008504E7">
              <w:t>Unit code updated</w:t>
            </w:r>
          </w:p>
          <w:p w:rsidR="00000000" w:rsidRPr="008504E7" w:rsidP="008504E7">
            <w:pPr>
              <w:pStyle w:val="ListBullet"/>
            </w:pPr>
            <w:r w:rsidRPr="008504E7">
              <w:t>Content and formatting updated to comply with the new standards</w:t>
            </w:r>
          </w:p>
          <w:p w:rsidR="00000000" w:rsidRPr="008504E7" w:rsidP="008504E7">
            <w:pPr>
              <w:pStyle w:val="ListBullet"/>
            </w:pPr>
            <w:r w:rsidRPr="008504E7">
              <w:t>All PC transitioned from passive to active voice</w:t>
            </w:r>
          </w:p>
          <w:p w:rsidR="00000000" w:rsidRPr="008504E7" w:rsidP="008504E7">
            <w:pPr>
              <w:pStyle w:val="ListBullet"/>
            </w:pPr>
            <w:r w:rsidRPr="008504E7">
              <w:t>Unit title changed to better reflect un</w:t>
            </w:r>
            <w:r w:rsidRPr="008504E7">
              <w:t>it outcomes</w:t>
            </w:r>
          </w:p>
          <w:p w:rsidR="00000000" w:rsidRPr="008504E7" w:rsidP="008504E7">
            <w:pPr>
              <w:pStyle w:val="ListBullet"/>
            </w:pPr>
            <w:r w:rsidRPr="008504E7">
              <w:t>PC 1.2, 2.2 and 2.4 removed</w:t>
            </w:r>
          </w:p>
          <w:p w:rsidR="00000000" w:rsidRPr="008504E7" w:rsidP="008504E7">
            <w:pPr>
              <w:pStyle w:val="ListBullet"/>
            </w:pPr>
            <w:r w:rsidRPr="008504E7">
              <w:t>PC 1.3, 2.3 and 2.6 reworded</w:t>
            </w:r>
          </w:p>
          <w:p w:rsidR="00000000" w:rsidRPr="008504E7" w:rsidP="008504E7">
            <w:pPr>
              <w:pStyle w:val="ListBullet"/>
            </w:pPr>
            <w:r w:rsidRPr="008504E7">
              <w:t>Element 2 one new PC</w:t>
            </w:r>
          </w:p>
        </w:tc>
      </w:tr>
    </w:tbl>
    <w:p w:rsidR="005167AD" w:rsidP="008504E7">
      <w:pPr>
        <w:pStyle w:val="NoPaddingFontSize1"/>
      </w:pPr>
    </w:p>
    <w:p w:rsidR="005167AD" w:rsidP="008504E7">
      <w:pPr>
        <w:pStyle w:val="NoPaddingFontSize1"/>
      </w:pPr>
    </w:p>
    <w:p w:rsidR="00000000" w:rsidRPr="008504E7" w:rsidP="008504E7">
      <w:pPr>
        <w:pStyle w:val="Heading1"/>
      </w:pPr>
      <w:bookmarkStart w:id="2" w:name="O_1097562"/>
      <w:bookmarkEnd w:id="2"/>
      <w:r w:rsidRPr="008504E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0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E7" w:rsidP="008504E7">
            <w:pPr>
              <w:pStyle w:val="BodyText"/>
            </w:pPr>
            <w:r w:rsidRPr="008504E7">
              <w:t>No licensing, legislative or certification requirements apply to this unit at the time of publication.</w:t>
            </w:r>
          </w:p>
          <w:p w:rsidR="00000000" w:rsidRPr="008504E7" w:rsidP="008504E7">
            <w:pPr>
              <w:pStyle w:val="BodyText"/>
            </w:pPr>
            <w:r w:rsidRPr="008504E7">
              <w:t>This unit describes the skills required to operate a storage facility licensed to contain a small quantity of explosive ordnance. This includes conforming to the facility licence, calculating net explosive quantity, applying compatibility constraints, ensu</w:t>
            </w:r>
            <w:r w:rsidRPr="008504E7">
              <w:t>ring package sealing requirements are applied and maintaining a range of documentation.</w:t>
            </w:r>
          </w:p>
          <w:p w:rsidR="00000000" w:rsidRPr="008504E7" w:rsidP="008504E7">
            <w:pPr>
              <w:pStyle w:val="BodyText"/>
            </w:pPr>
            <w:r w:rsidRPr="008504E7">
              <w:t>This unit applies to those required to operate a small quantity explosives facility.</w:t>
            </w:r>
          </w:p>
          <w:p w:rsidR="00000000" w:rsidRPr="008504E7" w:rsidP="008504E7">
            <w:pPr>
              <w:pStyle w:val="BodyText"/>
            </w:pPr>
            <w:r w:rsidRPr="008504E7">
              <w:t>The skills and knowledge described in this unit must be applied within the legislat</w:t>
            </w:r>
            <w:r w:rsidRPr="008504E7">
              <w:t>ive, regulatory and policy environment in which they are carried out. Organisational policies and procedures must be consulted and adhered to.</w:t>
            </w:r>
          </w:p>
          <w:p w:rsidR="00000000" w:rsidRPr="008504E7" w:rsidP="008504E7">
            <w:pPr>
              <w:pStyle w:val="BodyText"/>
            </w:pPr>
            <w:r w:rsidRPr="008504E7">
              <w:t>Those undertaking this unit would work independently and as part of a team, under direct and/or indirect supervis</w:t>
            </w:r>
            <w:r w:rsidRPr="008504E7">
              <w:t>ion, use discretion and judgement, and take responsibility for the quality of their output. They would perform specific tasks in a broad range of contexts.</w:t>
            </w:r>
          </w:p>
          <w:p w:rsidR="00000000" w:rsidRPr="008504E7" w:rsidP="008504E7">
            <w:pPr>
              <w:pStyle w:val="BodyText"/>
            </w:pPr>
            <w:r w:rsidRPr="008504E7">
              <w:t>No licensing, legislative or certification requirements apply to unit at the time of publication.</w:t>
            </w:r>
          </w:p>
        </w:tc>
      </w:tr>
    </w:tbl>
    <w:p w:rsidR="005167AD" w:rsidP="008504E7">
      <w:pPr>
        <w:pStyle w:val="NoPaddingFontSize1"/>
      </w:pPr>
    </w:p>
    <w:p w:rsidR="005167AD" w:rsidP="008504E7">
      <w:pPr>
        <w:pStyle w:val="NoPaddingFontSize1"/>
      </w:pPr>
    </w:p>
    <w:p w:rsidR="00000000" w:rsidRPr="008504E7" w:rsidP="008504E7">
      <w:pPr>
        <w:pStyle w:val="Heading1"/>
      </w:pPr>
      <w:bookmarkStart w:id="3" w:name="O_1101443"/>
      <w:bookmarkEnd w:id="3"/>
      <w:r w:rsidRPr="008504E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0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E7" w:rsidP="008504E7">
            <w:pPr>
              <w:pStyle w:val="BodyText"/>
            </w:pPr>
            <w:r w:rsidRPr="008504E7">
              <w:t>Not applicable.</w:t>
            </w:r>
          </w:p>
        </w:tc>
      </w:tr>
    </w:tbl>
    <w:p w:rsidR="005167AD" w:rsidP="008504E7">
      <w:pPr>
        <w:pStyle w:val="NoPaddingFontSize1"/>
      </w:pPr>
    </w:p>
    <w:p w:rsidR="005167AD" w:rsidP="008504E7">
      <w:pPr>
        <w:pStyle w:val="NoPaddingFontSize1"/>
      </w:pPr>
    </w:p>
    <w:p w:rsidR="00000000" w:rsidRPr="008504E7" w:rsidP="008504E7">
      <w:pPr>
        <w:pStyle w:val="Heading1"/>
      </w:pPr>
      <w:bookmarkStart w:id="4" w:name="O_1097561"/>
      <w:bookmarkEnd w:id="4"/>
      <w:r w:rsidRPr="008504E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0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E7" w:rsidP="008504E7">
            <w:pPr>
              <w:pStyle w:val="BodyText"/>
            </w:pPr>
            <w:r w:rsidRPr="008504E7">
              <w:t>Explosive Ordnance</w:t>
            </w:r>
          </w:p>
        </w:tc>
      </w:tr>
    </w:tbl>
    <w:p w:rsidR="005167AD" w:rsidP="008504E7">
      <w:pPr>
        <w:pStyle w:val="NoPaddingFontSize1"/>
      </w:pPr>
    </w:p>
    <w:p w:rsidR="005167AD" w:rsidP="008504E7">
      <w:pPr>
        <w:pStyle w:val="NoPaddingFontSize1"/>
      </w:pPr>
    </w:p>
    <w:p w:rsidR="00000000" w:rsidRPr="008504E7" w:rsidP="008504E7">
      <w:pPr>
        <w:pStyle w:val="Heading1"/>
      </w:pPr>
      <w:bookmarkStart w:id="5" w:name="O_1101444"/>
      <w:bookmarkEnd w:id="5"/>
      <w:r w:rsidRPr="008504E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0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E7" w:rsidP="008504E7">
            <w:pPr>
              <w:pStyle w:val="BodyText"/>
            </w:pPr>
            <w:r w:rsidRPr="008504E7">
              <w:t>Not applicable.</w:t>
            </w:r>
          </w:p>
        </w:tc>
      </w:tr>
    </w:tbl>
    <w:p w:rsidR="005167AD" w:rsidP="008504E7">
      <w:pPr>
        <w:pStyle w:val="NoPaddingFontSize1"/>
      </w:pPr>
    </w:p>
    <w:p w:rsidR="005167AD" w:rsidP="008504E7">
      <w:pPr>
        <w:pStyle w:val="NoPaddingFontSize1"/>
      </w:pPr>
    </w:p>
    <w:p w:rsidR="00000000" w:rsidRPr="008504E7" w:rsidP="008504E7">
      <w:pPr>
        <w:pStyle w:val="Heading1"/>
      </w:pPr>
      <w:bookmarkStart w:id="6" w:name="O_1097560"/>
      <w:bookmarkEnd w:id="6"/>
      <w:r w:rsidRPr="008504E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50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E7" w:rsidP="008504E7">
            <w:pPr>
              <w:pStyle w:val="BodyText"/>
            </w:pPr>
            <w:r w:rsidRPr="008504E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E7">
            <w:pPr>
              <w:pStyle w:val="BodyText"/>
              <w:rPr>
                <w:lang w:val="en-NZ"/>
              </w:rPr>
            </w:pPr>
            <w:r w:rsidRPr="008504E7">
              <w:rPr>
                <w:rStyle w:val="SpecialBold"/>
              </w:rPr>
              <w:t>PERFORMANCE CRITERIA</w:t>
            </w:r>
          </w:p>
        </w:tc>
      </w:tr>
      <w:tr w:rsidTr="00850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E7">
            <w:pPr>
              <w:pStyle w:val="BodyText"/>
              <w:rPr>
                <w:lang w:val="en-NZ"/>
              </w:rPr>
            </w:pPr>
            <w:r w:rsidRPr="008504E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E7">
            <w:pPr>
              <w:pStyle w:val="BodyText"/>
              <w:rPr>
                <w:lang w:val="en-NZ"/>
              </w:rPr>
            </w:pPr>
            <w:r w:rsidRPr="008504E7">
              <w:t>Performance criteria describe the performance needed to demonstrate achievement of the element.</w:t>
            </w:r>
          </w:p>
        </w:tc>
      </w:tr>
      <w:tr w:rsidTr="00850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E7" w:rsidP="008504E7">
            <w:pPr>
              <w:pStyle w:val="BodyText"/>
            </w:pPr>
            <w:r w:rsidRPr="008504E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E7" w:rsidP="008504E7">
            <w:pPr>
              <w:pStyle w:val="BodyText"/>
            </w:pPr>
            <w:r w:rsidRPr="008504E7">
              <w:rPr>
                <w:rStyle w:val="SpecialBold"/>
              </w:rPr>
              <w:t>Confirm requirements of a small quantity facility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E7">
            <w:pPr>
              <w:pStyle w:val="BodyText"/>
              <w:rPr>
                <w:lang w:val="en-NZ"/>
              </w:rPr>
            </w:pPr>
            <w:r w:rsidRPr="008504E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E7">
            <w:pPr>
              <w:pStyle w:val="BodyText"/>
              <w:rPr>
                <w:lang w:val="en-NZ"/>
              </w:rPr>
            </w:pPr>
            <w:r w:rsidRPr="008504E7">
              <w:t>Identify small quantity facility requirements</w:t>
            </w:r>
          </w:p>
        </w:tc>
      </w:tr>
      <w:tr w:rsidTr="00850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E7">
            <w:pPr>
              <w:pStyle w:val="BodyText"/>
              <w:rPr>
                <w:lang w:val="en-NZ"/>
              </w:rPr>
            </w:pPr>
            <w:r w:rsidRPr="008504E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E7">
            <w:pPr>
              <w:pStyle w:val="BodyText"/>
              <w:rPr>
                <w:lang w:val="en-NZ"/>
              </w:rPr>
            </w:pPr>
            <w:r w:rsidRPr="008504E7">
              <w:t>Manage facility in accordance with explosive limit licences</w:t>
            </w:r>
          </w:p>
        </w:tc>
      </w:tr>
      <w:tr w:rsidTr="00850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E7">
            <w:pPr>
              <w:pStyle w:val="BodyText"/>
              <w:rPr>
                <w:lang w:val="en-NZ"/>
              </w:rPr>
            </w:pPr>
            <w:r w:rsidRPr="008504E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E7">
            <w:pPr>
              <w:pStyle w:val="BodyText"/>
              <w:rPr>
                <w:lang w:val="en-NZ"/>
              </w:rPr>
            </w:pPr>
            <w:r w:rsidRPr="008504E7">
              <w:t>Develop and display approved storage plans</w:t>
            </w:r>
          </w:p>
        </w:tc>
      </w:tr>
      <w:tr w:rsidTr="00850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E7" w:rsidP="008504E7">
            <w:pPr>
              <w:pStyle w:val="BodyText"/>
            </w:pPr>
            <w:r w:rsidRPr="008504E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E7" w:rsidP="008504E7">
            <w:pPr>
              <w:pStyle w:val="BodyText"/>
            </w:pPr>
            <w:r w:rsidRPr="008504E7">
              <w:rPr>
                <w:rStyle w:val="SpecialBold"/>
              </w:rPr>
              <w:t>Operate the facility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E7">
            <w:pPr>
              <w:pStyle w:val="BodyText"/>
              <w:rPr>
                <w:lang w:val="en-NZ"/>
              </w:rPr>
            </w:pPr>
            <w:r w:rsidRPr="008504E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E7">
            <w:pPr>
              <w:pStyle w:val="BodyText"/>
              <w:rPr>
                <w:lang w:val="en-NZ"/>
              </w:rPr>
            </w:pPr>
            <w:r w:rsidRPr="008504E7">
              <w:t>Identify, calculate, confirm and apply net explosive quantities and compatibility throughout the operation</w:t>
            </w:r>
          </w:p>
        </w:tc>
      </w:tr>
      <w:tr w:rsidTr="00850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E7">
            <w:pPr>
              <w:pStyle w:val="BodyText"/>
              <w:rPr>
                <w:lang w:val="en-NZ"/>
              </w:rPr>
            </w:pPr>
            <w:r w:rsidRPr="008504E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E7">
            <w:pPr>
              <w:pStyle w:val="BodyText"/>
              <w:rPr>
                <w:lang w:val="en-NZ"/>
              </w:rPr>
            </w:pPr>
            <w:r w:rsidRPr="008504E7">
              <w:t>Confirm authorised packages, seals and marks comply with organisational requirements</w:t>
            </w:r>
          </w:p>
        </w:tc>
      </w:tr>
      <w:tr w:rsidTr="00850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E7">
            <w:pPr>
              <w:pStyle w:val="BodyText"/>
              <w:rPr>
                <w:lang w:val="en-NZ"/>
              </w:rPr>
            </w:pPr>
            <w:r w:rsidRPr="008504E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E7">
            <w:pPr>
              <w:pStyle w:val="BodyText"/>
              <w:rPr>
                <w:lang w:val="en-NZ"/>
              </w:rPr>
            </w:pPr>
            <w:r w:rsidRPr="008504E7">
              <w:t>Issue and receipt items held in a small quantity facility</w:t>
            </w:r>
          </w:p>
        </w:tc>
      </w:tr>
      <w:tr w:rsidTr="00850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E7">
            <w:pPr>
              <w:pStyle w:val="BodyText"/>
              <w:rPr>
                <w:lang w:val="en-NZ"/>
              </w:rPr>
            </w:pPr>
            <w:r w:rsidRPr="008504E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E7">
            <w:pPr>
              <w:pStyle w:val="BodyText"/>
              <w:rPr>
                <w:lang w:val="en-NZ"/>
              </w:rPr>
            </w:pPr>
            <w:r w:rsidRPr="008504E7">
              <w:t>Display hazard divisions including applicable supplementary fire symbols</w:t>
            </w:r>
          </w:p>
        </w:tc>
      </w:tr>
      <w:tr w:rsidTr="00850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E7">
            <w:pPr>
              <w:pStyle w:val="BodyText"/>
              <w:rPr>
                <w:lang w:val="en-NZ"/>
              </w:rPr>
            </w:pPr>
            <w:r w:rsidRPr="008504E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E7">
            <w:pPr>
              <w:pStyle w:val="BodyText"/>
              <w:rPr>
                <w:lang w:val="en-NZ"/>
              </w:rPr>
            </w:pPr>
            <w:r w:rsidRPr="008504E7">
              <w:t>Interpret emergency procedure specific for the facility and apply contingency plans</w:t>
            </w:r>
          </w:p>
        </w:tc>
      </w:tr>
      <w:tr w:rsidTr="00850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E7">
            <w:pPr>
              <w:pStyle w:val="BodyText"/>
              <w:rPr>
                <w:lang w:val="en-NZ"/>
              </w:rPr>
            </w:pPr>
            <w:r w:rsidRPr="008504E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E7">
            <w:pPr>
              <w:pStyle w:val="BodyText"/>
              <w:rPr>
                <w:lang w:val="en-NZ"/>
              </w:rPr>
            </w:pPr>
            <w:r w:rsidRPr="008504E7">
              <w:t>Monitor explosive license limit during operations using authorised record systems</w:t>
            </w:r>
          </w:p>
        </w:tc>
      </w:tr>
      <w:tr w:rsidTr="00850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E7" w:rsidP="008504E7">
            <w:pPr>
              <w:pStyle w:val="BodyText"/>
            </w:pPr>
            <w:r w:rsidRPr="008504E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E7" w:rsidP="008504E7">
            <w:pPr>
              <w:pStyle w:val="BodyText"/>
            </w:pPr>
            <w:r w:rsidRPr="008504E7">
              <w:rPr>
                <w:rStyle w:val="SpecialBold"/>
              </w:rPr>
              <w:t>Maintain facility operating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E7">
            <w:pPr>
              <w:pStyle w:val="BodyText"/>
              <w:rPr>
                <w:lang w:val="en-NZ"/>
              </w:rPr>
            </w:pPr>
            <w:r w:rsidRPr="008504E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E7">
            <w:pPr>
              <w:pStyle w:val="BodyText"/>
              <w:rPr>
                <w:lang w:val="en-NZ"/>
              </w:rPr>
            </w:pPr>
            <w:r w:rsidRPr="008504E7">
              <w:t>Ensure serviceability of equipment and tools</w:t>
            </w:r>
          </w:p>
        </w:tc>
      </w:tr>
      <w:tr w:rsidTr="00850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E7">
            <w:pPr>
              <w:pStyle w:val="BodyText"/>
              <w:rPr>
                <w:lang w:val="en-NZ"/>
              </w:rPr>
            </w:pPr>
            <w:r w:rsidRPr="008504E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E7">
            <w:pPr>
              <w:pStyle w:val="BodyText"/>
              <w:rPr>
                <w:lang w:val="en-NZ"/>
              </w:rPr>
            </w:pPr>
            <w:r w:rsidRPr="008504E7">
              <w:t>Ensure housekeeping procedures are adhered to</w:t>
            </w:r>
          </w:p>
        </w:tc>
      </w:tr>
      <w:tr w:rsidTr="00850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E7">
            <w:pPr>
              <w:pStyle w:val="BodyText"/>
              <w:rPr>
                <w:lang w:val="en-NZ"/>
              </w:rPr>
            </w:pPr>
            <w:r w:rsidRPr="008504E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E7" w:rsidP="008504E7">
            <w:pPr>
              <w:pStyle w:val="BodyText"/>
            </w:pPr>
            <w:r w:rsidRPr="008504E7">
              <w:t>Maintain documentation and records</w:t>
            </w:r>
          </w:p>
        </w:tc>
      </w:tr>
    </w:tbl>
    <w:p w:rsidR="005167AD" w:rsidP="008504E7">
      <w:pPr>
        <w:pStyle w:val="NoPaddingFontSize1"/>
      </w:pPr>
    </w:p>
    <w:p w:rsidR="005167AD" w:rsidP="008504E7">
      <w:pPr>
        <w:pStyle w:val="NoPaddingFontSize1"/>
      </w:pPr>
    </w:p>
    <w:p w:rsidR="00000000" w:rsidRPr="008504E7" w:rsidP="008504E7">
      <w:pPr>
        <w:pStyle w:val="Heading1"/>
      </w:pPr>
      <w:bookmarkStart w:id="7" w:name="O_1097559"/>
      <w:bookmarkEnd w:id="7"/>
      <w:r w:rsidRPr="008504E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0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E7" w:rsidP="008504E7">
            <w:pPr>
              <w:pStyle w:val="BodyText"/>
            </w:pPr>
            <w:r w:rsidRPr="008504E7">
              <w:t>Foundation skills essential to performance are explicit in the performance criteria of this unit of competency.</w:t>
            </w:r>
          </w:p>
        </w:tc>
      </w:tr>
    </w:tbl>
    <w:p w:rsidR="005167AD" w:rsidP="008504E7">
      <w:pPr>
        <w:pStyle w:val="NoPaddingFontSize1"/>
      </w:pPr>
    </w:p>
    <w:p w:rsidR="005167AD" w:rsidP="008504E7">
      <w:pPr>
        <w:pStyle w:val="NoPaddingFontSize1"/>
      </w:pPr>
    </w:p>
    <w:p w:rsidR="00000000" w:rsidRPr="008504E7" w:rsidP="008504E7">
      <w:pPr>
        <w:pStyle w:val="Heading1"/>
      </w:pPr>
      <w:bookmarkStart w:id="8" w:name="O_1101445"/>
      <w:bookmarkEnd w:id="8"/>
      <w:r w:rsidRPr="008504E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0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E7" w:rsidP="008504E7">
            <w:pPr>
              <w:pStyle w:val="BodyText"/>
            </w:pPr>
            <w:r w:rsidRPr="008504E7">
              <w:t>Range is restricted to essential operating conditions and any other variables essential to the work en</w:t>
            </w:r>
            <w:r w:rsidRPr="008504E7">
              <w:t>vironment.</w:t>
            </w:r>
          </w:p>
          <w:p w:rsidR="00000000" w:rsidRPr="008504E7" w:rsidP="008504E7">
            <w:pPr>
              <w:pStyle w:val="BodyText"/>
            </w:pPr>
            <w:r w:rsidRPr="008504E7">
              <w:t>Non-essential conditions may be found in the Companion Volume Implementation Guide.</w:t>
            </w:r>
          </w:p>
        </w:tc>
      </w:tr>
    </w:tbl>
    <w:p w:rsidR="005167AD" w:rsidP="008504E7">
      <w:pPr>
        <w:pStyle w:val="NoPaddingFontSize1"/>
      </w:pPr>
    </w:p>
    <w:p w:rsidR="005167AD" w:rsidP="008504E7">
      <w:pPr>
        <w:pStyle w:val="NoPaddingFontSize1"/>
      </w:pPr>
    </w:p>
    <w:p w:rsidR="00000000" w:rsidRPr="008504E7" w:rsidP="008504E7">
      <w:pPr>
        <w:pStyle w:val="Heading1"/>
      </w:pPr>
      <w:bookmarkStart w:id="9" w:name="O_1097558"/>
      <w:bookmarkEnd w:id="9"/>
      <w:r w:rsidRPr="008504E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0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E7" w:rsidP="008504E7">
            <w:pPr>
              <w:pStyle w:val="BodyText"/>
            </w:pPr>
            <w:r w:rsidRPr="008504E7">
              <w:t>This unit supersedes and is equivalent to DEFEO216A Operate a small quantity explosives facility.</w:t>
            </w:r>
          </w:p>
        </w:tc>
      </w:tr>
    </w:tbl>
    <w:p w:rsidR="005167AD" w:rsidP="008504E7">
      <w:pPr>
        <w:pStyle w:val="NoPaddingFontSize1"/>
      </w:pPr>
    </w:p>
    <w:p w:rsidR="005167AD" w:rsidP="008504E7">
      <w:pPr>
        <w:pStyle w:val="NoPaddingFontSize1"/>
      </w:pPr>
    </w:p>
    <w:p w:rsidR="00000000" w:rsidRPr="008504E7" w:rsidP="008504E7">
      <w:pPr>
        <w:pStyle w:val="Heading1"/>
      </w:pPr>
      <w:bookmarkStart w:id="10" w:name="O_1097564"/>
      <w:bookmarkEnd w:id="10"/>
      <w:r w:rsidRPr="008504E7">
        <w:t>Links</w:t>
      </w:r>
    </w:p>
    <w:p w:rsidR="00000000" w:rsidRPr="008504E7" w:rsidP="005167AD">
      <w:pPr>
        <w:pStyle w:val="BodyText"/>
      </w:pPr>
      <w:r w:rsidRPr="008504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C57D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504E7" w:rsidP="008504E7"/>
    <w:sectPr w:rsidSect="008504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4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4E7" w:rsidRPr="005167AD" w:rsidP="005167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4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7AD" w:rsidP="008504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67AD" w:rsidP="008504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167AD" w:rsidP="008504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4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7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04E7" w:rsidRPr="005167AD" w:rsidP="005167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4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7AD" w:rsidRPr="002D2AF8" w:rsidP="008504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DEFEXO062 Operate a small quantity explosives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5167AD" w:rsidP="008504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B83A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E02D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4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04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04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04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04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04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04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04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04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04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04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04E7"/>
  </w:style>
  <w:style w:type="character" w:customStyle="1" w:styleId="Heading1Char">
    <w:name w:val="Heading 1 Char"/>
    <w:basedOn w:val="DefaultParagraphFont"/>
    <w:link w:val="Heading1"/>
    <w:rsid w:val="008504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04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04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04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04E7"/>
    <w:rPr>
      <w:b/>
      <w:spacing w:val="0"/>
    </w:rPr>
  </w:style>
  <w:style w:type="paragraph" w:customStyle="1" w:styleId="SuperHeading">
    <w:name w:val="SuperHeading"/>
    <w:basedOn w:val="Normal"/>
    <w:rsid w:val="008504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04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504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04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04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04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04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04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04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04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04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04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04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04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04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04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04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04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04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04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04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04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04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04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04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04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04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04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04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04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04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04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04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04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04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04E7"/>
    <w:rPr>
      <w:i/>
    </w:rPr>
  </w:style>
  <w:style w:type="paragraph" w:styleId="Caption">
    <w:name w:val="caption"/>
    <w:basedOn w:val="BodyText"/>
    <w:next w:val="Normal"/>
    <w:qFormat/>
    <w:rsid w:val="008504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04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04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04E7"/>
  </w:style>
  <w:style w:type="paragraph" w:styleId="TableofFigures">
    <w:name w:val="table of figures"/>
    <w:basedOn w:val="Normal"/>
    <w:next w:val="Normal"/>
    <w:semiHidden/>
    <w:rsid w:val="008504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04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04E7"/>
    <w:rPr>
      <w:rFonts w:ascii="Wingdings" w:hAnsi="Wingdings"/>
    </w:rPr>
  </w:style>
  <w:style w:type="paragraph" w:customStyle="1" w:styleId="TableHeading">
    <w:name w:val="Table Heading"/>
    <w:basedOn w:val="HeadingBase"/>
    <w:rsid w:val="008504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04E7"/>
    <w:rPr>
      <w:color w:val="0033CC"/>
      <w:u w:val="none"/>
    </w:rPr>
  </w:style>
  <w:style w:type="paragraph" w:customStyle="1" w:styleId="BodyTextRight">
    <w:name w:val="Body Text Right"/>
    <w:basedOn w:val="BodyText"/>
    <w:rsid w:val="008504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04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04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04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04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04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04E7"/>
    <w:rPr>
      <w:sz w:val="32"/>
    </w:rPr>
  </w:style>
  <w:style w:type="paragraph" w:customStyle="1" w:styleId="HeadingProcedure">
    <w:name w:val="Heading Procedure"/>
    <w:basedOn w:val="HeadingBase"/>
    <w:next w:val="Normal"/>
    <w:rsid w:val="008504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04E7"/>
    <w:pPr>
      <w:spacing w:before="60" w:after="60"/>
    </w:pPr>
  </w:style>
  <w:style w:type="paragraph" w:styleId="ListContinue">
    <w:name w:val="List Continue"/>
    <w:basedOn w:val="List"/>
    <w:rsid w:val="008504E7"/>
    <w:pPr>
      <w:ind w:firstLine="0"/>
    </w:pPr>
  </w:style>
  <w:style w:type="paragraph" w:customStyle="1" w:styleId="ListNote">
    <w:name w:val="List Note"/>
    <w:basedOn w:val="List"/>
    <w:rsid w:val="008504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04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04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04E7"/>
    <w:rPr>
      <w:rFonts w:ascii="Courier New" w:hAnsi="Courier New"/>
    </w:rPr>
  </w:style>
  <w:style w:type="paragraph" w:customStyle="1" w:styleId="NoteBullet">
    <w:name w:val="Note Bullet"/>
    <w:basedOn w:val="Note"/>
    <w:rsid w:val="008504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04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04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04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04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04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04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04E7"/>
    <w:rPr>
      <w:b/>
      <w:smallCaps/>
    </w:rPr>
  </w:style>
  <w:style w:type="paragraph" w:customStyle="1" w:styleId="TableListNumber">
    <w:name w:val="Table List Number"/>
    <w:basedOn w:val="ListNumber"/>
    <w:rsid w:val="008504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04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04E7"/>
    <w:pPr>
      <w:numPr>
        <w:numId w:val="8"/>
      </w:numPr>
    </w:pPr>
  </w:style>
  <w:style w:type="paragraph" w:customStyle="1" w:styleId="ListAlpha2">
    <w:name w:val="List Alpha 2"/>
    <w:basedOn w:val="List2"/>
    <w:rsid w:val="008504E7"/>
    <w:pPr>
      <w:numPr>
        <w:numId w:val="7"/>
      </w:numPr>
    </w:pPr>
  </w:style>
  <w:style w:type="paragraph" w:styleId="List2">
    <w:name w:val="List 2"/>
    <w:basedOn w:val="BodyText"/>
    <w:rsid w:val="008504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04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04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04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04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04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04E7"/>
    <w:pPr>
      <w:numPr>
        <w:numId w:val="3"/>
      </w:numPr>
    </w:pPr>
  </w:style>
  <w:style w:type="paragraph" w:styleId="ListContinue2">
    <w:name w:val="List Continue 2"/>
    <w:basedOn w:val="List2"/>
    <w:rsid w:val="008504E7"/>
    <w:pPr>
      <w:ind w:firstLine="0"/>
    </w:pPr>
  </w:style>
  <w:style w:type="paragraph" w:styleId="ListContinue3">
    <w:name w:val="List Continue 3"/>
    <w:basedOn w:val="List3"/>
    <w:rsid w:val="008504E7"/>
    <w:pPr>
      <w:ind w:left="1021" w:firstLine="0"/>
    </w:pPr>
  </w:style>
  <w:style w:type="paragraph" w:styleId="ListContinue4">
    <w:name w:val="List Continue 4"/>
    <w:basedOn w:val="List4"/>
    <w:rsid w:val="008504E7"/>
    <w:pPr>
      <w:ind w:firstLine="0"/>
    </w:pPr>
  </w:style>
  <w:style w:type="paragraph" w:styleId="ListContinue5">
    <w:name w:val="List Continue 5"/>
    <w:basedOn w:val="List5"/>
    <w:rsid w:val="008504E7"/>
    <w:pPr>
      <w:ind w:firstLine="0"/>
    </w:pPr>
  </w:style>
  <w:style w:type="paragraph" w:styleId="ListNumber3">
    <w:name w:val="List Number 3"/>
    <w:basedOn w:val="List3"/>
    <w:rsid w:val="008504E7"/>
    <w:pPr>
      <w:numPr>
        <w:numId w:val="4"/>
      </w:numPr>
    </w:pPr>
  </w:style>
  <w:style w:type="paragraph" w:styleId="ListNumber4">
    <w:name w:val="List Number 4"/>
    <w:basedOn w:val="List4"/>
    <w:rsid w:val="008504E7"/>
    <w:pPr>
      <w:numPr>
        <w:numId w:val="5"/>
      </w:numPr>
    </w:pPr>
  </w:style>
  <w:style w:type="paragraph" w:styleId="ListNumber5">
    <w:name w:val="List Number 5"/>
    <w:basedOn w:val="List5"/>
    <w:rsid w:val="008504E7"/>
    <w:pPr>
      <w:numPr>
        <w:numId w:val="6"/>
      </w:numPr>
    </w:pPr>
  </w:style>
  <w:style w:type="paragraph" w:styleId="BlockText">
    <w:name w:val="Block Text"/>
    <w:basedOn w:val="Normal"/>
    <w:rsid w:val="008504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04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04E7"/>
    <w:rPr>
      <w:sz w:val="16"/>
      <w:vertAlign w:val="superscript"/>
    </w:rPr>
  </w:style>
  <w:style w:type="character" w:customStyle="1" w:styleId="Symbols">
    <w:name w:val="Symbols"/>
    <w:basedOn w:val="DefaultParagraphFont"/>
    <w:rsid w:val="008504E7"/>
    <w:rPr>
      <w:rFonts w:ascii="Symbol" w:hAnsi="Symbol"/>
    </w:rPr>
  </w:style>
  <w:style w:type="character" w:customStyle="1" w:styleId="MenuOptions">
    <w:name w:val="Menu Options"/>
    <w:basedOn w:val="DefaultParagraphFont"/>
    <w:rsid w:val="008504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04E7"/>
    <w:rPr>
      <w:b/>
    </w:rPr>
  </w:style>
  <w:style w:type="character" w:customStyle="1" w:styleId="Underlined">
    <w:name w:val="Underlined"/>
    <w:basedOn w:val="DefaultParagraphFont"/>
    <w:rsid w:val="008504E7"/>
    <w:rPr>
      <w:u w:val="single"/>
    </w:rPr>
  </w:style>
  <w:style w:type="paragraph" w:customStyle="1" w:styleId="TableBodyTextRight">
    <w:name w:val="Table Body Text Right"/>
    <w:basedOn w:val="TableBodyText"/>
    <w:rsid w:val="008504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04E7"/>
    <w:rPr>
      <w:sz w:val="18"/>
    </w:rPr>
  </w:style>
  <w:style w:type="paragraph" w:customStyle="1" w:styleId="BodySmallRight">
    <w:name w:val="Body Small Right"/>
    <w:basedOn w:val="BodyTextRight"/>
    <w:rsid w:val="008504E7"/>
    <w:rPr>
      <w:sz w:val="18"/>
      <w:szCs w:val="18"/>
    </w:rPr>
  </w:style>
  <w:style w:type="paragraph" w:customStyle="1" w:styleId="MarginEdition">
    <w:name w:val="Margin Edition"/>
    <w:basedOn w:val="MarginNote"/>
    <w:rsid w:val="008504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04E7"/>
    <w:rPr>
      <w:sz w:val="2"/>
      <w:szCs w:val="2"/>
    </w:rPr>
  </w:style>
  <w:style w:type="character" w:customStyle="1" w:styleId="Small">
    <w:name w:val="Small"/>
    <w:basedOn w:val="DefaultParagraphFont"/>
    <w:rsid w:val="008504E7"/>
    <w:rPr>
      <w:sz w:val="16"/>
    </w:rPr>
  </w:style>
  <w:style w:type="paragraph" w:customStyle="1" w:styleId="WideTable">
    <w:name w:val="Wide Table"/>
    <w:basedOn w:val="Normal"/>
    <w:rsid w:val="008504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04E7"/>
  </w:style>
  <w:style w:type="paragraph" w:styleId="Quote">
    <w:name w:val="Quote"/>
    <w:basedOn w:val="Heading1"/>
    <w:link w:val="QuoteChar"/>
    <w:qFormat/>
    <w:rsid w:val="008504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04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04E7"/>
    <w:pPr>
      <w:pageBreakBefore/>
    </w:pPr>
  </w:style>
  <w:style w:type="paragraph" w:customStyle="1" w:styleId="Border">
    <w:name w:val="Border"/>
    <w:basedOn w:val="Normal"/>
    <w:qFormat/>
    <w:rsid w:val="008504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04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4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4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04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04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04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04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04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04E7"/>
    <w:rPr>
      <w:u w:val="single"/>
    </w:rPr>
  </w:style>
  <w:style w:type="character" w:customStyle="1" w:styleId="BoldandItalics">
    <w:name w:val="Bold and Italics"/>
    <w:qFormat/>
    <w:rsid w:val="008504E7"/>
    <w:rPr>
      <w:b/>
      <w:i/>
      <w:u w:val="none"/>
    </w:rPr>
  </w:style>
  <w:style w:type="paragraph" w:styleId="BalloonText">
    <w:name w:val="Balloon Text"/>
    <w:basedOn w:val="Normal"/>
    <w:link w:val="BalloonTextChar"/>
    <w:rsid w:val="008504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04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04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04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04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04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04E7"/>
    <w:pPr>
      <w:spacing w:before="0" w:after="0"/>
    </w:pPr>
  </w:style>
  <w:style w:type="paragraph" w:customStyle="1" w:styleId="BodyTextBold">
    <w:name w:val="Body Text Bold"/>
    <w:basedOn w:val="BodyText"/>
    <w:qFormat/>
    <w:rsid w:val="008504E7"/>
    <w:rPr>
      <w:b/>
    </w:rPr>
  </w:style>
  <w:style w:type="character" w:styleId="Hyperlink">
    <w:name w:val="Hyperlink"/>
    <w:basedOn w:val="DefaultParagraphFont"/>
    <w:uiPriority w:val="99"/>
    <w:unhideWhenUsed/>
    <w:rsid w:val="005167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541</Words>
  <Characters>3383</Characters>
  <Application>Microsoft Office Word</Application>
  <DocSecurity>0</DocSecurity>
  <Lines>140</Lines>
  <Paragraphs>87</Paragraphs>
  <ScaleCrop>false</ScaleCrop>
  <Company>Author-it Software Corporation Ltd.</Company>
  <LinksUpToDate>false</LinksUpToDate>
  <CharactersWithSpaces>3837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DEFEXO062 Operate a small quantity explosives facility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2024-11-07T11:20:00Z</dcterms:created>
  <dcterms:modified xsi:type="dcterms:W3CDTF">2024-11-07T11:20:00Z</dcterms:modified>
</cp:coreProperties>
</file>