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142" w:rsidP="00EF5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DEFEXO022 Fuze and defuze explosive ordnance</w:t>
      </w:r>
      <w:r>
        <w:fldChar w:fldCharType="end"/>
      </w:r>
    </w:p>
    <w:p w:rsidR="00EF5142" w:rsidP="00EF5142">
      <w:pPr>
        <w:pStyle w:val="Version"/>
        <w:sectPr w:rsidSect="003E3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E352A" w:rsidP="003E352A">
      <w:pPr>
        <w:pStyle w:val="SuperHeading"/>
      </w:pPr>
      <w:r w:rsidRPr="003E352A">
        <w:t>DEFEXO022 Fuze and defuze explosive ordnance</w:t>
      </w:r>
    </w:p>
    <w:p w:rsidR="00000000" w:rsidRPr="003E352A" w:rsidP="003E352A">
      <w:pPr>
        <w:pStyle w:val="Heading1"/>
      </w:pPr>
      <w:bookmarkStart w:id="1" w:name="O_1282902"/>
      <w:bookmarkEnd w:id="1"/>
      <w:r w:rsidRPr="003E35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Release 3. Assessment Conditions clarified in relation to simulation being an assessment option.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Release 2. Modifications made to Foundation Skills and Assessment Conditions.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 xml:space="preserve">Release 1. This unit was released in DEF Defence </w:t>
            </w:r>
            <w:r w:rsidRPr="003E352A">
              <w:t>Training Package release 1.0 and meets the Standards for Training Packages.</w:t>
            </w:r>
          </w:p>
          <w:p w:rsidR="00000000" w:rsidRPr="003E352A" w:rsidP="003E352A">
            <w:pPr>
              <w:pStyle w:val="BodyText"/>
            </w:pPr>
            <w:r w:rsidRPr="003E352A">
              <w:t>This unit supersedes and is equivalent to DEFEO506D Fuze and defuze explosive ordnance.</w:t>
            </w:r>
          </w:p>
          <w:p w:rsidR="00000000" w:rsidRPr="003E352A" w:rsidP="003E352A">
            <w:pPr>
              <w:pStyle w:val="ListBullet"/>
            </w:pPr>
            <w:r w:rsidRPr="003E352A">
              <w:t>Unit code updated</w:t>
            </w:r>
          </w:p>
          <w:p w:rsidR="00000000" w:rsidRPr="003E352A" w:rsidP="003E352A">
            <w:pPr>
              <w:pStyle w:val="ListBullet"/>
            </w:pPr>
            <w:r w:rsidRPr="003E352A">
              <w:t>Content and formatting updated to comply with the new standards</w:t>
            </w:r>
          </w:p>
          <w:p w:rsidR="00000000" w:rsidRPr="003E352A" w:rsidP="003E352A">
            <w:pPr>
              <w:pStyle w:val="ListBullet"/>
            </w:pPr>
            <w:r w:rsidRPr="003E352A">
              <w:t>All PC tr</w:t>
            </w:r>
            <w:r w:rsidRPr="003E352A">
              <w:t>ansitioned from passive to active voice</w:t>
            </w:r>
          </w:p>
          <w:p w:rsidR="00000000" w:rsidRPr="003E352A" w:rsidP="003E352A">
            <w:pPr>
              <w:pStyle w:val="ListBullet"/>
            </w:pPr>
            <w:r w:rsidRPr="003E352A">
              <w:t>PC 1.2 and 4.1 removed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2" w:name="O_1282901"/>
      <w:bookmarkEnd w:id="2"/>
      <w:r w:rsidRPr="003E35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This unit describes the skills required to remove and replace fuzes in explosive ordnance. Removing and replacing fuzes may be required during arming and de-arming operations, for inspection, testing, maintenance, prior to issue and on return from issue.</w:t>
            </w:r>
          </w:p>
          <w:p w:rsidR="00000000" w:rsidRPr="003E352A" w:rsidP="003E352A">
            <w:pPr>
              <w:pStyle w:val="BodyText"/>
            </w:pPr>
            <w:r w:rsidRPr="003E352A">
              <w:t>T</w:t>
            </w:r>
            <w:r w:rsidRPr="003E352A">
              <w:t>his unit applies to those required to remove and replace fuzes in explosive ordnance.</w:t>
            </w:r>
          </w:p>
          <w:p w:rsidR="00000000" w:rsidRPr="003E352A" w:rsidP="003E352A">
            <w:pPr>
              <w:pStyle w:val="BodyText"/>
            </w:pPr>
            <w:r w:rsidRPr="003E352A">
              <w:t>The skills and knowledge described in this unit must be applied within the legislative, regulatory and policy environment in which they are carried out. Organisational po</w:t>
            </w:r>
            <w:r w:rsidRPr="003E352A">
              <w:t>licies and procedures must be consulted and adhered to.</w:t>
            </w:r>
          </w:p>
          <w:p w:rsidR="00000000" w:rsidRPr="003E352A" w:rsidP="003E352A">
            <w:pPr>
              <w:pStyle w:val="BodyText"/>
            </w:pPr>
            <w:r w:rsidRPr="003E352A">
              <w:t>Those undertaking this unit would work independently and as part of a team, under direct and/or indirect supervision, use discretion and judgement, and take responsibility for the quality of their out</w:t>
            </w:r>
            <w:r w:rsidRPr="003E352A">
              <w:t>put. They would perform specific tasks in a broad range of contexts.</w:t>
            </w:r>
          </w:p>
          <w:p w:rsidR="00000000" w:rsidRPr="003E352A" w:rsidP="003E352A">
            <w:pPr>
              <w:pStyle w:val="BodyText"/>
            </w:pPr>
            <w:r w:rsidRPr="003E352A">
              <w:t>No licensing, legislative or certification requirements apply to unit at the time of publication.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3" w:name="O_1282900"/>
      <w:bookmarkEnd w:id="3"/>
      <w:r w:rsidRPr="003E35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Not applicable.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4" w:name="O_1282899"/>
      <w:bookmarkEnd w:id="4"/>
      <w:r w:rsidRPr="003E352A">
        <w:t>Competency</w:t>
      </w:r>
      <w:r w:rsidRPr="003E352A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Explosive Ordnance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5" w:name="O_1282898"/>
      <w:bookmarkEnd w:id="5"/>
      <w:r w:rsidRPr="003E35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Not applicable.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6" w:name="O_1282897"/>
      <w:bookmarkEnd w:id="6"/>
      <w:r w:rsidRPr="003E352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PERFORMANCE CRITERIA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Performance criteria describe the performance needed to demonstrate achievement of the element.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Prepare for fuzing/defuzing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Identify requirement for fuzing or defuzing of explosive ordnance from work requests/instructions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Identif</w:t>
            </w:r>
            <w:r w:rsidRPr="003E352A">
              <w:t>y, acquire and prepare technical references, tools and equipment required for the fuzing or defuzing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Acquire, prepare, move and position explosive ordnance to be fuzed or defuzed in preparation for the task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Identify, calculate, assess and apply net explosive quantities and compatibility throughout the operation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Monitor and maintain environmental conditions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Defuze explosive ordnance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Remove fuze from the ammunition/explosive ordnance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Remove fuzing components and inspect the fuze cavity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Apply emergency and contingency procedures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Fuze explosive ordnance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Inspect and gauge fuze cavity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Fuze explosive ordnance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rPr>
                <w:rStyle w:val="SpecialBold"/>
              </w:rPr>
              <w:t>Finalise the fuzing/defuzing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Ensure serviceability of equipment/tools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Maintain documentation and records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7" w:name="O_1282896"/>
      <w:bookmarkEnd w:id="7"/>
      <w:r w:rsidRPr="003E35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Foundation skills essential to performance are explicit in the performance criteria of this unit of competency.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8" w:name="O_1282895"/>
      <w:bookmarkEnd w:id="8"/>
      <w:r w:rsidRPr="003E35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Range is restricted to essential operating conditions and any other variables essential to the work environment.</w:t>
            </w:r>
          </w:p>
          <w:p w:rsidR="00000000" w:rsidRPr="003E352A" w:rsidP="003E352A">
            <w:pPr>
              <w:pStyle w:val="BodyText"/>
            </w:pPr>
            <w:r w:rsidRPr="003E352A">
              <w:t>Non-essential conditions may be found in the Companion Volume Implementation Guide.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9" w:name="O_1282894"/>
      <w:bookmarkEnd w:id="9"/>
      <w:r w:rsidRPr="003E352A">
        <w:t>Unit Map</w:t>
      </w:r>
      <w:r w:rsidRPr="003E352A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This unit supersedes and is equivalent to DEFEO506D Fuze and defuze explosive ordnance.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10" w:name="O_1284115"/>
      <w:bookmarkEnd w:id="10"/>
      <w:r w:rsidRPr="003E352A">
        <w:t>Links</w:t>
      </w:r>
    </w:p>
    <w:p w:rsidR="00000000" w:rsidRPr="003E352A" w:rsidP="00EF5142">
      <w:pPr>
        <w:pStyle w:val="BodyText"/>
      </w:pPr>
      <w:r w:rsidRPr="003E3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03D6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E352A" w:rsidP="00EF5142">
      <w:pPr>
        <w:pStyle w:val="BodyText"/>
        <w:sectPr w:rsidSect="003E35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352A" w:rsidP="003E352A">
      <w:pPr>
        <w:pStyle w:val="SuperHeading"/>
      </w:pPr>
      <w:r w:rsidRPr="003E352A">
        <w:t>Assessment Requirements for DEFEXO022 Fuze and defuze explosive ordnance</w:t>
      </w:r>
    </w:p>
    <w:p w:rsidR="00000000" w:rsidRPr="003E352A" w:rsidP="003E352A">
      <w:pPr>
        <w:pStyle w:val="Heading1"/>
      </w:pPr>
      <w:bookmarkStart w:id="11" w:name="O_1282892"/>
      <w:bookmarkEnd w:id="11"/>
      <w:r w:rsidRPr="003E35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Release 3. Assessment Conditions clarified in relation to simulation being an assessment option.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Release 2. Modifications made to Foundation Skills and Assessment Conditions.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Release 1. This unit was released in DEF Defence Training Package release 1.0 a</w:t>
            </w:r>
            <w:r w:rsidRPr="003E352A">
              <w:t>nd meets the Standards for Training Packages.</w:t>
            </w:r>
          </w:p>
          <w:p w:rsidR="00000000" w:rsidRPr="003E352A" w:rsidP="003E352A">
            <w:pPr>
              <w:pStyle w:val="BodyText"/>
            </w:pPr>
            <w:r w:rsidRPr="003E352A">
              <w:t>This unit supersedes and is equivalent to DEFEO506D Fuze and defuze explosive ordnance.</w:t>
            </w:r>
          </w:p>
          <w:p w:rsidR="00000000" w:rsidRPr="003E352A" w:rsidP="003E352A">
            <w:pPr>
              <w:pStyle w:val="ListBullet"/>
            </w:pPr>
            <w:r w:rsidRPr="003E352A">
              <w:t>Unit code updated</w:t>
            </w:r>
          </w:p>
          <w:p w:rsidR="00000000" w:rsidRPr="003E352A" w:rsidP="003E352A">
            <w:pPr>
              <w:pStyle w:val="ListBullet"/>
            </w:pPr>
            <w:r w:rsidRPr="003E352A">
              <w:t>Content and formatting updated to comply with the new standards</w:t>
            </w:r>
          </w:p>
          <w:p w:rsidR="00000000" w:rsidRPr="003E352A" w:rsidP="003E352A">
            <w:pPr>
              <w:pStyle w:val="ListBullet"/>
            </w:pPr>
            <w:r w:rsidRPr="003E352A">
              <w:t>All PC transitioned from passive to act</w:t>
            </w:r>
            <w:r w:rsidRPr="003E352A">
              <w:t>ive voice</w:t>
            </w:r>
          </w:p>
          <w:p w:rsidR="00000000" w:rsidRPr="003E352A" w:rsidP="003E352A">
            <w:pPr>
              <w:pStyle w:val="ListBullet"/>
            </w:pPr>
            <w:r w:rsidRPr="003E352A">
              <w:t>PC 1.2 and 4.1 removed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12" w:name="O_1282891"/>
      <w:bookmarkEnd w:id="12"/>
      <w:r w:rsidRPr="003E35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 xml:space="preserve">Evidence required to demonstrate competence in this unit must be relevant to and satisfy all of the requirements of the elements and performance criteria on </w:t>
            </w:r>
            <w:r w:rsidRPr="003E352A">
              <w:t>at least one occasion and include: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ListBullet"/>
            </w:pPr>
            <w:r w:rsidRPr="003E352A">
              <w:t>applying environmental constraints</w:t>
            </w:r>
          </w:p>
          <w:p w:rsidR="00000000" w:rsidRPr="003E352A" w:rsidP="003E352A">
            <w:pPr>
              <w:pStyle w:val="ListBullet"/>
            </w:pPr>
            <w:r w:rsidRPr="003E352A">
              <w:t>applying technical instructions and drawings related to fuzes</w:t>
            </w:r>
          </w:p>
          <w:p w:rsidR="00000000" w:rsidRPr="003E352A" w:rsidP="003E352A">
            <w:pPr>
              <w:pStyle w:val="ListBullet"/>
            </w:pPr>
            <w:r w:rsidRPr="003E352A">
              <w:t>calculating net explosive quantity</w:t>
            </w:r>
          </w:p>
          <w:p w:rsidR="00000000" w:rsidRPr="003E352A" w:rsidP="003E352A">
            <w:pPr>
              <w:pStyle w:val="ListBullet"/>
            </w:pPr>
            <w:r w:rsidRPr="003E352A">
              <w:t>conducting housekeeping</w:t>
            </w:r>
          </w:p>
          <w:p w:rsidR="00000000" w:rsidRPr="003E352A" w:rsidP="003E352A">
            <w:pPr>
              <w:pStyle w:val="ListBullet"/>
            </w:pPr>
            <w:r w:rsidRPr="003E352A">
              <w:t>using tools and equipment</w:t>
            </w:r>
          </w:p>
          <w:p w:rsidR="00000000" w:rsidRPr="003E352A" w:rsidP="003E352A">
            <w:pPr>
              <w:pStyle w:val="ListBullet"/>
            </w:pPr>
            <w:r w:rsidRPr="003E352A">
              <w:t>working safely within an explosive or</w:t>
            </w:r>
            <w:r w:rsidRPr="003E352A">
              <w:t>dnance environment.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13" w:name="O_1282890"/>
      <w:bookmarkEnd w:id="13"/>
      <w:r w:rsidRPr="003E35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2A">
            <w:pPr>
              <w:pStyle w:val="BodyText"/>
              <w:rPr>
                <w:lang w:val="en-NZ"/>
              </w:rPr>
            </w:pPr>
            <w:r w:rsidRPr="003E352A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ListBullet"/>
            </w:pPr>
            <w:r w:rsidRPr="003E352A">
              <w:t>operational knowledge of</w:t>
            </w:r>
          </w:p>
          <w:p w:rsidR="00000000" w:rsidRPr="003E352A" w:rsidP="003E352A">
            <w:pPr>
              <w:pStyle w:val="ListBullet2"/>
            </w:pPr>
            <w:r w:rsidRPr="003E352A">
              <w:t>assessment of compatibility</w:t>
            </w:r>
          </w:p>
          <w:p w:rsidR="00000000" w:rsidRPr="003E352A" w:rsidP="003E352A">
            <w:pPr>
              <w:pStyle w:val="ListBullet2"/>
            </w:pPr>
            <w:r w:rsidRPr="003E352A">
              <w:t>calculation of net explosive quantity</w:t>
            </w:r>
          </w:p>
          <w:p w:rsidR="00000000" w:rsidRPr="003E352A" w:rsidP="003E352A">
            <w:pPr>
              <w:pStyle w:val="ListBullet2"/>
            </w:pPr>
            <w:r w:rsidRPr="003E352A">
              <w:t>characteristics and limitations of fuzes</w:t>
            </w:r>
          </w:p>
          <w:p w:rsidR="00000000" w:rsidRPr="003E352A" w:rsidP="003E352A">
            <w:pPr>
              <w:pStyle w:val="ListBullet2"/>
            </w:pPr>
            <w:r w:rsidRPr="003E352A">
              <w:t>effects of environmental conditions</w:t>
            </w:r>
          </w:p>
          <w:p w:rsidR="00000000" w:rsidRPr="003E352A" w:rsidP="003E352A">
            <w:pPr>
              <w:pStyle w:val="ListBullet2"/>
            </w:pPr>
            <w:r w:rsidRPr="003E352A">
              <w:t>fuzing and defuzing procedures</w:t>
            </w:r>
          </w:p>
          <w:p w:rsidR="00000000" w:rsidRPr="003E352A" w:rsidP="003E352A">
            <w:pPr>
              <w:pStyle w:val="ListBullet2"/>
            </w:pPr>
            <w:r w:rsidRPr="003E352A">
              <w:t>operations, characteristics and limitations of fuzing and defuzing tools and equipment</w:t>
            </w:r>
          </w:p>
          <w:p w:rsidR="00000000" w:rsidRPr="003E352A" w:rsidP="003E352A">
            <w:pPr>
              <w:pStyle w:val="ListBullet2"/>
            </w:pPr>
            <w:r w:rsidRPr="003E352A">
              <w:t>organisational documentation requirements</w:t>
            </w:r>
          </w:p>
          <w:p w:rsidR="00000000" w:rsidRPr="003E352A" w:rsidP="003E352A">
            <w:pPr>
              <w:pStyle w:val="ListBullet2"/>
            </w:pPr>
            <w:r w:rsidRPr="003E352A">
              <w:t>organisational safety information sources</w:t>
            </w:r>
          </w:p>
          <w:p w:rsidR="00000000" w:rsidRPr="003E352A" w:rsidP="003E352A">
            <w:pPr>
              <w:pStyle w:val="ListBullet2"/>
            </w:pPr>
            <w:r w:rsidRPr="003E352A">
              <w:t>organisational safety policies and structures.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14" w:name="O_1282889"/>
      <w:bookmarkEnd w:id="14"/>
      <w:r w:rsidRPr="003E35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2A" w:rsidP="003E352A">
            <w:pPr>
              <w:pStyle w:val="BodyText"/>
            </w:pPr>
            <w:r w:rsidRPr="003E352A">
              <w:t>Assessors must hold credentials specified within the Standards for Registered Training Organisations current at the time of assessment.</w:t>
            </w:r>
          </w:p>
          <w:p w:rsidR="00000000" w:rsidRPr="003E352A" w:rsidP="003E352A">
            <w:pPr>
              <w:pStyle w:val="BodyText"/>
            </w:pPr>
            <w:r w:rsidRPr="003E352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E352A" w:rsidP="003E352A">
            <w:pPr>
              <w:pStyle w:val="BodyText"/>
            </w:pPr>
            <w:r w:rsidRPr="003E352A">
              <w:t>Assessment must occur in workplace operational</w:t>
            </w:r>
            <w:r w:rsidRPr="003E352A">
              <w:t xml:space="preserve"> situations. Where this is not appropriate, assessment must occur in simulated workplace operational situations that reflect workplace conditions.</w:t>
            </w:r>
          </w:p>
          <w:p w:rsidR="00000000" w:rsidRPr="003E352A" w:rsidP="003E352A">
            <w:pPr>
              <w:pStyle w:val="BodyText"/>
            </w:pPr>
            <w:r w:rsidRPr="003E352A">
              <w:t>Assessment processes and techniques must be appropriate to the language, literacy and numeracy requirements o</w:t>
            </w:r>
            <w:r w:rsidRPr="003E352A">
              <w:t>f the work being performed and the needs of the candidate.</w:t>
            </w:r>
          </w:p>
          <w:p w:rsidR="00000000" w:rsidRPr="003E352A" w:rsidP="003E352A">
            <w:pPr>
              <w:pStyle w:val="BodyText"/>
            </w:pPr>
            <w:r w:rsidRPr="003E352A">
              <w:t>Resources for assessment must include access to:</w:t>
            </w:r>
          </w:p>
          <w:p w:rsidR="00000000" w:rsidRPr="003E352A" w:rsidP="003E352A">
            <w:pPr>
              <w:pStyle w:val="ListBullet"/>
            </w:pPr>
            <w:r w:rsidRPr="003E352A">
              <w:t>a range of relevant exercises, case studies and/or simulations</w:t>
            </w:r>
          </w:p>
          <w:p w:rsidR="00000000" w:rsidRPr="003E352A" w:rsidP="003E352A">
            <w:pPr>
              <w:pStyle w:val="ListBullet"/>
            </w:pPr>
            <w:r w:rsidRPr="003E352A">
              <w:t>acceptable means of simulation assessment</w:t>
            </w:r>
          </w:p>
          <w:p w:rsidR="00000000" w:rsidRPr="003E352A" w:rsidP="003E352A">
            <w:pPr>
              <w:pStyle w:val="ListBullet"/>
            </w:pPr>
            <w:r w:rsidRPr="003E352A">
              <w:t>applicable documentation, including workpl</w:t>
            </w:r>
            <w:r w:rsidRPr="003E352A">
              <w:t xml:space="preserve">ace procedures, regulations, codes of practice and operation manuals </w:t>
            </w:r>
          </w:p>
          <w:p w:rsidR="00000000" w:rsidRPr="003E352A" w:rsidP="003E352A">
            <w:pPr>
              <w:pStyle w:val="ListBullet"/>
            </w:pPr>
            <w:r w:rsidRPr="003E352A">
              <w:t>relevant materials, tools, equipment and PPE currently used in industry.</w:t>
            </w:r>
          </w:p>
        </w:tc>
      </w:tr>
    </w:tbl>
    <w:p w:rsidR="00EF5142" w:rsidP="003E352A">
      <w:pPr>
        <w:pStyle w:val="NoPaddingFontSize1"/>
      </w:pPr>
    </w:p>
    <w:p w:rsidR="00EF5142" w:rsidP="003E352A">
      <w:pPr>
        <w:pStyle w:val="NoPaddingFontSize1"/>
      </w:pPr>
    </w:p>
    <w:p w:rsidR="00000000" w:rsidRPr="003E352A" w:rsidP="003E352A">
      <w:pPr>
        <w:pStyle w:val="Heading1"/>
      </w:pPr>
      <w:bookmarkStart w:id="15" w:name="O_1284116"/>
      <w:bookmarkEnd w:id="15"/>
      <w:r w:rsidRPr="003E352A">
        <w:t>Links</w:t>
      </w:r>
    </w:p>
    <w:p w:rsidR="00000000" w:rsidRPr="003E352A" w:rsidP="00EF5142">
      <w:pPr>
        <w:pStyle w:val="BodyText"/>
      </w:pPr>
      <w:r w:rsidRPr="003E3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03D6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E352A" w:rsidP="003E352A"/>
    <w:sectPr w:rsidSect="003E35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A" w:rsidRPr="00EF5142" w:rsidP="00EF5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2" w:rsidP="003E3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142" w:rsidP="003E3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F5142" w:rsidP="003E35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A" w:rsidP="003E3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5142">
      <w:t>Approved</w:t>
    </w:r>
    <w:r w:rsidR="00EF51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51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5142">
      <w:rPr>
        <w:noProof/>
      </w:rPr>
      <w:t>4</w:t>
    </w:r>
    <w:r>
      <w:rPr>
        <w:noProof/>
      </w:rPr>
      <w:fldChar w:fldCharType="end"/>
    </w:r>
  </w:p>
  <w:p w:rsidR="003E352A" w:rsidP="003E3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51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5142">
      <w:t>Public Skills Australia</w:t>
    </w:r>
    <w:r w:rsidR="00EF5142">
      <w:fldChar w:fldCharType="end"/>
    </w:r>
  </w:p>
  <w:p w:rsidR="003E352A" w:rsidP="003E3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52A" w:rsidRPr="00EF5142" w:rsidP="00EF5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42" w:rsidRPr="002D2AF8" w:rsidP="003E3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DEFEXO022 Fuze and defuze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5142" w:rsidP="003E35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A" w:rsidRPr="002D2AF8" w:rsidP="003E3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5142">
      <w:t>DEFEXO022 Fuze and defuze explosive ordnance</w:t>
    </w:r>
    <w:r w:rsidR="00EF51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5142">
      <w:rPr>
        <w:noProof/>
      </w:rPr>
      <w:t>2 March 2025</w:t>
    </w:r>
    <w:r>
      <w:fldChar w:fldCharType="end"/>
    </w:r>
  </w:p>
  <w:p w:rsidR="003E352A" w:rsidP="003E3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780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462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6B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52A"/>
  </w:style>
  <w:style w:type="character" w:customStyle="1" w:styleId="Heading1Char">
    <w:name w:val="Heading 1 Char"/>
    <w:basedOn w:val="DefaultParagraphFont"/>
    <w:link w:val="Heading1"/>
    <w:rsid w:val="003E3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5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52A"/>
    <w:rPr>
      <w:b/>
      <w:spacing w:val="0"/>
    </w:rPr>
  </w:style>
  <w:style w:type="paragraph" w:styleId="ListBullet2">
    <w:name w:val="List Bullet 2"/>
    <w:basedOn w:val="List2"/>
    <w:rsid w:val="003E3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3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52A"/>
    <w:rPr>
      <w:i/>
    </w:rPr>
  </w:style>
  <w:style w:type="paragraph" w:styleId="Caption">
    <w:name w:val="caption"/>
    <w:basedOn w:val="BodyText"/>
    <w:next w:val="Normal"/>
    <w:qFormat/>
    <w:rsid w:val="003E3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52A"/>
  </w:style>
  <w:style w:type="paragraph" w:styleId="TableofFigures">
    <w:name w:val="table of figures"/>
    <w:basedOn w:val="Normal"/>
    <w:next w:val="Normal"/>
    <w:semiHidden/>
    <w:rsid w:val="003E3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52A"/>
    <w:rPr>
      <w:rFonts w:ascii="Wingdings" w:hAnsi="Wingdings"/>
    </w:rPr>
  </w:style>
  <w:style w:type="paragraph" w:customStyle="1" w:styleId="TableHeading">
    <w:name w:val="Table Heading"/>
    <w:basedOn w:val="HeadingBase"/>
    <w:rsid w:val="003E3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52A"/>
    <w:rPr>
      <w:color w:val="0033CC"/>
      <w:u w:val="none"/>
    </w:rPr>
  </w:style>
  <w:style w:type="paragraph" w:customStyle="1" w:styleId="BodyTextRight">
    <w:name w:val="Body Text Right"/>
    <w:basedOn w:val="BodyText"/>
    <w:rsid w:val="003E3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52A"/>
    <w:rPr>
      <w:sz w:val="32"/>
    </w:rPr>
  </w:style>
  <w:style w:type="paragraph" w:customStyle="1" w:styleId="HeadingProcedure">
    <w:name w:val="Heading Procedure"/>
    <w:basedOn w:val="HeadingBase"/>
    <w:next w:val="Normal"/>
    <w:rsid w:val="003E3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52A"/>
    <w:pPr>
      <w:spacing w:before="60" w:after="60"/>
    </w:pPr>
  </w:style>
  <w:style w:type="paragraph" w:styleId="ListContinue">
    <w:name w:val="List Continue"/>
    <w:basedOn w:val="List"/>
    <w:rsid w:val="003E352A"/>
    <w:pPr>
      <w:ind w:firstLine="0"/>
    </w:pPr>
  </w:style>
  <w:style w:type="paragraph" w:customStyle="1" w:styleId="ListNote">
    <w:name w:val="List Note"/>
    <w:basedOn w:val="List"/>
    <w:rsid w:val="003E3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52A"/>
    <w:rPr>
      <w:rFonts w:ascii="Courier New" w:hAnsi="Courier New"/>
    </w:rPr>
  </w:style>
  <w:style w:type="paragraph" w:customStyle="1" w:styleId="NoteBullet">
    <w:name w:val="Note Bullet"/>
    <w:basedOn w:val="Note"/>
    <w:rsid w:val="003E3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52A"/>
    <w:rPr>
      <w:b/>
      <w:smallCaps/>
    </w:rPr>
  </w:style>
  <w:style w:type="paragraph" w:customStyle="1" w:styleId="TableListNumber">
    <w:name w:val="Table List Number"/>
    <w:basedOn w:val="ListNumber"/>
    <w:rsid w:val="003E3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52A"/>
    <w:pPr>
      <w:numPr>
        <w:numId w:val="9"/>
      </w:numPr>
    </w:pPr>
  </w:style>
  <w:style w:type="paragraph" w:customStyle="1" w:styleId="ListAlpha2">
    <w:name w:val="List Alpha 2"/>
    <w:basedOn w:val="List2"/>
    <w:rsid w:val="003E352A"/>
    <w:pPr>
      <w:numPr>
        <w:numId w:val="8"/>
      </w:numPr>
    </w:pPr>
  </w:style>
  <w:style w:type="paragraph" w:styleId="List2">
    <w:name w:val="List 2"/>
    <w:basedOn w:val="BodyText"/>
    <w:rsid w:val="003E3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52A"/>
    <w:pPr>
      <w:numPr>
        <w:numId w:val="4"/>
      </w:numPr>
    </w:pPr>
  </w:style>
  <w:style w:type="paragraph" w:styleId="ListContinue2">
    <w:name w:val="List Continue 2"/>
    <w:basedOn w:val="List2"/>
    <w:rsid w:val="003E352A"/>
    <w:pPr>
      <w:ind w:firstLine="0"/>
    </w:pPr>
  </w:style>
  <w:style w:type="paragraph" w:styleId="ListContinue3">
    <w:name w:val="List Continue 3"/>
    <w:basedOn w:val="List3"/>
    <w:rsid w:val="003E352A"/>
    <w:pPr>
      <w:ind w:left="1021" w:firstLine="0"/>
    </w:pPr>
  </w:style>
  <w:style w:type="paragraph" w:styleId="ListContinue4">
    <w:name w:val="List Continue 4"/>
    <w:basedOn w:val="List4"/>
    <w:rsid w:val="003E352A"/>
    <w:pPr>
      <w:ind w:firstLine="0"/>
    </w:pPr>
  </w:style>
  <w:style w:type="paragraph" w:styleId="ListContinue5">
    <w:name w:val="List Continue 5"/>
    <w:basedOn w:val="List5"/>
    <w:rsid w:val="003E352A"/>
    <w:pPr>
      <w:ind w:firstLine="0"/>
    </w:pPr>
  </w:style>
  <w:style w:type="paragraph" w:styleId="ListNumber3">
    <w:name w:val="List Number 3"/>
    <w:basedOn w:val="List3"/>
    <w:rsid w:val="003E352A"/>
    <w:pPr>
      <w:numPr>
        <w:numId w:val="5"/>
      </w:numPr>
    </w:pPr>
  </w:style>
  <w:style w:type="paragraph" w:styleId="ListNumber4">
    <w:name w:val="List Number 4"/>
    <w:basedOn w:val="List4"/>
    <w:rsid w:val="003E352A"/>
    <w:pPr>
      <w:numPr>
        <w:numId w:val="6"/>
      </w:numPr>
    </w:pPr>
  </w:style>
  <w:style w:type="paragraph" w:styleId="ListNumber5">
    <w:name w:val="List Number 5"/>
    <w:basedOn w:val="List5"/>
    <w:rsid w:val="003E352A"/>
    <w:pPr>
      <w:numPr>
        <w:numId w:val="7"/>
      </w:numPr>
    </w:pPr>
  </w:style>
  <w:style w:type="paragraph" w:styleId="BlockText">
    <w:name w:val="Block Text"/>
    <w:basedOn w:val="Normal"/>
    <w:rsid w:val="003E3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52A"/>
    <w:rPr>
      <w:sz w:val="16"/>
      <w:vertAlign w:val="superscript"/>
    </w:rPr>
  </w:style>
  <w:style w:type="character" w:customStyle="1" w:styleId="Symbols">
    <w:name w:val="Symbols"/>
    <w:basedOn w:val="DefaultParagraphFont"/>
    <w:rsid w:val="003E352A"/>
    <w:rPr>
      <w:rFonts w:ascii="Symbol" w:hAnsi="Symbol"/>
    </w:rPr>
  </w:style>
  <w:style w:type="character" w:customStyle="1" w:styleId="MenuOptions">
    <w:name w:val="Menu Options"/>
    <w:basedOn w:val="DefaultParagraphFont"/>
    <w:rsid w:val="003E3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52A"/>
    <w:rPr>
      <w:b/>
    </w:rPr>
  </w:style>
  <w:style w:type="character" w:customStyle="1" w:styleId="Underlined">
    <w:name w:val="Underlined"/>
    <w:basedOn w:val="DefaultParagraphFont"/>
    <w:rsid w:val="003E352A"/>
    <w:rPr>
      <w:u w:val="single"/>
    </w:rPr>
  </w:style>
  <w:style w:type="paragraph" w:customStyle="1" w:styleId="TableBodyTextRight">
    <w:name w:val="Table Body Text Right"/>
    <w:basedOn w:val="TableBodyText"/>
    <w:rsid w:val="003E3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52A"/>
    <w:rPr>
      <w:sz w:val="18"/>
    </w:rPr>
  </w:style>
  <w:style w:type="paragraph" w:customStyle="1" w:styleId="BodySmallRight">
    <w:name w:val="Body Small Right"/>
    <w:basedOn w:val="BodyTextRight"/>
    <w:rsid w:val="003E352A"/>
    <w:rPr>
      <w:sz w:val="18"/>
      <w:szCs w:val="18"/>
    </w:rPr>
  </w:style>
  <w:style w:type="paragraph" w:customStyle="1" w:styleId="MarginEdition">
    <w:name w:val="Margin Edition"/>
    <w:basedOn w:val="MarginNote"/>
    <w:rsid w:val="003E3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52A"/>
    <w:rPr>
      <w:sz w:val="2"/>
      <w:szCs w:val="2"/>
    </w:rPr>
  </w:style>
  <w:style w:type="character" w:customStyle="1" w:styleId="Small">
    <w:name w:val="Small"/>
    <w:basedOn w:val="DefaultParagraphFont"/>
    <w:rsid w:val="003E352A"/>
    <w:rPr>
      <w:sz w:val="16"/>
    </w:rPr>
  </w:style>
  <w:style w:type="paragraph" w:customStyle="1" w:styleId="WideTable">
    <w:name w:val="Wide Table"/>
    <w:basedOn w:val="Normal"/>
    <w:rsid w:val="003E3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52A"/>
  </w:style>
  <w:style w:type="paragraph" w:styleId="Quote">
    <w:name w:val="Quote"/>
    <w:basedOn w:val="Heading1"/>
    <w:link w:val="QuoteChar"/>
    <w:qFormat/>
    <w:rsid w:val="003E3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52A"/>
    <w:pPr>
      <w:pageBreakBefore/>
    </w:pPr>
  </w:style>
  <w:style w:type="paragraph" w:customStyle="1" w:styleId="Border">
    <w:name w:val="Border"/>
    <w:basedOn w:val="Normal"/>
    <w:qFormat/>
    <w:rsid w:val="003E3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52A"/>
    <w:rPr>
      <w:u w:val="single"/>
    </w:rPr>
  </w:style>
  <w:style w:type="character" w:customStyle="1" w:styleId="BoldandItalics">
    <w:name w:val="Bold and Italics"/>
    <w:qFormat/>
    <w:rsid w:val="003E352A"/>
    <w:rPr>
      <w:b/>
      <w:i/>
      <w:u w:val="none"/>
    </w:rPr>
  </w:style>
  <w:style w:type="paragraph" w:styleId="BalloonText">
    <w:name w:val="Balloon Text"/>
    <w:basedOn w:val="Normal"/>
    <w:link w:val="BalloonTextChar"/>
    <w:rsid w:val="003E3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52A"/>
    <w:pPr>
      <w:spacing w:before="0" w:after="0"/>
    </w:pPr>
  </w:style>
  <w:style w:type="paragraph" w:customStyle="1" w:styleId="BodyTextBold">
    <w:name w:val="Body Text Bold"/>
    <w:basedOn w:val="BodyText"/>
    <w:qFormat/>
    <w:rsid w:val="003E352A"/>
    <w:rPr>
      <w:b/>
    </w:rPr>
  </w:style>
  <w:style w:type="character" w:styleId="Hyperlink">
    <w:name w:val="Hyperlink"/>
    <w:basedOn w:val="DefaultParagraphFont"/>
    <w:uiPriority w:val="99"/>
    <w:unhideWhenUsed/>
    <w:rsid w:val="00EF5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5804</Characters>
  <Application>Microsoft Office Word</Application>
  <DocSecurity>0</DocSecurity>
  <Lines>207</Lines>
  <Paragraphs>134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DEFEXO022 Fuze and defuze explosive ordnance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