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BD6" w:rsidP="00734B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DEFEXO017 Examine and certify free from explosives</w:t>
      </w:r>
      <w:r>
        <w:fldChar w:fldCharType="end"/>
      </w:r>
    </w:p>
    <w:p w:rsidR="00734BD6" w:rsidP="00734BD6">
      <w:pPr>
        <w:pStyle w:val="Version"/>
        <w:sectPr w:rsidSect="006F7E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7E98" w:rsidP="006F7E98">
      <w:pPr>
        <w:pStyle w:val="SuperHeading"/>
      </w:pPr>
      <w:r w:rsidRPr="006F7E98">
        <w:t>DEFEXO017 Examine and certify free from explosives</w:t>
      </w:r>
    </w:p>
    <w:p w:rsidR="00000000" w:rsidRPr="006F7E98" w:rsidP="006F7E98">
      <w:pPr>
        <w:pStyle w:val="Heading1"/>
      </w:pPr>
      <w:bookmarkStart w:id="1" w:name="O_1096999"/>
      <w:bookmarkEnd w:id="1"/>
      <w:r w:rsidRPr="006F7E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 w:rsidP="006F7E98">
            <w:pPr>
              <w:pStyle w:val="BodyText"/>
            </w:pPr>
            <w:r w:rsidRPr="006F7E98">
              <w:t>Release 1. This unit was released in DEF Defence Training Package release 3.0.</w:t>
            </w:r>
          </w:p>
        </w:tc>
      </w:tr>
    </w:tbl>
    <w:p w:rsidR="00734BD6" w:rsidP="006F7E98">
      <w:pPr>
        <w:pStyle w:val="NoPaddingFontSize1"/>
      </w:pPr>
    </w:p>
    <w:p w:rsidR="00734BD6" w:rsidP="006F7E98">
      <w:pPr>
        <w:pStyle w:val="NoPaddingFontSize1"/>
      </w:pPr>
    </w:p>
    <w:p w:rsidR="00000000" w:rsidRPr="006F7E98" w:rsidP="006F7E98">
      <w:pPr>
        <w:pStyle w:val="Heading1"/>
      </w:pPr>
      <w:bookmarkStart w:id="2" w:name="O_1097000"/>
      <w:bookmarkEnd w:id="2"/>
      <w:r w:rsidRPr="006F7E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 w:rsidP="006F7E98">
            <w:pPr>
              <w:pStyle w:val="BodyText"/>
            </w:pPr>
            <w:r w:rsidRPr="006F7E98">
              <w:t>This unit describes the skills required to examine and certify explosive and non-explosive dangerous goods packag</w:t>
            </w:r>
            <w:r w:rsidRPr="006F7E98">
              <w:t>ing as being free from explosives (FFE) and arisings for salvage or return. Certification of these items as being FFE is a statutory requirement at different stages in the processing of these items, in particular when being sold or offered to the public fo</w:t>
            </w:r>
            <w:r w:rsidRPr="006F7E98">
              <w:t>r scrap metal. This unit does not cover the competencies required for inerting explosives and associated components.</w:t>
            </w:r>
          </w:p>
          <w:p w:rsidR="00000000" w:rsidRPr="006F7E98" w:rsidP="006F7E98">
            <w:pPr>
              <w:pStyle w:val="BodyText"/>
            </w:pPr>
            <w:r w:rsidRPr="006F7E98">
              <w:t>This unit applies to those required to examine and certify salvage and associated packaging as being FFE.</w:t>
            </w:r>
          </w:p>
          <w:p w:rsidR="00000000" w:rsidRPr="006F7E98" w:rsidP="006F7E98">
            <w:pPr>
              <w:pStyle w:val="BodyText"/>
            </w:pPr>
            <w:r w:rsidRPr="006F7E98">
              <w:t>The skills and knowledge describe</w:t>
            </w:r>
            <w:r w:rsidRPr="006F7E98">
              <w:t>d 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6F7E98" w:rsidP="006F7E98">
            <w:pPr>
              <w:pStyle w:val="BodyText"/>
            </w:pPr>
            <w:r w:rsidRPr="006F7E98">
              <w:t>Those undertaking this unit would work independently and as par</w:t>
            </w:r>
            <w:r w:rsidRPr="006F7E98">
              <w:t>t of a team, under direct and/or indirect supervision, use discretion and judgement, and take responsibility for the quality of their output. They would perform specific tasks in a broad range of contexts.</w:t>
            </w:r>
          </w:p>
          <w:p w:rsidR="00000000" w:rsidRPr="006F7E98" w:rsidP="006F7E98">
            <w:pPr>
              <w:pStyle w:val="BodyText"/>
            </w:pPr>
            <w:r w:rsidRPr="006F7E98">
              <w:t>No licensing, legislative or certification require</w:t>
            </w:r>
            <w:r w:rsidRPr="006F7E98">
              <w:t>ments apply to unit at the time of publication.</w:t>
            </w:r>
          </w:p>
        </w:tc>
      </w:tr>
    </w:tbl>
    <w:p w:rsidR="00734BD6" w:rsidP="006F7E98">
      <w:pPr>
        <w:pStyle w:val="NoPaddingFontSize1"/>
      </w:pPr>
    </w:p>
    <w:p w:rsidR="00734BD6" w:rsidP="006F7E98">
      <w:pPr>
        <w:pStyle w:val="NoPaddingFontSize1"/>
      </w:pPr>
    </w:p>
    <w:p w:rsidR="00000000" w:rsidRPr="006F7E98" w:rsidP="006F7E98">
      <w:pPr>
        <w:pStyle w:val="Heading1"/>
      </w:pPr>
      <w:bookmarkStart w:id="3" w:name="O_1097001"/>
      <w:bookmarkEnd w:id="3"/>
      <w:r w:rsidRPr="006F7E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 w:rsidP="006F7E98">
            <w:pPr>
              <w:pStyle w:val="BodyText"/>
            </w:pPr>
            <w:r w:rsidRPr="006F7E98">
              <w:t>Not applicable.</w:t>
            </w:r>
          </w:p>
        </w:tc>
      </w:tr>
    </w:tbl>
    <w:p w:rsidR="00734BD6" w:rsidP="006F7E98">
      <w:pPr>
        <w:pStyle w:val="NoPaddingFontSize1"/>
      </w:pPr>
    </w:p>
    <w:p w:rsidR="00734BD6" w:rsidP="006F7E98">
      <w:pPr>
        <w:pStyle w:val="NoPaddingFontSize1"/>
      </w:pPr>
    </w:p>
    <w:p w:rsidR="00000000" w:rsidRPr="006F7E98" w:rsidP="006F7E98">
      <w:pPr>
        <w:pStyle w:val="Heading1"/>
      </w:pPr>
      <w:bookmarkStart w:id="4" w:name="O_1097002"/>
      <w:bookmarkEnd w:id="4"/>
      <w:r w:rsidRPr="006F7E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 w:rsidP="006F7E98">
            <w:pPr>
              <w:pStyle w:val="BodyText"/>
            </w:pPr>
            <w:r w:rsidRPr="006F7E98">
              <w:t>Explosive Ordnance</w:t>
            </w:r>
          </w:p>
        </w:tc>
      </w:tr>
    </w:tbl>
    <w:p w:rsidR="00734BD6" w:rsidP="006F7E98">
      <w:pPr>
        <w:pStyle w:val="NoPaddingFontSize1"/>
      </w:pPr>
    </w:p>
    <w:p w:rsidR="00734BD6" w:rsidP="006F7E98">
      <w:pPr>
        <w:pStyle w:val="NoPaddingFontSize1"/>
      </w:pPr>
    </w:p>
    <w:p w:rsidR="00000000" w:rsidRPr="006F7E98" w:rsidP="006F7E98">
      <w:pPr>
        <w:pStyle w:val="Heading1"/>
      </w:pPr>
      <w:bookmarkStart w:id="5" w:name="O_1097003"/>
      <w:bookmarkEnd w:id="5"/>
      <w:r w:rsidRPr="006F7E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 w:rsidP="006F7E98">
            <w:pPr>
              <w:pStyle w:val="BodyText"/>
            </w:pPr>
            <w:r w:rsidRPr="006F7E98">
              <w:t>Not applicable.</w:t>
            </w:r>
          </w:p>
        </w:tc>
      </w:tr>
    </w:tbl>
    <w:p w:rsidR="00734BD6" w:rsidP="006F7E98">
      <w:pPr>
        <w:pStyle w:val="NoPaddingFontSize1"/>
      </w:pPr>
    </w:p>
    <w:p w:rsidR="00734BD6" w:rsidP="006F7E98">
      <w:pPr>
        <w:pStyle w:val="NoPaddingFontSize1"/>
      </w:pPr>
    </w:p>
    <w:p w:rsidR="00000000" w:rsidRPr="006F7E98" w:rsidP="006F7E98">
      <w:pPr>
        <w:pStyle w:val="Heading1"/>
      </w:pPr>
      <w:bookmarkStart w:id="6" w:name="O_1097004"/>
      <w:bookmarkEnd w:id="6"/>
      <w:r w:rsidRPr="006F7E9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 w:rsidP="006F7E98">
            <w:pPr>
              <w:pStyle w:val="BodyText"/>
            </w:pPr>
            <w:r w:rsidRPr="006F7E9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rPr>
                <w:rStyle w:val="SpecialBold"/>
              </w:rPr>
              <w:t>PERFORMANCE CRITERIA</w:t>
            </w:r>
          </w:p>
        </w:tc>
      </w:tr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t xml:space="preserve">Elements describe the essential </w:t>
            </w:r>
            <w:r w:rsidRPr="006F7E98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t xml:space="preserve">Performance criteria describe the performance needed to </w:t>
            </w:r>
            <w:r w:rsidRPr="006F7E98">
              <w:t>demonstrate achievement of the element.</w:t>
            </w:r>
          </w:p>
        </w:tc>
      </w:tr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 w:rsidP="006F7E98">
            <w:pPr>
              <w:pStyle w:val="BodyText"/>
            </w:pPr>
            <w:r w:rsidRPr="006F7E9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 w:rsidP="006F7E98">
            <w:pPr>
              <w:pStyle w:val="BodyText"/>
            </w:pPr>
            <w:r w:rsidRPr="006F7E98">
              <w:rPr>
                <w:rStyle w:val="SpecialBold"/>
              </w:rPr>
              <w:t>Prepare for certification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t>Identify requirement for certification</w:t>
            </w:r>
          </w:p>
        </w:tc>
      </w:tr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t>Identify and prepare suitable location to carry out operation</w:t>
            </w:r>
          </w:p>
        </w:tc>
      </w:tr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t>Identify, acquire and prepare equipment required for the certification process</w:t>
            </w:r>
          </w:p>
        </w:tc>
      </w:tr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 w:rsidP="006F7E98">
            <w:pPr>
              <w:pStyle w:val="BodyText"/>
            </w:pPr>
            <w:r w:rsidRPr="006F7E9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 w:rsidP="006F7E98">
            <w:pPr>
              <w:pStyle w:val="BodyText"/>
            </w:pPr>
            <w:r w:rsidRPr="006F7E98">
              <w:rPr>
                <w:rStyle w:val="SpecialBold"/>
              </w:rPr>
              <w:t>Certify as Free From Explosives (FFE)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t xml:space="preserve">Conduct examinations of explosive and non-explosive dangerous goods packaging </w:t>
            </w:r>
          </w:p>
        </w:tc>
      </w:tr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t>Deface/remove packaging mandatory markings</w:t>
            </w:r>
          </w:p>
        </w:tc>
      </w:tr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t>Seal packaging confirmed as being FFE</w:t>
            </w:r>
          </w:p>
        </w:tc>
      </w:tr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t>Apply emergency and contingency procedures</w:t>
            </w:r>
          </w:p>
        </w:tc>
      </w:tr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 w:rsidP="006F7E98">
            <w:pPr>
              <w:pStyle w:val="BodyText"/>
            </w:pPr>
            <w:r w:rsidRPr="006F7E98"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 w:rsidP="006F7E98">
            <w:pPr>
              <w:pStyle w:val="BodyText"/>
            </w:pPr>
            <w:r w:rsidRPr="006F7E98">
              <w:rPr>
                <w:rStyle w:val="SpecialBold"/>
              </w:rPr>
              <w:t>Inspect arisings and salvage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t>Inspect arisings and salvage to confirm items have completed functioning</w:t>
            </w:r>
          </w:p>
        </w:tc>
      </w:tr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t>Inspect arisings and salvage to confirm items are free from misfire</w:t>
            </w:r>
          </w:p>
        </w:tc>
      </w:tr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 w:rsidP="006F7E98">
            <w:pPr>
              <w:pStyle w:val="BodyText"/>
            </w:pPr>
            <w:r w:rsidRPr="006F7E98"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 w:rsidP="006F7E98">
            <w:pPr>
              <w:pStyle w:val="BodyText"/>
            </w:pPr>
            <w:r w:rsidRPr="006F7E98">
              <w:rPr>
                <w:rStyle w:val="SpecialBold"/>
              </w:rPr>
              <w:t>Carry out post certification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t>Package and label arisings and salvage</w:t>
            </w:r>
          </w:p>
        </w:tc>
      </w:tr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E98">
            <w:pPr>
              <w:pStyle w:val="BodyText"/>
              <w:rPr>
                <w:lang w:val="en-NZ"/>
              </w:rPr>
            </w:pPr>
            <w:r w:rsidRPr="006F7E9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 w:rsidP="006F7E98">
            <w:pPr>
              <w:pStyle w:val="BodyText"/>
            </w:pPr>
            <w:r w:rsidRPr="006F7E98">
              <w:t>Maintain accurate documentation and records</w:t>
            </w:r>
          </w:p>
        </w:tc>
      </w:tr>
    </w:tbl>
    <w:p w:rsidR="00734BD6" w:rsidP="006F7E98">
      <w:pPr>
        <w:pStyle w:val="NoPaddingFontSize1"/>
      </w:pPr>
    </w:p>
    <w:p w:rsidR="00734BD6" w:rsidP="006F7E98">
      <w:pPr>
        <w:pStyle w:val="NoPaddingFontSize1"/>
      </w:pPr>
    </w:p>
    <w:p w:rsidR="00000000" w:rsidRPr="006F7E98" w:rsidP="006F7E98">
      <w:pPr>
        <w:pStyle w:val="Heading1"/>
      </w:pPr>
      <w:bookmarkStart w:id="7" w:name="O_1097005"/>
      <w:bookmarkEnd w:id="7"/>
      <w:r w:rsidRPr="006F7E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 w:rsidP="006F7E98">
            <w:pPr>
              <w:pStyle w:val="BodyText"/>
            </w:pPr>
            <w:r w:rsidRPr="006F7E98">
              <w:t>Foundation skills essential to performance are explicit in the performance criteria of this unit of competency.</w:t>
            </w:r>
          </w:p>
        </w:tc>
      </w:tr>
    </w:tbl>
    <w:p w:rsidR="00734BD6" w:rsidP="006F7E98">
      <w:pPr>
        <w:pStyle w:val="NoPaddingFontSize1"/>
      </w:pPr>
    </w:p>
    <w:p w:rsidR="00734BD6" w:rsidP="006F7E98">
      <w:pPr>
        <w:pStyle w:val="NoPaddingFontSize1"/>
      </w:pPr>
    </w:p>
    <w:p w:rsidR="00000000" w:rsidRPr="006F7E98" w:rsidP="006F7E98">
      <w:pPr>
        <w:pStyle w:val="Heading1"/>
      </w:pPr>
      <w:bookmarkStart w:id="8" w:name="O_1097006"/>
      <w:bookmarkEnd w:id="8"/>
      <w:r w:rsidRPr="006F7E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 w:rsidP="006F7E98">
            <w:pPr>
              <w:pStyle w:val="BodyText"/>
            </w:pPr>
            <w:r w:rsidRPr="006F7E98">
              <w:t>Range is restricted to essential operating conditions and any other variables essential to the work environment.</w:t>
            </w:r>
          </w:p>
          <w:p w:rsidR="00000000" w:rsidRPr="006F7E98" w:rsidP="006F7E98">
            <w:pPr>
              <w:pStyle w:val="BodyText"/>
            </w:pPr>
            <w:r w:rsidRPr="006F7E98">
              <w:t>Non-essential conditions may be found in the Companion Volume Implementation Guide.</w:t>
            </w:r>
          </w:p>
        </w:tc>
      </w:tr>
    </w:tbl>
    <w:p w:rsidR="00734BD6" w:rsidP="006F7E98">
      <w:pPr>
        <w:pStyle w:val="NoPaddingFontSize1"/>
      </w:pPr>
    </w:p>
    <w:p w:rsidR="00734BD6" w:rsidP="006F7E98">
      <w:pPr>
        <w:pStyle w:val="NoPaddingFontSize1"/>
      </w:pPr>
    </w:p>
    <w:p w:rsidR="00000000" w:rsidRPr="006F7E98" w:rsidP="006F7E98">
      <w:pPr>
        <w:pStyle w:val="Heading1"/>
      </w:pPr>
      <w:bookmarkStart w:id="9" w:name="O_1097007"/>
      <w:bookmarkEnd w:id="9"/>
      <w:r w:rsidRPr="006F7E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7E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E98" w:rsidP="006F7E98">
            <w:pPr>
              <w:pStyle w:val="BodyText"/>
            </w:pPr>
            <w:r w:rsidRPr="006F7E98">
              <w:t>This unit supersedes and is equivalent to DEFEXO004 Examine and certify free from explosives.</w:t>
            </w:r>
          </w:p>
        </w:tc>
      </w:tr>
    </w:tbl>
    <w:p w:rsidR="00734BD6" w:rsidP="006F7E98">
      <w:pPr>
        <w:pStyle w:val="NoPaddingFontSize1"/>
      </w:pPr>
    </w:p>
    <w:p w:rsidR="00734BD6" w:rsidP="006F7E98">
      <w:pPr>
        <w:pStyle w:val="NoPaddingFontSize1"/>
      </w:pPr>
    </w:p>
    <w:p w:rsidR="00000000" w:rsidRPr="006F7E98" w:rsidP="006F7E98">
      <w:pPr>
        <w:pStyle w:val="Heading1"/>
      </w:pPr>
      <w:bookmarkStart w:id="10" w:name="O_1097014"/>
      <w:bookmarkEnd w:id="10"/>
      <w:r w:rsidRPr="006F7E98">
        <w:t>Links</w:t>
      </w:r>
    </w:p>
    <w:p w:rsidR="00000000" w:rsidRPr="006F7E98" w:rsidP="00734BD6">
      <w:pPr>
        <w:pStyle w:val="BodyText"/>
      </w:pPr>
      <w:r w:rsidRPr="006F7E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0126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F7E98" w:rsidP="006F7E98"/>
    <w:sectPr w:rsidSect="006F7E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E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E98" w:rsidRPr="00734BD6" w:rsidP="00734B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E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BD6" w:rsidP="006F7E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4BD6" w:rsidP="006F7E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34BD6" w:rsidP="006F7E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E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B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7E98" w:rsidRPr="00734BD6" w:rsidP="00734B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E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BD6" w:rsidRPr="002D2AF8" w:rsidP="006F7E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DEFEXO017 Examine and certify free from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34BD6" w:rsidP="006F7E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E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7E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7E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7E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7E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7E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7E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7E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7E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7E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7E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7E98"/>
  </w:style>
  <w:style w:type="character" w:customStyle="1" w:styleId="Heading1Char">
    <w:name w:val="Heading 1 Char"/>
    <w:basedOn w:val="DefaultParagraphFont"/>
    <w:link w:val="Heading1"/>
    <w:rsid w:val="006F7E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7E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7E9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F7E98"/>
    <w:rPr>
      <w:b/>
      <w:spacing w:val="0"/>
    </w:rPr>
  </w:style>
  <w:style w:type="paragraph" w:customStyle="1" w:styleId="SuperHeading">
    <w:name w:val="SuperHeading"/>
    <w:basedOn w:val="Normal"/>
    <w:rsid w:val="006F7E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7E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7E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7E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7E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7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7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7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7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7E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7E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7E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7E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7E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7E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7E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7E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7E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7E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7E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7E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7E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7E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7E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7E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7E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7E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7E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7E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7E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7E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7E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7E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7E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7E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7E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7E98"/>
    <w:rPr>
      <w:i/>
    </w:rPr>
  </w:style>
  <w:style w:type="paragraph" w:styleId="Caption">
    <w:name w:val="caption"/>
    <w:basedOn w:val="BodyText"/>
    <w:next w:val="Normal"/>
    <w:qFormat/>
    <w:rsid w:val="006F7E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7E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7E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7E98"/>
  </w:style>
  <w:style w:type="paragraph" w:styleId="TableofFigures">
    <w:name w:val="table of figures"/>
    <w:basedOn w:val="Normal"/>
    <w:next w:val="Normal"/>
    <w:semiHidden/>
    <w:rsid w:val="006F7E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7E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7E98"/>
    <w:rPr>
      <w:rFonts w:ascii="Wingdings" w:hAnsi="Wingdings"/>
    </w:rPr>
  </w:style>
  <w:style w:type="paragraph" w:customStyle="1" w:styleId="TableHeading">
    <w:name w:val="Table Heading"/>
    <w:basedOn w:val="HeadingBase"/>
    <w:rsid w:val="006F7E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7E98"/>
    <w:rPr>
      <w:color w:val="0033CC"/>
      <w:u w:val="none"/>
    </w:rPr>
  </w:style>
  <w:style w:type="paragraph" w:customStyle="1" w:styleId="BodyTextRight">
    <w:name w:val="Body Text Right"/>
    <w:basedOn w:val="BodyText"/>
    <w:rsid w:val="006F7E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7E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7E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7E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7E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7E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7E98"/>
    <w:rPr>
      <w:sz w:val="32"/>
    </w:rPr>
  </w:style>
  <w:style w:type="paragraph" w:customStyle="1" w:styleId="HeadingProcedure">
    <w:name w:val="Heading Procedure"/>
    <w:basedOn w:val="HeadingBase"/>
    <w:next w:val="Normal"/>
    <w:rsid w:val="006F7E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7E98"/>
    <w:pPr>
      <w:spacing w:before="60" w:after="60"/>
    </w:pPr>
  </w:style>
  <w:style w:type="paragraph" w:styleId="ListContinue">
    <w:name w:val="List Continue"/>
    <w:basedOn w:val="List"/>
    <w:rsid w:val="006F7E98"/>
    <w:pPr>
      <w:ind w:firstLine="0"/>
    </w:pPr>
  </w:style>
  <w:style w:type="paragraph" w:customStyle="1" w:styleId="ListNote">
    <w:name w:val="List Note"/>
    <w:basedOn w:val="List"/>
    <w:rsid w:val="006F7E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7E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7E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7E98"/>
    <w:rPr>
      <w:rFonts w:ascii="Courier New" w:hAnsi="Courier New"/>
    </w:rPr>
  </w:style>
  <w:style w:type="paragraph" w:customStyle="1" w:styleId="NoteBullet">
    <w:name w:val="Note Bullet"/>
    <w:basedOn w:val="Note"/>
    <w:rsid w:val="006F7E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7E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7E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7E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7E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7E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7E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7E98"/>
    <w:rPr>
      <w:b/>
      <w:smallCaps/>
    </w:rPr>
  </w:style>
  <w:style w:type="paragraph" w:customStyle="1" w:styleId="TableListNumber">
    <w:name w:val="Table List Number"/>
    <w:basedOn w:val="ListNumber"/>
    <w:rsid w:val="006F7E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7E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7E98"/>
    <w:pPr>
      <w:numPr>
        <w:numId w:val="7"/>
      </w:numPr>
    </w:pPr>
  </w:style>
  <w:style w:type="paragraph" w:customStyle="1" w:styleId="ListAlpha2">
    <w:name w:val="List Alpha 2"/>
    <w:basedOn w:val="List2"/>
    <w:rsid w:val="006F7E98"/>
    <w:pPr>
      <w:numPr>
        <w:numId w:val="6"/>
      </w:numPr>
    </w:pPr>
  </w:style>
  <w:style w:type="paragraph" w:styleId="List2">
    <w:name w:val="List 2"/>
    <w:basedOn w:val="BodyText"/>
    <w:rsid w:val="006F7E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7E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7E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7E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7E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7E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7E98"/>
    <w:pPr>
      <w:numPr>
        <w:numId w:val="2"/>
      </w:numPr>
    </w:pPr>
  </w:style>
  <w:style w:type="paragraph" w:styleId="ListContinue2">
    <w:name w:val="List Continue 2"/>
    <w:basedOn w:val="List2"/>
    <w:rsid w:val="006F7E98"/>
    <w:pPr>
      <w:ind w:firstLine="0"/>
    </w:pPr>
  </w:style>
  <w:style w:type="paragraph" w:styleId="ListContinue3">
    <w:name w:val="List Continue 3"/>
    <w:basedOn w:val="List3"/>
    <w:rsid w:val="006F7E98"/>
    <w:pPr>
      <w:ind w:left="1021" w:firstLine="0"/>
    </w:pPr>
  </w:style>
  <w:style w:type="paragraph" w:styleId="ListContinue4">
    <w:name w:val="List Continue 4"/>
    <w:basedOn w:val="List4"/>
    <w:rsid w:val="006F7E98"/>
    <w:pPr>
      <w:ind w:firstLine="0"/>
    </w:pPr>
  </w:style>
  <w:style w:type="paragraph" w:styleId="ListContinue5">
    <w:name w:val="List Continue 5"/>
    <w:basedOn w:val="List5"/>
    <w:rsid w:val="006F7E98"/>
    <w:pPr>
      <w:ind w:firstLine="0"/>
    </w:pPr>
  </w:style>
  <w:style w:type="paragraph" w:styleId="ListNumber3">
    <w:name w:val="List Number 3"/>
    <w:basedOn w:val="List3"/>
    <w:rsid w:val="006F7E98"/>
    <w:pPr>
      <w:numPr>
        <w:numId w:val="3"/>
      </w:numPr>
    </w:pPr>
  </w:style>
  <w:style w:type="paragraph" w:styleId="ListNumber4">
    <w:name w:val="List Number 4"/>
    <w:basedOn w:val="List4"/>
    <w:rsid w:val="006F7E98"/>
    <w:pPr>
      <w:numPr>
        <w:numId w:val="4"/>
      </w:numPr>
    </w:pPr>
  </w:style>
  <w:style w:type="paragraph" w:styleId="ListNumber5">
    <w:name w:val="List Number 5"/>
    <w:basedOn w:val="List5"/>
    <w:rsid w:val="006F7E98"/>
    <w:pPr>
      <w:numPr>
        <w:numId w:val="5"/>
      </w:numPr>
    </w:pPr>
  </w:style>
  <w:style w:type="paragraph" w:styleId="BlockText">
    <w:name w:val="Block Text"/>
    <w:basedOn w:val="Normal"/>
    <w:rsid w:val="006F7E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7E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7E98"/>
    <w:rPr>
      <w:sz w:val="16"/>
      <w:vertAlign w:val="superscript"/>
    </w:rPr>
  </w:style>
  <w:style w:type="character" w:customStyle="1" w:styleId="Symbols">
    <w:name w:val="Symbols"/>
    <w:basedOn w:val="DefaultParagraphFont"/>
    <w:rsid w:val="006F7E98"/>
    <w:rPr>
      <w:rFonts w:ascii="Symbol" w:hAnsi="Symbol"/>
    </w:rPr>
  </w:style>
  <w:style w:type="character" w:customStyle="1" w:styleId="MenuOptions">
    <w:name w:val="Menu Options"/>
    <w:basedOn w:val="DefaultParagraphFont"/>
    <w:rsid w:val="006F7E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7E98"/>
    <w:rPr>
      <w:b/>
    </w:rPr>
  </w:style>
  <w:style w:type="character" w:customStyle="1" w:styleId="Underlined">
    <w:name w:val="Underlined"/>
    <w:basedOn w:val="DefaultParagraphFont"/>
    <w:rsid w:val="006F7E98"/>
    <w:rPr>
      <w:u w:val="single"/>
    </w:rPr>
  </w:style>
  <w:style w:type="paragraph" w:customStyle="1" w:styleId="TableBodyTextRight">
    <w:name w:val="Table Body Text Right"/>
    <w:basedOn w:val="TableBodyText"/>
    <w:rsid w:val="006F7E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7E98"/>
    <w:rPr>
      <w:sz w:val="18"/>
    </w:rPr>
  </w:style>
  <w:style w:type="paragraph" w:customStyle="1" w:styleId="BodySmallRight">
    <w:name w:val="Body Small Right"/>
    <w:basedOn w:val="BodyTextRight"/>
    <w:rsid w:val="006F7E98"/>
    <w:rPr>
      <w:sz w:val="18"/>
      <w:szCs w:val="18"/>
    </w:rPr>
  </w:style>
  <w:style w:type="paragraph" w:customStyle="1" w:styleId="MarginEdition">
    <w:name w:val="Margin Edition"/>
    <w:basedOn w:val="MarginNote"/>
    <w:rsid w:val="006F7E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7E98"/>
    <w:rPr>
      <w:sz w:val="2"/>
      <w:szCs w:val="2"/>
    </w:rPr>
  </w:style>
  <w:style w:type="character" w:customStyle="1" w:styleId="Small">
    <w:name w:val="Small"/>
    <w:basedOn w:val="DefaultParagraphFont"/>
    <w:rsid w:val="006F7E98"/>
    <w:rPr>
      <w:sz w:val="16"/>
    </w:rPr>
  </w:style>
  <w:style w:type="paragraph" w:customStyle="1" w:styleId="WideTable">
    <w:name w:val="Wide Table"/>
    <w:basedOn w:val="Normal"/>
    <w:rsid w:val="006F7E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7E98"/>
  </w:style>
  <w:style w:type="paragraph" w:styleId="Quote">
    <w:name w:val="Quote"/>
    <w:basedOn w:val="Heading1"/>
    <w:link w:val="QuoteChar"/>
    <w:qFormat/>
    <w:rsid w:val="006F7E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7E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7E98"/>
    <w:pPr>
      <w:pageBreakBefore/>
    </w:pPr>
  </w:style>
  <w:style w:type="paragraph" w:customStyle="1" w:styleId="Border">
    <w:name w:val="Border"/>
    <w:basedOn w:val="Normal"/>
    <w:qFormat/>
    <w:rsid w:val="006F7E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7E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E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E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7E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7E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7E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7E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7E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7E98"/>
    <w:rPr>
      <w:u w:val="single"/>
    </w:rPr>
  </w:style>
  <w:style w:type="character" w:customStyle="1" w:styleId="BoldandItalics">
    <w:name w:val="Bold and Italics"/>
    <w:qFormat/>
    <w:rsid w:val="006F7E98"/>
    <w:rPr>
      <w:b/>
      <w:i/>
      <w:u w:val="none"/>
    </w:rPr>
  </w:style>
  <w:style w:type="paragraph" w:styleId="BalloonText">
    <w:name w:val="Balloon Text"/>
    <w:basedOn w:val="Normal"/>
    <w:link w:val="BalloonTextChar"/>
    <w:rsid w:val="006F7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E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7E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7E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7E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7E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7E98"/>
    <w:pPr>
      <w:spacing w:before="0" w:after="0"/>
    </w:pPr>
  </w:style>
  <w:style w:type="paragraph" w:customStyle="1" w:styleId="BodyTextBold">
    <w:name w:val="Body Text Bold"/>
    <w:basedOn w:val="BodyText"/>
    <w:qFormat/>
    <w:rsid w:val="006F7E98"/>
    <w:rPr>
      <w:b/>
    </w:rPr>
  </w:style>
  <w:style w:type="character" w:styleId="Hyperlink">
    <w:name w:val="Hyperlink"/>
    <w:basedOn w:val="DefaultParagraphFont"/>
    <w:uiPriority w:val="99"/>
    <w:unhideWhenUsed/>
    <w:rsid w:val="00734B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469</Words>
  <Characters>2877</Characters>
  <Application>Microsoft Office Word</Application>
  <DocSecurity>0</DocSecurity>
  <Lines>130</Lines>
  <Paragraphs>76</Paragraphs>
  <ScaleCrop>false</ScaleCrop>
  <Company>Author-it Software Corporation Ltd.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DEFEXO017 Examine and certify free from explosives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2024-11-07T12:26:00Z</dcterms:created>
  <dcterms:modified xsi:type="dcterms:W3CDTF">2024-11-07T12:26:00Z</dcterms:modified>
</cp:coreProperties>
</file>