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BE3" w:rsidP="00483BE3">
      <w:pPr>
        <w:pStyle w:val="Title"/>
      </w:pPr>
      <w:r>
        <w:fldChar w:fldCharType="begin"/>
      </w:r>
      <w:r>
        <w:instrText xml:space="preserve"> TITLE   \* MERGEFORMAT </w:instrText>
      </w:r>
      <w:r>
        <w:fldChar w:fldCharType="separate"/>
      </w:r>
      <w:r>
        <w:t>DEFEXO017 Examine and certify free from explosives</w:t>
      </w:r>
      <w:r>
        <w:fldChar w:fldCharType="end"/>
      </w:r>
    </w:p>
    <w:p w:rsidR="00483BE3" w:rsidP="00483BE3">
      <w:pPr>
        <w:pStyle w:val="Version"/>
        <w:sectPr w:rsidSect="00B01B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B68" w:rsidP="00B01B68">
      <w:pPr>
        <w:pStyle w:val="SuperHeading"/>
      </w:pPr>
      <w:r w:rsidRPr="00B01B68">
        <w:t>DEFEXO017 Examine and certify free from explosives</w:t>
      </w:r>
    </w:p>
    <w:p w:rsidR="00000000" w:rsidRPr="00B01B68" w:rsidP="00B01B68">
      <w:pPr>
        <w:pStyle w:val="Heading1"/>
      </w:pPr>
      <w:bookmarkStart w:id="1" w:name="O_1096999"/>
      <w:bookmarkEnd w:id="1"/>
      <w:r w:rsidRPr="00B01B68">
        <w:t>Modification History</w:t>
      </w:r>
    </w:p>
    <w:tbl>
      <w:tblPr>
        <w:tblW w:w="9497" w:type="dxa"/>
        <w:tblLayout w:type="fixed"/>
        <w:tblCellMar>
          <w:left w:w="62" w:type="dxa"/>
          <w:right w:w="62" w:type="dxa"/>
        </w:tblCellMar>
        <w:tblLook w:val="0000"/>
      </w:tblPr>
      <w:tblGrid>
        <w:gridCol w:w="9497"/>
      </w:tblGrid>
      <w:tr w:rsidTr="00B01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t>Release 1. This unit was released in DEF Defence Training Package release 3.0.</w:t>
            </w:r>
          </w:p>
        </w:tc>
      </w:tr>
    </w:tbl>
    <w:p w:rsidR="00483BE3" w:rsidP="00B01B68">
      <w:pPr>
        <w:pStyle w:val="NoPaddingFontSize1"/>
      </w:pPr>
    </w:p>
    <w:p w:rsidR="00483BE3" w:rsidP="00B01B68">
      <w:pPr>
        <w:pStyle w:val="NoPaddingFontSize1"/>
      </w:pPr>
    </w:p>
    <w:p w:rsidR="00000000" w:rsidRPr="00B01B68" w:rsidP="00B01B68">
      <w:pPr>
        <w:pStyle w:val="Heading1"/>
      </w:pPr>
      <w:bookmarkStart w:id="2" w:name="O_1097000"/>
      <w:bookmarkEnd w:id="2"/>
      <w:r w:rsidRPr="00B01B68">
        <w:t>Application</w:t>
      </w:r>
    </w:p>
    <w:tbl>
      <w:tblPr>
        <w:tblW w:w="9497" w:type="dxa"/>
        <w:tblLayout w:type="fixed"/>
        <w:tblCellMar>
          <w:left w:w="62" w:type="dxa"/>
          <w:right w:w="62" w:type="dxa"/>
        </w:tblCellMar>
        <w:tblLook w:val="0000"/>
      </w:tblPr>
      <w:tblGrid>
        <w:gridCol w:w="9497"/>
      </w:tblGrid>
      <w:tr w:rsidTr="00B01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t>This unit describes the skills required to examine and certify explosive and non-explosive dangerous goods packag</w:t>
            </w:r>
            <w:r w:rsidRPr="00B01B68">
              <w:t>ing as being free from explosives (FFE) and arisings for salvage or return. Certification of these items as being FFE is a statutory requirement at different stages in the processing of these items, in particular when being sold or offered to the public fo</w:t>
            </w:r>
            <w:r w:rsidRPr="00B01B68">
              <w:t>r scrap metal. This unit does not cover the competencies required for inerting explosives and associated components.</w:t>
            </w:r>
          </w:p>
          <w:p w:rsidR="00000000" w:rsidRPr="00B01B68" w:rsidP="00B01B68">
            <w:pPr>
              <w:pStyle w:val="BodyText"/>
            </w:pPr>
            <w:r w:rsidRPr="00B01B68">
              <w:t>This unit applies to those required to examine and certify salvage and associated packaging as being FFE.</w:t>
            </w:r>
          </w:p>
          <w:p w:rsidR="00000000" w:rsidRPr="00B01B68" w:rsidP="00B01B68">
            <w:pPr>
              <w:pStyle w:val="BodyText"/>
            </w:pPr>
            <w:r w:rsidRPr="00B01B68">
              <w:t>The skills and knowledge describe</w:t>
            </w:r>
            <w:r w:rsidRPr="00B01B68">
              <w:t>d in this unit must be applied within the legislative, regulatory and policy environment in which they are carried out. Organisational policies and procedures must be consulted and adhered to.</w:t>
            </w:r>
          </w:p>
          <w:p w:rsidR="00000000" w:rsidRPr="00B01B68" w:rsidP="00B01B68">
            <w:pPr>
              <w:pStyle w:val="BodyText"/>
            </w:pPr>
            <w:r w:rsidRPr="00B01B68">
              <w:t>Those undertaking this unit would work independently and as par</w:t>
            </w:r>
            <w:r w:rsidRPr="00B01B68">
              <w:t>t of a team, under direct and/or indirect supervision, use discretion and judgement, and take responsibility for the quality of their output. They would perform specific tasks in a broad range of contexts.</w:t>
            </w:r>
          </w:p>
          <w:p w:rsidR="00000000" w:rsidRPr="00B01B68" w:rsidP="00B01B68">
            <w:pPr>
              <w:pStyle w:val="BodyText"/>
            </w:pPr>
            <w:r w:rsidRPr="00B01B68">
              <w:t>No licensing, legislative or certification require</w:t>
            </w:r>
            <w:r w:rsidRPr="00B01B68">
              <w:t>ments apply to unit at the time of publication.</w:t>
            </w:r>
          </w:p>
        </w:tc>
      </w:tr>
    </w:tbl>
    <w:p w:rsidR="00483BE3" w:rsidP="00B01B68">
      <w:pPr>
        <w:pStyle w:val="NoPaddingFontSize1"/>
      </w:pPr>
    </w:p>
    <w:p w:rsidR="00483BE3" w:rsidP="00B01B68">
      <w:pPr>
        <w:pStyle w:val="NoPaddingFontSize1"/>
      </w:pPr>
    </w:p>
    <w:p w:rsidR="00000000" w:rsidRPr="00B01B68" w:rsidP="00B01B68">
      <w:pPr>
        <w:pStyle w:val="Heading1"/>
      </w:pPr>
      <w:bookmarkStart w:id="3" w:name="O_1097001"/>
      <w:bookmarkEnd w:id="3"/>
      <w:r w:rsidRPr="00B01B68">
        <w:t>Pre-requisite Unit</w:t>
      </w:r>
    </w:p>
    <w:tbl>
      <w:tblPr>
        <w:tblW w:w="9497" w:type="dxa"/>
        <w:tblLayout w:type="fixed"/>
        <w:tblCellMar>
          <w:left w:w="62" w:type="dxa"/>
          <w:right w:w="62" w:type="dxa"/>
        </w:tblCellMar>
        <w:tblLook w:val="0000"/>
      </w:tblPr>
      <w:tblGrid>
        <w:gridCol w:w="9497"/>
      </w:tblGrid>
      <w:tr w:rsidTr="00B01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t>Not applicable.</w:t>
            </w:r>
          </w:p>
        </w:tc>
      </w:tr>
    </w:tbl>
    <w:p w:rsidR="00483BE3" w:rsidP="00B01B68">
      <w:pPr>
        <w:pStyle w:val="NoPaddingFontSize1"/>
      </w:pPr>
    </w:p>
    <w:p w:rsidR="00483BE3" w:rsidP="00B01B68">
      <w:pPr>
        <w:pStyle w:val="NoPaddingFontSize1"/>
      </w:pPr>
    </w:p>
    <w:p w:rsidR="00000000" w:rsidRPr="00B01B68" w:rsidP="00B01B68">
      <w:pPr>
        <w:pStyle w:val="Heading1"/>
      </w:pPr>
      <w:bookmarkStart w:id="4" w:name="O_1097002"/>
      <w:bookmarkEnd w:id="4"/>
      <w:r w:rsidRPr="00B01B68">
        <w:t>Competency Field</w:t>
      </w:r>
    </w:p>
    <w:tbl>
      <w:tblPr>
        <w:tblW w:w="9497" w:type="dxa"/>
        <w:tblLayout w:type="fixed"/>
        <w:tblCellMar>
          <w:left w:w="62" w:type="dxa"/>
          <w:right w:w="62" w:type="dxa"/>
        </w:tblCellMar>
        <w:tblLook w:val="0000"/>
      </w:tblPr>
      <w:tblGrid>
        <w:gridCol w:w="9497"/>
      </w:tblGrid>
      <w:tr w:rsidTr="00B01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t>Explosive Ordnance</w:t>
            </w:r>
          </w:p>
        </w:tc>
      </w:tr>
    </w:tbl>
    <w:p w:rsidR="00483BE3" w:rsidP="00B01B68">
      <w:pPr>
        <w:pStyle w:val="NoPaddingFontSize1"/>
      </w:pPr>
    </w:p>
    <w:p w:rsidR="00483BE3" w:rsidP="00B01B68">
      <w:pPr>
        <w:pStyle w:val="NoPaddingFontSize1"/>
      </w:pPr>
    </w:p>
    <w:p w:rsidR="00000000" w:rsidRPr="00B01B68" w:rsidP="00B01B68">
      <w:pPr>
        <w:pStyle w:val="Heading1"/>
      </w:pPr>
      <w:bookmarkStart w:id="5" w:name="O_1097003"/>
      <w:bookmarkEnd w:id="5"/>
      <w:r w:rsidRPr="00B01B68">
        <w:t>Unit Sector</w:t>
      </w:r>
    </w:p>
    <w:tbl>
      <w:tblPr>
        <w:tblW w:w="9497" w:type="dxa"/>
        <w:tblLayout w:type="fixed"/>
        <w:tblCellMar>
          <w:left w:w="62" w:type="dxa"/>
          <w:right w:w="62" w:type="dxa"/>
        </w:tblCellMar>
        <w:tblLook w:val="0000"/>
      </w:tblPr>
      <w:tblGrid>
        <w:gridCol w:w="9497"/>
      </w:tblGrid>
      <w:tr w:rsidTr="00B01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t>Not applicable.</w:t>
            </w:r>
          </w:p>
        </w:tc>
      </w:tr>
    </w:tbl>
    <w:p w:rsidR="00483BE3" w:rsidP="00B01B68">
      <w:pPr>
        <w:pStyle w:val="NoPaddingFontSize1"/>
      </w:pPr>
    </w:p>
    <w:p w:rsidR="00483BE3" w:rsidP="00B01B68">
      <w:pPr>
        <w:pStyle w:val="NoPaddingFontSize1"/>
      </w:pPr>
    </w:p>
    <w:p w:rsidR="00000000" w:rsidRPr="00B01B68" w:rsidP="00B01B68">
      <w:pPr>
        <w:pStyle w:val="Heading1"/>
      </w:pPr>
      <w:bookmarkStart w:id="6" w:name="O_1097004"/>
      <w:bookmarkEnd w:id="6"/>
      <w:r w:rsidRPr="00B01B6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01B6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rPr>
                <w:rStyle w:val="SpecialBold"/>
              </w:rPr>
              <w:t>PERFORMANCE CRITERIA</w:t>
            </w:r>
          </w:p>
        </w:tc>
      </w:tr>
      <w:tr w:rsidTr="00B01B6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t xml:space="preserve">Elements describe the essential </w:t>
            </w:r>
            <w:r w:rsidRPr="00B01B68">
              <w:t>outcomes.</w:t>
            </w:r>
          </w:p>
        </w:tc>
        <w:tc>
          <w:tcPr>
            <w:tcW w:w="6289" w:type="dxa"/>
            <w:gridSpan w:val="2"/>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t xml:space="preserve">Performance criteria describe the performance needed to </w:t>
            </w:r>
            <w:r w:rsidRPr="00B01B68">
              <w:t>demonstrate achievement of the element.</w:t>
            </w:r>
          </w:p>
        </w:tc>
      </w:tr>
      <w:tr w:rsidTr="00B01B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rPr>
                <w:rStyle w:val="SpecialBold"/>
              </w:rPr>
              <w:t>Prepare for certification</w:t>
            </w:r>
          </w:p>
        </w:tc>
        <w:tc>
          <w:tcPr>
            <w:tcW w:w="697"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t>Identify requirement for certification</w:t>
            </w:r>
          </w:p>
        </w:tc>
      </w:tr>
      <w:tr w:rsidTr="00B01B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1B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t>Identify and prepare suitable location to carry out operation</w:t>
            </w:r>
          </w:p>
        </w:tc>
      </w:tr>
      <w:tr w:rsidTr="00B01B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1B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t>Identify, acquire and prepare equipment required for the certification process</w:t>
            </w:r>
          </w:p>
        </w:tc>
      </w:tr>
      <w:tr w:rsidTr="00B01B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rPr>
                <w:rStyle w:val="SpecialBold"/>
              </w:rPr>
              <w:t>Certify as Free From Explosives (FFE)</w:t>
            </w:r>
          </w:p>
        </w:tc>
        <w:tc>
          <w:tcPr>
            <w:tcW w:w="697"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t>Con</w:t>
            </w:r>
            <w:r w:rsidRPr="00B01B68">
              <w:t xml:space="preserve">duct examinations of explosive and non-explosive dangerous goods packaging </w:t>
            </w:r>
          </w:p>
        </w:tc>
      </w:tr>
      <w:tr w:rsidTr="00B01B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1B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t>Deface/remove packaging mandatory markings</w:t>
            </w:r>
          </w:p>
        </w:tc>
      </w:tr>
      <w:tr w:rsidTr="00B01B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1B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t>Seal packaging confirmed as being FFE</w:t>
            </w:r>
          </w:p>
        </w:tc>
      </w:tr>
      <w:tr w:rsidTr="00B01B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1B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t>Apply emergency and contingency procedures</w:t>
            </w:r>
          </w:p>
        </w:tc>
      </w:tr>
      <w:tr w:rsidTr="00B01B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t>3</w:t>
            </w:r>
          </w:p>
        </w:tc>
        <w:tc>
          <w:tcPr>
            <w:tcW w:w="2744"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rPr>
                <w:rStyle w:val="SpecialBold"/>
              </w:rPr>
              <w:t>Inspect arisings and salvage</w:t>
            </w:r>
          </w:p>
        </w:tc>
        <w:tc>
          <w:tcPr>
            <w:tcW w:w="697"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t>Inspect arisings and salvage to confirm items have completed functioning</w:t>
            </w:r>
          </w:p>
        </w:tc>
      </w:tr>
      <w:tr w:rsidTr="00B01B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1B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t>Inspect arisings and salvage to confirm items are free from misfire</w:t>
            </w:r>
          </w:p>
        </w:tc>
      </w:tr>
      <w:tr w:rsidTr="00B01B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t>4</w:t>
            </w:r>
          </w:p>
        </w:tc>
        <w:tc>
          <w:tcPr>
            <w:tcW w:w="2744"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rPr>
                <w:rStyle w:val="SpecialBold"/>
              </w:rPr>
              <w:t>Carry out post certification procedures</w:t>
            </w:r>
          </w:p>
        </w:tc>
        <w:tc>
          <w:tcPr>
            <w:tcW w:w="697"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t>Package and label arisings and salvage</w:t>
            </w:r>
          </w:p>
        </w:tc>
      </w:tr>
      <w:tr w:rsidTr="00B01B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1B6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t>Maintain accurate documentation and records</w:t>
            </w:r>
          </w:p>
        </w:tc>
      </w:tr>
    </w:tbl>
    <w:p w:rsidR="00483BE3" w:rsidP="00B01B68">
      <w:pPr>
        <w:pStyle w:val="NoPaddingFontSize1"/>
      </w:pPr>
    </w:p>
    <w:p w:rsidR="00483BE3" w:rsidP="00B01B68">
      <w:pPr>
        <w:pStyle w:val="NoPaddingFontSize1"/>
      </w:pPr>
    </w:p>
    <w:p w:rsidR="00000000" w:rsidRPr="00B01B68" w:rsidP="00B01B68">
      <w:pPr>
        <w:pStyle w:val="Heading1"/>
      </w:pPr>
      <w:bookmarkStart w:id="7" w:name="O_1097005"/>
      <w:bookmarkEnd w:id="7"/>
      <w:r w:rsidRPr="00B01B68">
        <w:t>Foundation Skills</w:t>
      </w:r>
    </w:p>
    <w:tbl>
      <w:tblPr>
        <w:tblW w:w="9497" w:type="dxa"/>
        <w:tblLayout w:type="fixed"/>
        <w:tblCellMar>
          <w:left w:w="62" w:type="dxa"/>
          <w:right w:w="62" w:type="dxa"/>
        </w:tblCellMar>
        <w:tblLook w:val="0000"/>
      </w:tblPr>
      <w:tblGrid>
        <w:gridCol w:w="9497"/>
      </w:tblGrid>
      <w:tr w:rsidTr="00B01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t>Foundation skills essential to performance are explicit in the performance criteria of this unit of competency.</w:t>
            </w:r>
          </w:p>
        </w:tc>
      </w:tr>
    </w:tbl>
    <w:p w:rsidR="00483BE3" w:rsidP="00B01B68">
      <w:pPr>
        <w:pStyle w:val="NoPaddingFontSize1"/>
      </w:pPr>
    </w:p>
    <w:p w:rsidR="00483BE3" w:rsidP="00B01B68">
      <w:pPr>
        <w:pStyle w:val="NoPaddingFontSize1"/>
      </w:pPr>
    </w:p>
    <w:p w:rsidR="00000000" w:rsidRPr="00B01B68" w:rsidP="00B01B68">
      <w:pPr>
        <w:pStyle w:val="Heading1"/>
      </w:pPr>
      <w:bookmarkStart w:id="8" w:name="O_1097006"/>
      <w:bookmarkEnd w:id="8"/>
      <w:r w:rsidRPr="00B01B68">
        <w:t>Range of Conditions</w:t>
      </w:r>
    </w:p>
    <w:tbl>
      <w:tblPr>
        <w:tblW w:w="9497" w:type="dxa"/>
        <w:tblLayout w:type="fixed"/>
        <w:tblCellMar>
          <w:left w:w="62" w:type="dxa"/>
          <w:right w:w="62" w:type="dxa"/>
        </w:tblCellMar>
        <w:tblLook w:val="0000"/>
      </w:tblPr>
      <w:tblGrid>
        <w:gridCol w:w="9497"/>
      </w:tblGrid>
      <w:tr w:rsidTr="00B01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t>Range is restricted to essential operating conditions and any other variables essential to the work environment.</w:t>
            </w:r>
          </w:p>
          <w:p w:rsidR="00000000" w:rsidRPr="00B01B68" w:rsidP="00B01B68">
            <w:pPr>
              <w:pStyle w:val="BodyText"/>
            </w:pPr>
            <w:r w:rsidRPr="00B01B68">
              <w:t>Non-essential conditions may be found in the Companion Volume Implementation Guide.</w:t>
            </w:r>
          </w:p>
        </w:tc>
      </w:tr>
    </w:tbl>
    <w:p w:rsidR="00483BE3" w:rsidP="00B01B68">
      <w:pPr>
        <w:pStyle w:val="NoPaddingFontSize1"/>
      </w:pPr>
    </w:p>
    <w:p w:rsidR="00483BE3" w:rsidP="00B01B68">
      <w:pPr>
        <w:pStyle w:val="NoPaddingFontSize1"/>
      </w:pPr>
    </w:p>
    <w:p w:rsidR="00000000" w:rsidRPr="00B01B68" w:rsidP="00B01B68">
      <w:pPr>
        <w:pStyle w:val="Heading1"/>
      </w:pPr>
      <w:bookmarkStart w:id="9" w:name="O_1097007"/>
      <w:bookmarkEnd w:id="9"/>
      <w:r w:rsidRPr="00B01B68">
        <w:t>Unit Mapping Information</w:t>
      </w:r>
    </w:p>
    <w:tbl>
      <w:tblPr>
        <w:tblW w:w="9497" w:type="dxa"/>
        <w:tblLayout w:type="fixed"/>
        <w:tblCellMar>
          <w:left w:w="62" w:type="dxa"/>
          <w:right w:w="62" w:type="dxa"/>
        </w:tblCellMar>
        <w:tblLook w:val="0000"/>
      </w:tblPr>
      <w:tblGrid>
        <w:gridCol w:w="9497"/>
      </w:tblGrid>
      <w:tr w:rsidTr="00B01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t>This unit supersedes and is equivalent to DEFEXO004 Examine and certify free from explosives.</w:t>
            </w:r>
          </w:p>
        </w:tc>
      </w:tr>
    </w:tbl>
    <w:p w:rsidR="00483BE3" w:rsidP="00B01B68">
      <w:pPr>
        <w:pStyle w:val="NoPaddingFontSize1"/>
      </w:pPr>
    </w:p>
    <w:p w:rsidR="00483BE3" w:rsidP="00B01B68">
      <w:pPr>
        <w:pStyle w:val="NoPaddingFontSize1"/>
      </w:pPr>
    </w:p>
    <w:p w:rsidR="00000000" w:rsidRPr="00B01B68" w:rsidP="00B01B68">
      <w:pPr>
        <w:pStyle w:val="Heading1"/>
      </w:pPr>
      <w:bookmarkStart w:id="10" w:name="O_1097014"/>
      <w:bookmarkEnd w:id="10"/>
      <w:r w:rsidRPr="00B01B68">
        <w:t>Links</w:t>
      </w:r>
    </w:p>
    <w:p w:rsidR="00000000" w:rsidRPr="00B01B68" w:rsidP="00483BE3">
      <w:pPr>
        <w:pStyle w:val="BodyText"/>
      </w:pPr>
      <w:r w:rsidRPr="00B01B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E0DA0">
        <w:rPr>
          <w:rStyle w:val="Hyperlink"/>
        </w:rPr>
        <w:t>https://vetnet.gov.au/Pages/TrainingDocs.aspx?q=6bdbab1e-11ed-4bc9-9cba-9e1a55d4e4a9</w:t>
      </w:r>
      <w:r>
        <w:fldChar w:fldCharType="end"/>
      </w:r>
    </w:p>
    <w:p w:rsidR="00000000" w:rsidRPr="00B01B68" w:rsidP="00483BE3">
      <w:pPr>
        <w:pStyle w:val="BodyText"/>
        <w:sectPr w:rsidSect="00B01B68">
          <w:headerReference w:type="default" r:id="rId10"/>
          <w:footerReference w:type="default" r:id="rId11"/>
          <w:pgSz w:w="11908" w:h="16833"/>
          <w:pgMar w:top="1702" w:right="1418" w:bottom="1702" w:left="1418" w:header="992" w:footer="992" w:gutter="0"/>
          <w:cols w:space="720"/>
          <w:noEndnote/>
          <w:docGrid w:linePitch="299"/>
        </w:sectPr>
      </w:pPr>
    </w:p>
    <w:p w:rsidR="00000000" w:rsidRPr="00B01B68" w:rsidP="00B01B68">
      <w:pPr>
        <w:pStyle w:val="SuperHeading"/>
      </w:pPr>
      <w:r w:rsidRPr="00B01B68">
        <w:t>Assessment Requirements for DEFEXO017 Examine and certify free from explosives</w:t>
      </w:r>
    </w:p>
    <w:p w:rsidR="00000000" w:rsidRPr="00B01B68" w:rsidP="00B01B68">
      <w:pPr>
        <w:pStyle w:val="Heading1"/>
      </w:pPr>
      <w:bookmarkStart w:id="11" w:name="O_1097009"/>
      <w:bookmarkEnd w:id="11"/>
      <w:r w:rsidRPr="00B01B68">
        <w:t>Modification History</w:t>
      </w:r>
    </w:p>
    <w:tbl>
      <w:tblPr>
        <w:tblW w:w="9497" w:type="dxa"/>
        <w:tblLayout w:type="fixed"/>
        <w:tblCellMar>
          <w:left w:w="62" w:type="dxa"/>
          <w:right w:w="62" w:type="dxa"/>
        </w:tblCellMar>
        <w:tblLook w:val="0000"/>
      </w:tblPr>
      <w:tblGrid>
        <w:gridCol w:w="9497"/>
      </w:tblGrid>
      <w:tr w:rsidTr="00B01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t xml:space="preserve">Release 1. These Assessment Requirements were released in DEF Defence Training </w:t>
            </w:r>
            <w:r w:rsidRPr="00B01B68">
              <w:t>Package release 3.0</w:t>
            </w:r>
          </w:p>
        </w:tc>
      </w:tr>
    </w:tbl>
    <w:p w:rsidR="00483BE3" w:rsidP="00B01B68">
      <w:pPr>
        <w:pStyle w:val="NoPaddingFontSize1"/>
      </w:pPr>
    </w:p>
    <w:p w:rsidR="00483BE3" w:rsidP="00B01B68">
      <w:pPr>
        <w:pStyle w:val="NoPaddingFontSize1"/>
      </w:pPr>
    </w:p>
    <w:p w:rsidR="00000000" w:rsidRPr="00B01B68" w:rsidP="00B01B68">
      <w:pPr>
        <w:pStyle w:val="Heading1"/>
      </w:pPr>
      <w:bookmarkStart w:id="12" w:name="O_1097010"/>
      <w:bookmarkEnd w:id="12"/>
      <w:r w:rsidRPr="00B01B68">
        <w:t>Performance Evidence</w:t>
      </w:r>
    </w:p>
    <w:tbl>
      <w:tblPr>
        <w:tblW w:w="9497" w:type="dxa"/>
        <w:tblLayout w:type="fixed"/>
        <w:tblCellMar>
          <w:left w:w="62" w:type="dxa"/>
          <w:right w:w="62" w:type="dxa"/>
        </w:tblCellMar>
        <w:tblLook w:val="0000"/>
      </w:tblPr>
      <w:tblGrid>
        <w:gridCol w:w="9497"/>
      </w:tblGrid>
      <w:tr w:rsidTr="00B01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t>Evidence required to demonstrate competence in this unit must be relevant to and satisfy all of the requirements of the elements and performance criteria on at least one occasion and includes:</w:t>
            </w:r>
          </w:p>
        </w:tc>
      </w:tr>
      <w:tr w:rsidTr="00B01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1B68" w:rsidP="00B01B68">
            <w:pPr>
              <w:pStyle w:val="ListBullet"/>
            </w:pPr>
            <w:r w:rsidRPr="00B01B68">
              <w:t>applying operational safety</w:t>
            </w:r>
          </w:p>
          <w:p w:rsidR="00000000" w:rsidRPr="00B01B68" w:rsidP="00B01B68">
            <w:pPr>
              <w:pStyle w:val="ListBullet"/>
            </w:pPr>
            <w:r w:rsidRPr="00B01B68">
              <w:t>identifying ammunition and explosive components</w:t>
            </w:r>
          </w:p>
          <w:p w:rsidR="00000000" w:rsidRPr="00B01B68" w:rsidP="00B01B68">
            <w:pPr>
              <w:pStyle w:val="ListBullet"/>
            </w:pPr>
            <w:r w:rsidRPr="00B01B68">
              <w:t>identifying explosive contaminants</w:t>
            </w:r>
          </w:p>
          <w:p w:rsidR="00000000" w:rsidRPr="00B01B68" w:rsidP="00B01B68">
            <w:pPr>
              <w:pStyle w:val="ListBullet"/>
            </w:pPr>
            <w:r w:rsidRPr="00B01B68">
              <w:t>identifying relevant labels and markings</w:t>
            </w:r>
          </w:p>
        </w:tc>
      </w:tr>
    </w:tbl>
    <w:p w:rsidR="00483BE3" w:rsidP="00B01B68">
      <w:pPr>
        <w:pStyle w:val="NoPaddingFontSize1"/>
      </w:pPr>
    </w:p>
    <w:p w:rsidR="00483BE3" w:rsidP="00B01B68">
      <w:pPr>
        <w:pStyle w:val="NoPaddingFontSize1"/>
      </w:pPr>
    </w:p>
    <w:p w:rsidR="00000000" w:rsidRPr="00B01B68" w:rsidP="00B01B68">
      <w:pPr>
        <w:pStyle w:val="Heading1"/>
      </w:pPr>
      <w:bookmarkStart w:id="13" w:name="O_1097011"/>
      <w:bookmarkEnd w:id="13"/>
      <w:r w:rsidRPr="00B01B68">
        <w:t>Knowledge Evidence</w:t>
      </w:r>
    </w:p>
    <w:tbl>
      <w:tblPr>
        <w:tblW w:w="9497" w:type="dxa"/>
        <w:tblLayout w:type="fixed"/>
        <w:tblCellMar>
          <w:left w:w="62" w:type="dxa"/>
          <w:right w:w="62" w:type="dxa"/>
        </w:tblCellMar>
        <w:tblLook w:val="0000"/>
      </w:tblPr>
      <w:tblGrid>
        <w:gridCol w:w="9497"/>
      </w:tblGrid>
      <w:tr w:rsidTr="00B01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1B68">
            <w:pPr>
              <w:pStyle w:val="BodyText"/>
              <w:rPr>
                <w:lang w:val="en-NZ"/>
              </w:rPr>
            </w:pPr>
            <w:r w:rsidRPr="00B01B68">
              <w:t xml:space="preserve">Evidence required to demonstrate competence in this unit must be relevant to and satisfy all of the requirements of the elements and performance criteria and include </w:t>
            </w:r>
          </w:p>
        </w:tc>
      </w:tr>
      <w:tr w:rsidTr="00B01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t>operational knowledge of:</w:t>
            </w:r>
          </w:p>
          <w:p w:rsidR="00000000" w:rsidRPr="00B01B68" w:rsidP="00B01B68">
            <w:pPr>
              <w:pStyle w:val="ListBullet"/>
            </w:pPr>
            <w:r w:rsidRPr="00B01B68">
              <w:t>documentation requirements</w:t>
            </w:r>
          </w:p>
          <w:p w:rsidR="00000000" w:rsidRPr="00B01B68" w:rsidP="00B01B68">
            <w:pPr>
              <w:pStyle w:val="ListBullet"/>
            </w:pPr>
            <w:r w:rsidRPr="00B01B68">
              <w:t>equipment used in FFE process</w:t>
            </w:r>
          </w:p>
          <w:p w:rsidR="00000000" w:rsidRPr="00B01B68" w:rsidP="00B01B68">
            <w:pPr>
              <w:pStyle w:val="ListBullet"/>
            </w:pPr>
            <w:r w:rsidRPr="00B01B68">
              <w:t>expl</w:t>
            </w:r>
            <w:r w:rsidRPr="00B01B68">
              <w:t>osive contaminants</w:t>
            </w:r>
          </w:p>
          <w:p w:rsidR="00000000" w:rsidRPr="00B01B68" w:rsidP="00B01B68">
            <w:pPr>
              <w:pStyle w:val="ListBullet"/>
            </w:pPr>
            <w:r w:rsidRPr="00B01B68">
              <w:t>explosive packaging components and fitments</w:t>
            </w:r>
          </w:p>
          <w:p w:rsidR="00000000" w:rsidRPr="00B01B68" w:rsidP="00B01B68">
            <w:pPr>
              <w:pStyle w:val="ListBullet"/>
            </w:pPr>
            <w:r w:rsidRPr="00B01B68">
              <w:t>operational safety and WHS standards</w:t>
            </w:r>
          </w:p>
          <w:p w:rsidR="00000000" w:rsidRPr="00B01B68" w:rsidP="00B01B68">
            <w:pPr>
              <w:pStyle w:val="ListBullet"/>
            </w:pPr>
            <w:r w:rsidRPr="00B01B68">
              <w:t>relevant labels and markings</w:t>
            </w:r>
          </w:p>
          <w:p w:rsidR="00000000" w:rsidRPr="00B01B68" w:rsidP="00B01B68">
            <w:pPr>
              <w:pStyle w:val="ListBullet"/>
            </w:pPr>
            <w:r w:rsidRPr="00B01B68">
              <w:t>types of ammunition, explosive component parts</w:t>
            </w:r>
          </w:p>
        </w:tc>
      </w:tr>
    </w:tbl>
    <w:p w:rsidR="00483BE3" w:rsidP="00B01B68">
      <w:pPr>
        <w:pStyle w:val="NoPaddingFontSize1"/>
      </w:pPr>
    </w:p>
    <w:p w:rsidR="00483BE3" w:rsidP="00B01B68">
      <w:pPr>
        <w:pStyle w:val="NoPaddingFontSize1"/>
      </w:pPr>
    </w:p>
    <w:p w:rsidR="00000000" w:rsidRPr="00B01B68" w:rsidP="00B01B68">
      <w:pPr>
        <w:pStyle w:val="Heading1"/>
      </w:pPr>
      <w:bookmarkStart w:id="14" w:name="O_1097012"/>
      <w:bookmarkEnd w:id="14"/>
      <w:r w:rsidRPr="00B01B68">
        <w:t>Assessment Conditions</w:t>
      </w:r>
    </w:p>
    <w:tbl>
      <w:tblPr>
        <w:tblW w:w="9497" w:type="dxa"/>
        <w:tblLayout w:type="fixed"/>
        <w:tblCellMar>
          <w:left w:w="62" w:type="dxa"/>
          <w:right w:w="62" w:type="dxa"/>
        </w:tblCellMar>
        <w:tblLook w:val="0000"/>
      </w:tblPr>
      <w:tblGrid>
        <w:gridCol w:w="9497"/>
      </w:tblGrid>
      <w:tr w:rsidTr="00B01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1B68" w:rsidP="00B01B68">
            <w:pPr>
              <w:pStyle w:val="BodyText"/>
            </w:pPr>
            <w:r w:rsidRPr="00B01B68">
              <w:t>Assessors must hold credentials specified within the Standards for Registered Training Organisations current at the time of assessment.</w:t>
            </w:r>
          </w:p>
          <w:p w:rsidR="00000000" w:rsidRPr="00B01B68" w:rsidP="00B01B68">
            <w:pPr>
              <w:pStyle w:val="BodyText"/>
            </w:pPr>
            <w:r w:rsidRPr="00B01B68">
              <w:t>Assessment must satisfy the Principles of Assessment and Rules of Evidence and all regulatory requirements included with</w:t>
            </w:r>
            <w:r w:rsidRPr="00B01B68">
              <w:t>in the Standards for Registered Training Organisations current at the time of assessment.</w:t>
            </w:r>
          </w:p>
          <w:p w:rsidR="00000000" w:rsidRPr="00B01B68" w:rsidP="00B01B68">
            <w:pPr>
              <w:pStyle w:val="BodyText"/>
            </w:pPr>
            <w:r w:rsidRPr="00B01B68">
              <w:t>Assessment must occur in workplace operational situations. Where this is not appropriate, assessment must occur in simulated workplace operational situations that ref</w:t>
            </w:r>
            <w:r w:rsidRPr="00B01B68">
              <w:t>lect workplace conditions.</w:t>
            </w:r>
          </w:p>
          <w:p w:rsidR="00000000" w:rsidRPr="00B01B68" w:rsidP="00B01B68">
            <w:pPr>
              <w:pStyle w:val="BodyText"/>
            </w:pPr>
            <w:r w:rsidRPr="00B01B68">
              <w:t>Assessment processes and techniques must be appropriate to the language, literacy and numeracy requirements of the work being performed and the needs of the candidate.</w:t>
            </w:r>
          </w:p>
          <w:p w:rsidR="00000000" w:rsidRPr="00B01B68" w:rsidP="00B01B68">
            <w:pPr>
              <w:pStyle w:val="BodyText"/>
            </w:pPr>
            <w:r w:rsidRPr="00B01B68">
              <w:t>Resources for assessment must include access to:</w:t>
            </w:r>
          </w:p>
          <w:p w:rsidR="00000000" w:rsidRPr="00B01B68" w:rsidP="00B01B68">
            <w:pPr>
              <w:pStyle w:val="ListBullet"/>
            </w:pPr>
            <w:r w:rsidRPr="00B01B68">
              <w:tab/>
              <w:t>a range of</w:t>
            </w:r>
            <w:r w:rsidRPr="00B01B68">
              <w:t xml:space="preserve"> relevant exercises, case studies and/or simulations </w:t>
            </w:r>
          </w:p>
          <w:p w:rsidR="00000000" w:rsidRPr="00B01B68" w:rsidP="00B01B68">
            <w:pPr>
              <w:pStyle w:val="ListBullet"/>
            </w:pPr>
            <w:r w:rsidRPr="00B01B68">
              <w:tab/>
              <w:t xml:space="preserve">acceptable means of simulation assessment </w:t>
            </w:r>
          </w:p>
          <w:p w:rsidR="00000000" w:rsidRPr="00B01B68" w:rsidP="00B01B68">
            <w:pPr>
              <w:pStyle w:val="ListBullet"/>
            </w:pPr>
            <w:r w:rsidRPr="00B01B68">
              <w:tab/>
              <w:t xml:space="preserve">applicable documentation, including workplace procedures, regulations, codes of practice and operation manuals </w:t>
            </w:r>
          </w:p>
          <w:p w:rsidR="00000000" w:rsidRPr="00B01B68" w:rsidP="00B01B68">
            <w:pPr>
              <w:pStyle w:val="ListBullet"/>
            </w:pPr>
            <w:r w:rsidRPr="00B01B68">
              <w:tab/>
              <w:t>relevant materials, tools, equipment and PPE</w:t>
            </w:r>
            <w:r w:rsidRPr="00B01B68">
              <w:t xml:space="preserve"> currently used in industry.</w:t>
            </w:r>
          </w:p>
        </w:tc>
      </w:tr>
    </w:tbl>
    <w:p w:rsidR="00483BE3" w:rsidP="00B01B68">
      <w:pPr>
        <w:pStyle w:val="NoPaddingFontSize1"/>
      </w:pPr>
    </w:p>
    <w:p w:rsidR="00483BE3" w:rsidP="00B01B68">
      <w:pPr>
        <w:pStyle w:val="NoPaddingFontSize1"/>
      </w:pPr>
    </w:p>
    <w:p w:rsidR="00000000" w:rsidRPr="00B01B68" w:rsidP="00B01B68">
      <w:pPr>
        <w:pStyle w:val="Heading1"/>
      </w:pPr>
      <w:bookmarkStart w:id="15" w:name="O_1097015"/>
      <w:bookmarkEnd w:id="15"/>
      <w:r w:rsidRPr="00B01B68">
        <w:t>Links</w:t>
      </w:r>
    </w:p>
    <w:p w:rsidR="00000000" w:rsidRPr="00B01B68" w:rsidP="00483BE3">
      <w:pPr>
        <w:pStyle w:val="BodyText"/>
      </w:pPr>
      <w:r w:rsidRPr="00B01B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E0DA0">
        <w:rPr>
          <w:rStyle w:val="Hyperlink"/>
        </w:rPr>
        <w:t>https://vetnet.gov.au/Pages/TrainingDocs.aspx?q=6bdbab1e-11ed-4bc9-9cba-9e1a55d4e4a9</w:t>
      </w:r>
      <w:r>
        <w:fldChar w:fldCharType="end"/>
      </w:r>
    </w:p>
    <w:p w:rsidR="00000000" w:rsidRPr="00B01B68" w:rsidP="00B01B68"/>
    <w:sectPr w:rsidSect="00B01B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68" w:rsidRPr="00483BE3" w:rsidP="00483B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BE3" w:rsidP="00B01B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3BE3" w:rsidP="00B01B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83BE3" w:rsidP="00B01B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68" w:rsidP="00B01B68">
    <w:pPr>
      <w:pStyle w:val="Footer"/>
      <w:framePr w:wrap="around"/>
    </w:pPr>
    <w:r>
      <w:fldChar w:fldCharType="begin"/>
    </w:r>
    <w:r>
      <w:instrText xml:space="preserve"> DOCPROPERTY  Subject  \* MERGEFORMAT </w:instrText>
    </w:r>
    <w:r>
      <w:fldChar w:fldCharType="separate"/>
    </w:r>
    <w:r w:rsidR="00483BE3">
      <w:t>Approved</w:t>
    </w:r>
    <w:r w:rsidR="00483BE3">
      <w:fldChar w:fldCharType="end"/>
    </w:r>
    <w:r>
      <w:tab/>
      <w:t xml:space="preserve">Page </w:t>
    </w:r>
    <w:r>
      <w:fldChar w:fldCharType="begin"/>
    </w:r>
    <w:r>
      <w:instrText xml:space="preserve"> PAGE  \* Arabic  \* MERGEFORMAT </w:instrText>
    </w:r>
    <w:r>
      <w:fldChar w:fldCharType="separate"/>
    </w:r>
    <w:r w:rsidR="00483B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3BE3">
      <w:rPr>
        <w:noProof/>
      </w:rPr>
      <w:t>4</w:t>
    </w:r>
    <w:r>
      <w:rPr>
        <w:noProof/>
      </w:rPr>
      <w:fldChar w:fldCharType="end"/>
    </w:r>
  </w:p>
  <w:p w:rsidR="00B01B68" w:rsidP="00B01B68">
    <w:pPr>
      <w:pStyle w:val="Footer"/>
      <w:framePr w:wrap="around"/>
    </w:pPr>
    <w:r>
      <w:t xml:space="preserve">© Commonwealth of Australia, </w:t>
    </w:r>
    <w:r>
      <w:fldChar w:fldCharType="begin"/>
    </w:r>
    <w:r>
      <w:instrText xml:space="preserve"> DATE  \@ "yyyy"  \* MERGEFORMAT </w:instrText>
    </w:r>
    <w:r>
      <w:fldChar w:fldCharType="separate"/>
    </w:r>
    <w:r w:rsidR="00483BE3">
      <w:rPr>
        <w:noProof/>
      </w:rPr>
      <w:t>2025</w:t>
    </w:r>
    <w:r>
      <w:fldChar w:fldCharType="end"/>
    </w:r>
    <w:r>
      <w:tab/>
    </w:r>
    <w:r>
      <w:fldChar w:fldCharType="begin"/>
    </w:r>
    <w:r>
      <w:instrText xml:space="preserve"> DOCPROPERTY  Author  \* MERGEFORMAT </w:instrText>
    </w:r>
    <w:r>
      <w:fldChar w:fldCharType="separate"/>
    </w:r>
    <w:r w:rsidR="00483BE3">
      <w:t>Public Skills Australia</w:t>
    </w:r>
    <w:r w:rsidR="00483BE3">
      <w:fldChar w:fldCharType="end"/>
    </w:r>
  </w:p>
  <w:p w:rsidR="00B01B68" w:rsidP="00B01B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B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1B68" w:rsidRPr="00483BE3" w:rsidP="00483B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BE3" w:rsidRPr="002D2AF8" w:rsidP="00B01B68">
    <w:pPr>
      <w:pStyle w:val="Header"/>
      <w:framePr w:wrap="around"/>
    </w:pPr>
    <w:r>
      <w:fldChar w:fldCharType="begin"/>
    </w:r>
    <w:r>
      <w:instrText xml:space="preserve"> TITLE   \* MERGEFORMAT </w:instrText>
    </w:r>
    <w:r>
      <w:fldChar w:fldCharType="separate"/>
    </w:r>
    <w:r>
      <w:t>DEFEXO017 Examine and certify free from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3BE3" w:rsidP="00B01B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68" w:rsidRPr="002D2AF8" w:rsidP="00B01B68">
    <w:pPr>
      <w:pStyle w:val="Header"/>
      <w:framePr w:wrap="around"/>
    </w:pPr>
    <w:r>
      <w:fldChar w:fldCharType="begin"/>
    </w:r>
    <w:r>
      <w:instrText xml:space="preserve"> TITLE   \* MERGEFORMAT </w:instrText>
    </w:r>
    <w:r>
      <w:fldChar w:fldCharType="separate"/>
    </w:r>
    <w:r w:rsidR="00483BE3">
      <w:t>DEFEXO017 Examine and certify free from explosives</w:t>
    </w:r>
    <w:r w:rsidR="00483BE3">
      <w:fldChar w:fldCharType="end"/>
    </w:r>
    <w:r>
      <w:tab/>
      <w:t xml:space="preserve">Date this document was generated: </w:t>
    </w:r>
    <w:r>
      <w:fldChar w:fldCharType="begin"/>
    </w:r>
    <w:r>
      <w:instrText xml:space="preserve"> CREATEDATE  \@ "d MMMM yyyy"  \* MERGEFORMAT </w:instrText>
    </w:r>
    <w:r>
      <w:fldChar w:fldCharType="separate"/>
    </w:r>
    <w:r w:rsidR="00483BE3">
      <w:rPr>
        <w:noProof/>
      </w:rPr>
      <w:t>2 March 2025</w:t>
    </w:r>
    <w:r>
      <w:fldChar w:fldCharType="end"/>
    </w:r>
  </w:p>
  <w:p w:rsidR="00B01B68" w:rsidP="00B01B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AC63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AA78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B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1B68"/>
    <w:pPr>
      <w:spacing w:before="360" w:after="60"/>
      <w:outlineLvl w:val="0"/>
    </w:pPr>
    <w:rPr>
      <w:sz w:val="32"/>
    </w:rPr>
  </w:style>
  <w:style w:type="paragraph" w:styleId="Heading2">
    <w:name w:val="heading 2"/>
    <w:basedOn w:val="HeadingBase"/>
    <w:next w:val="BodyText"/>
    <w:link w:val="Heading2Char"/>
    <w:qFormat/>
    <w:rsid w:val="00B01B68"/>
    <w:pPr>
      <w:keepLines/>
      <w:spacing w:before="240" w:after="120"/>
      <w:outlineLvl w:val="1"/>
    </w:pPr>
    <w:rPr>
      <w:sz w:val="28"/>
      <w:szCs w:val="40"/>
    </w:rPr>
  </w:style>
  <w:style w:type="paragraph" w:styleId="Heading3">
    <w:name w:val="heading 3"/>
    <w:basedOn w:val="HeadingBase"/>
    <w:next w:val="BodyText"/>
    <w:link w:val="Heading3Char"/>
    <w:qFormat/>
    <w:rsid w:val="00B01B68"/>
    <w:pPr>
      <w:spacing w:before="180" w:after="120"/>
      <w:outlineLvl w:val="2"/>
    </w:pPr>
    <w:rPr>
      <w:spacing w:val="-10"/>
      <w:kern w:val="32"/>
    </w:rPr>
  </w:style>
  <w:style w:type="paragraph" w:styleId="Heading4">
    <w:name w:val="heading 4"/>
    <w:basedOn w:val="HeadingBase"/>
    <w:next w:val="BodyText"/>
    <w:link w:val="Heading4Char"/>
    <w:qFormat/>
    <w:rsid w:val="00B01B68"/>
    <w:pPr>
      <w:spacing w:before="160" w:after="120"/>
      <w:outlineLvl w:val="3"/>
    </w:pPr>
    <w:rPr>
      <w:sz w:val="22"/>
    </w:rPr>
  </w:style>
  <w:style w:type="paragraph" w:styleId="Heading5">
    <w:name w:val="heading 5"/>
    <w:basedOn w:val="HeadingBase"/>
    <w:next w:val="Normal"/>
    <w:link w:val="Heading5Char"/>
    <w:qFormat/>
    <w:rsid w:val="00B01B68"/>
    <w:pPr>
      <w:spacing w:before="80"/>
      <w:outlineLvl w:val="4"/>
    </w:pPr>
    <w:rPr>
      <w:color w:val="918585"/>
      <w:sz w:val="20"/>
    </w:rPr>
  </w:style>
  <w:style w:type="paragraph" w:styleId="Heading6">
    <w:name w:val="heading 6"/>
    <w:basedOn w:val="HeadingBase"/>
    <w:next w:val="Normal"/>
    <w:link w:val="Heading6Char"/>
    <w:qFormat/>
    <w:rsid w:val="00B01B68"/>
    <w:pPr>
      <w:spacing w:before="60"/>
      <w:outlineLvl w:val="5"/>
    </w:pPr>
    <w:rPr>
      <w:color w:val="918585"/>
      <w:sz w:val="20"/>
    </w:rPr>
  </w:style>
  <w:style w:type="paragraph" w:styleId="Heading7">
    <w:name w:val="heading 7"/>
    <w:basedOn w:val="Normal"/>
    <w:next w:val="Normal"/>
    <w:link w:val="Heading7Char"/>
    <w:qFormat/>
    <w:rsid w:val="00B01B68"/>
    <w:pPr>
      <w:ind w:left="720"/>
      <w:outlineLvl w:val="6"/>
    </w:pPr>
    <w:rPr>
      <w:i/>
    </w:rPr>
  </w:style>
  <w:style w:type="paragraph" w:styleId="Heading8">
    <w:name w:val="heading 8"/>
    <w:basedOn w:val="Normal"/>
    <w:next w:val="Normal"/>
    <w:link w:val="Heading8Char"/>
    <w:qFormat/>
    <w:rsid w:val="00B01B68"/>
    <w:pPr>
      <w:ind w:left="720"/>
      <w:outlineLvl w:val="7"/>
    </w:pPr>
    <w:rPr>
      <w:i/>
    </w:rPr>
  </w:style>
  <w:style w:type="paragraph" w:styleId="Heading9">
    <w:name w:val="heading 9"/>
    <w:basedOn w:val="Normal"/>
    <w:next w:val="Normal"/>
    <w:link w:val="Heading9Char"/>
    <w:qFormat/>
    <w:rsid w:val="00B01B68"/>
    <w:pPr>
      <w:ind w:left="720"/>
      <w:outlineLvl w:val="8"/>
    </w:pPr>
    <w:rPr>
      <w:i/>
    </w:rPr>
  </w:style>
  <w:style w:type="character" w:default="1" w:styleId="DefaultParagraphFont">
    <w:name w:val="Default Paragraph Font"/>
    <w:uiPriority w:val="1"/>
    <w:unhideWhenUsed/>
    <w:rsid w:val="00B01B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B68"/>
  </w:style>
  <w:style w:type="character" w:customStyle="1" w:styleId="Heading1Char">
    <w:name w:val="Heading 1 Char"/>
    <w:basedOn w:val="DefaultParagraphFont"/>
    <w:link w:val="Heading1"/>
    <w:rsid w:val="00B01B68"/>
    <w:rPr>
      <w:rFonts w:ascii="Times New Roman" w:eastAsia="Times New Roman" w:hAnsi="Times New Roman" w:cs="Times New Roman"/>
      <w:b/>
      <w:sz w:val="32"/>
      <w:szCs w:val="20"/>
      <w:lang w:eastAsia="en-US"/>
    </w:rPr>
  </w:style>
  <w:style w:type="paragraph" w:styleId="BodyText">
    <w:name w:val="Body Text"/>
    <w:basedOn w:val="Normal"/>
    <w:link w:val="BodyTextChar"/>
    <w:rsid w:val="00B01B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1B68"/>
    <w:rPr>
      <w:rFonts w:ascii="Times New Roman" w:eastAsia="Times New Roman" w:hAnsi="Times New Roman" w:cs="Times New Roman"/>
      <w:sz w:val="24"/>
      <w:lang w:eastAsia="en-US"/>
    </w:rPr>
  </w:style>
  <w:style w:type="paragraph" w:styleId="ListBullet">
    <w:name w:val="List Bullet"/>
    <w:basedOn w:val="List"/>
    <w:rsid w:val="00B01B68"/>
    <w:pPr>
      <w:numPr>
        <w:numId w:val="11"/>
      </w:numPr>
      <w:tabs>
        <w:tab w:val="clear" w:pos="340"/>
      </w:tabs>
      <w:spacing w:before="40" w:after="40"/>
    </w:pPr>
  </w:style>
  <w:style w:type="character" w:customStyle="1" w:styleId="SpecialBold">
    <w:name w:val="Special Bold"/>
    <w:basedOn w:val="DefaultParagraphFont"/>
    <w:rsid w:val="00B01B68"/>
    <w:rPr>
      <w:b/>
      <w:spacing w:val="0"/>
    </w:rPr>
  </w:style>
  <w:style w:type="paragraph" w:customStyle="1" w:styleId="SuperHeading">
    <w:name w:val="SuperHeading"/>
    <w:basedOn w:val="Normal"/>
    <w:rsid w:val="00B01B68"/>
    <w:pPr>
      <w:spacing w:before="240" w:after="120"/>
      <w:outlineLvl w:val="0"/>
    </w:pPr>
    <w:rPr>
      <w:rFonts w:ascii="Times New Roman" w:hAnsi="Times New Roman"/>
      <w:b/>
      <w:sz w:val="32"/>
    </w:rPr>
  </w:style>
  <w:style w:type="paragraph" w:customStyle="1" w:styleId="AllowPageBreak">
    <w:name w:val="AllowPageBreak"/>
    <w:rsid w:val="00B01B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1B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B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B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B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B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B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1B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1B68"/>
    <w:rPr>
      <w:rFonts w:ascii="Courier New" w:eastAsia="Times New Roman" w:hAnsi="Courier New" w:cs="Times New Roman"/>
      <w:i/>
      <w:szCs w:val="20"/>
      <w:lang w:eastAsia="en-US"/>
    </w:rPr>
  </w:style>
  <w:style w:type="paragraph" w:customStyle="1" w:styleId="HeadingBase">
    <w:name w:val="Heading Base"/>
    <w:rsid w:val="00B01B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B68"/>
    <w:pPr>
      <w:tabs>
        <w:tab w:val="right" w:leader="dot" w:pos="9072"/>
      </w:tabs>
      <w:ind w:left="567"/>
    </w:pPr>
    <w:rPr>
      <w:szCs w:val="22"/>
    </w:rPr>
  </w:style>
  <w:style w:type="paragraph" w:customStyle="1" w:styleId="TOCBase">
    <w:name w:val="TOC Base"/>
    <w:rsid w:val="00B01B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B68"/>
    <w:pPr>
      <w:tabs>
        <w:tab w:val="right" w:leader="dot" w:pos="9072"/>
      </w:tabs>
      <w:spacing w:before="40" w:after="40"/>
      <w:ind w:left="284"/>
    </w:pPr>
    <w:rPr>
      <w:rFonts w:ascii="Times New Roman" w:hAnsi="Times New Roman"/>
    </w:rPr>
  </w:style>
  <w:style w:type="paragraph" w:styleId="TOC1">
    <w:name w:val="toc 1"/>
    <w:basedOn w:val="TOCBase"/>
    <w:next w:val="Normal"/>
    <w:rsid w:val="00B01B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1B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B68"/>
    <w:rPr>
      <w:rFonts w:ascii="Times New Roman" w:eastAsia="Times New Roman" w:hAnsi="Times New Roman" w:cs="Times New Roman"/>
      <w:sz w:val="16"/>
      <w:lang w:eastAsia="en-US"/>
    </w:rPr>
  </w:style>
  <w:style w:type="paragraph" w:styleId="Title">
    <w:name w:val="Title"/>
    <w:basedOn w:val="HeadingBase"/>
    <w:link w:val="TitleChar"/>
    <w:qFormat/>
    <w:rsid w:val="00B01B68"/>
    <w:pPr>
      <w:spacing w:before="5040"/>
      <w:jc w:val="center"/>
    </w:pPr>
    <w:rPr>
      <w:sz w:val="48"/>
      <w:szCs w:val="72"/>
      <w:lang w:val="en-US"/>
    </w:rPr>
  </w:style>
  <w:style w:type="character" w:customStyle="1" w:styleId="TitleChar">
    <w:name w:val="Title Char"/>
    <w:basedOn w:val="DefaultParagraphFont"/>
    <w:link w:val="Title"/>
    <w:rsid w:val="00B01B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B68"/>
    <w:pPr>
      <w:tabs>
        <w:tab w:val="left" w:pos="3600"/>
        <w:tab w:val="left" w:pos="3958"/>
      </w:tabs>
    </w:pPr>
  </w:style>
  <w:style w:type="paragraph" w:styleId="List">
    <w:name w:val="List"/>
    <w:basedOn w:val="BodyText"/>
    <w:next w:val="BodyText"/>
    <w:rsid w:val="00B01B68"/>
    <w:pPr>
      <w:tabs>
        <w:tab w:val="left" w:pos="340"/>
      </w:tabs>
      <w:spacing w:before="60" w:after="60"/>
      <w:ind w:left="340" w:hanging="340"/>
    </w:pPr>
  </w:style>
  <w:style w:type="paragraph" w:customStyle="1" w:styleId="Note">
    <w:name w:val="Note"/>
    <w:basedOn w:val="BodyText"/>
    <w:rsid w:val="00B01B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B68"/>
    <w:pPr>
      <w:framePr w:wrap="auto" w:hAnchor="text" w:y="6049"/>
    </w:pPr>
    <w:rPr>
      <w:color w:val="000000"/>
      <w:sz w:val="40"/>
    </w:rPr>
  </w:style>
  <w:style w:type="paragraph" w:customStyle="1" w:styleId="TOCTitle">
    <w:name w:val="TOCTitle"/>
    <w:basedOn w:val="Heading1"/>
    <w:rsid w:val="00B01B68"/>
    <w:pPr>
      <w:spacing w:after="240"/>
      <w:jc w:val="center"/>
      <w:outlineLvl w:val="9"/>
    </w:pPr>
    <w:rPr>
      <w:caps/>
    </w:rPr>
  </w:style>
  <w:style w:type="paragraph" w:customStyle="1" w:styleId="Version">
    <w:name w:val="Version"/>
    <w:rsid w:val="00B01B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1B68"/>
    <w:pPr>
      <w:numPr>
        <w:numId w:val="12"/>
      </w:numPr>
      <w:tabs>
        <w:tab w:val="clear" w:pos="680"/>
      </w:tabs>
    </w:pPr>
  </w:style>
  <w:style w:type="paragraph" w:styleId="Index1">
    <w:name w:val="index 1"/>
    <w:basedOn w:val="Normal"/>
    <w:next w:val="Normal"/>
    <w:semiHidden/>
    <w:rsid w:val="00B01B68"/>
    <w:pPr>
      <w:keepNext w:val="0"/>
      <w:tabs>
        <w:tab w:val="right" w:pos="4176"/>
      </w:tabs>
      <w:ind w:left="198" w:hanging="198"/>
    </w:pPr>
    <w:rPr>
      <w:rFonts w:ascii="Garamond" w:hAnsi="Garamond"/>
    </w:rPr>
  </w:style>
  <w:style w:type="paragraph" w:styleId="IndexHeading">
    <w:name w:val="index heading"/>
    <w:basedOn w:val="Normal"/>
    <w:next w:val="Index1"/>
    <w:semiHidden/>
    <w:rsid w:val="00B01B68"/>
    <w:pPr>
      <w:spacing w:before="120" w:after="120"/>
    </w:pPr>
    <w:rPr>
      <w:rFonts w:ascii="Arial" w:hAnsi="Arial"/>
      <w:b/>
      <w:color w:val="918585"/>
      <w:sz w:val="24"/>
    </w:rPr>
  </w:style>
  <w:style w:type="paragraph" w:styleId="Header">
    <w:name w:val="header"/>
    <w:basedOn w:val="Normal"/>
    <w:link w:val="HeaderChar"/>
    <w:rsid w:val="00B01B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B68"/>
    <w:rPr>
      <w:rFonts w:ascii="Times New Roman" w:eastAsia="Times New Roman" w:hAnsi="Times New Roman" w:cs="Times New Roman"/>
      <w:sz w:val="16"/>
      <w:szCs w:val="20"/>
      <w:lang w:val="en-GB" w:eastAsia="en-US"/>
    </w:rPr>
  </w:style>
  <w:style w:type="paragraph" w:customStyle="1" w:styleId="Chapter">
    <w:name w:val="Chapter"/>
    <w:basedOn w:val="Normal"/>
    <w:rsid w:val="00B01B68"/>
    <w:pPr>
      <w:spacing w:before="240"/>
    </w:pPr>
    <w:rPr>
      <w:rFonts w:ascii="Times New Roman" w:hAnsi="Times New Roman"/>
      <w:smallCaps/>
      <w:spacing w:val="80"/>
      <w:sz w:val="28"/>
    </w:rPr>
  </w:style>
  <w:style w:type="paragraph" w:customStyle="1" w:styleId="InChapter">
    <w:name w:val="InChapter"/>
    <w:basedOn w:val="Heading3"/>
    <w:rsid w:val="00B01B68"/>
    <w:pPr>
      <w:spacing w:after="240"/>
      <w:outlineLvl w:val="9"/>
    </w:pPr>
    <w:rPr>
      <w:noProof/>
    </w:rPr>
  </w:style>
  <w:style w:type="paragraph" w:styleId="Index2">
    <w:name w:val="index 2"/>
    <w:basedOn w:val="Normal"/>
    <w:next w:val="Normal"/>
    <w:semiHidden/>
    <w:rsid w:val="00B01B68"/>
    <w:pPr>
      <w:tabs>
        <w:tab w:val="right" w:pos="4176"/>
      </w:tabs>
      <w:ind w:left="568" w:hanging="284"/>
    </w:pPr>
    <w:rPr>
      <w:rFonts w:ascii="Garamond" w:hAnsi="Garamond"/>
    </w:rPr>
  </w:style>
  <w:style w:type="paragraph" w:customStyle="1" w:styleId="Byline">
    <w:name w:val="Byline"/>
    <w:rsid w:val="00B01B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B68"/>
    <w:pPr>
      <w:tabs>
        <w:tab w:val="clear" w:pos="3600"/>
        <w:tab w:val="clear" w:pos="3958"/>
      </w:tabs>
      <w:jc w:val="right"/>
    </w:pPr>
  </w:style>
  <w:style w:type="character" w:styleId="Emphasis">
    <w:name w:val="Emphasis"/>
    <w:basedOn w:val="DefaultParagraphFont"/>
    <w:qFormat/>
    <w:rsid w:val="00B01B68"/>
    <w:rPr>
      <w:i/>
    </w:rPr>
  </w:style>
  <w:style w:type="paragraph" w:styleId="Caption">
    <w:name w:val="caption"/>
    <w:basedOn w:val="BodyText"/>
    <w:next w:val="Normal"/>
    <w:qFormat/>
    <w:rsid w:val="00B01B68"/>
    <w:pPr>
      <w:framePr w:w="2268" w:hSpace="181" w:vSpace="181" w:wrap="around" w:vAnchor="text" w:hAnchor="page" w:x="1135" w:y="285" w:anchorLock="1"/>
    </w:pPr>
    <w:rPr>
      <w:i/>
    </w:rPr>
  </w:style>
  <w:style w:type="paragraph" w:customStyle="1" w:styleId="MiniTOCTitle">
    <w:name w:val="MiniTOCTitle"/>
    <w:basedOn w:val="Heading4"/>
    <w:rsid w:val="00B01B68"/>
    <w:pPr>
      <w:spacing w:before="240"/>
      <w:outlineLvl w:val="9"/>
    </w:pPr>
    <w:rPr>
      <w:noProof/>
      <w:sz w:val="24"/>
    </w:rPr>
  </w:style>
  <w:style w:type="paragraph" w:customStyle="1" w:styleId="MiniTOCItem">
    <w:name w:val="MiniTOCItem"/>
    <w:basedOn w:val="ListBullet"/>
    <w:rsid w:val="00B01B68"/>
    <w:pPr>
      <w:numPr>
        <w:numId w:val="0"/>
      </w:numPr>
      <w:tabs>
        <w:tab w:val="right" w:leader="dot" w:pos="6521"/>
      </w:tabs>
      <w:spacing w:before="0" w:after="0"/>
    </w:pPr>
  </w:style>
  <w:style w:type="paragraph" w:customStyle="1" w:styleId="TOFTitle">
    <w:name w:val="TOFTitle"/>
    <w:basedOn w:val="TOCTitle"/>
    <w:rsid w:val="00B01B68"/>
  </w:style>
  <w:style w:type="paragraph" w:styleId="TableofFigures">
    <w:name w:val="table of figures"/>
    <w:basedOn w:val="Normal"/>
    <w:next w:val="Normal"/>
    <w:semiHidden/>
    <w:rsid w:val="00B01B68"/>
    <w:pPr>
      <w:tabs>
        <w:tab w:val="right" w:leader="dot" w:pos="9072"/>
      </w:tabs>
      <w:ind w:left="970" w:hanging="403"/>
    </w:pPr>
    <w:rPr>
      <w:rFonts w:ascii="Times New Roman" w:hAnsi="Times New Roman"/>
      <w:b/>
    </w:rPr>
  </w:style>
  <w:style w:type="paragraph" w:styleId="ListNumber">
    <w:name w:val="List Number"/>
    <w:basedOn w:val="List"/>
    <w:rsid w:val="00B01B68"/>
    <w:pPr>
      <w:numPr>
        <w:numId w:val="14"/>
      </w:numPr>
      <w:tabs>
        <w:tab w:val="clear" w:pos="340"/>
      </w:tabs>
    </w:pPr>
  </w:style>
  <w:style w:type="character" w:customStyle="1" w:styleId="WingdingSymbols">
    <w:name w:val="Wingding Symbols"/>
    <w:rsid w:val="00B01B68"/>
    <w:rPr>
      <w:rFonts w:ascii="Wingdings" w:hAnsi="Wingdings"/>
    </w:rPr>
  </w:style>
  <w:style w:type="paragraph" w:customStyle="1" w:styleId="TableHeading">
    <w:name w:val="Table Heading"/>
    <w:basedOn w:val="HeadingBase"/>
    <w:rsid w:val="00B01B68"/>
    <w:pPr>
      <w:keepLines/>
      <w:pBdr>
        <w:bottom w:val="single" w:sz="6" w:space="1" w:color="918585"/>
      </w:pBdr>
      <w:spacing w:before="240"/>
    </w:pPr>
  </w:style>
  <w:style w:type="character" w:customStyle="1" w:styleId="HotSpot">
    <w:name w:val="HotSpot"/>
    <w:rsid w:val="00B01B68"/>
    <w:rPr>
      <w:color w:val="0033CC"/>
      <w:u w:val="none"/>
    </w:rPr>
  </w:style>
  <w:style w:type="paragraph" w:customStyle="1" w:styleId="BodyTextRight">
    <w:name w:val="Body Text Right"/>
    <w:basedOn w:val="BodyText"/>
    <w:rsid w:val="00B01B68"/>
    <w:pPr>
      <w:spacing w:before="0" w:after="0"/>
      <w:jc w:val="right"/>
    </w:pPr>
  </w:style>
  <w:style w:type="paragraph" w:styleId="Index3">
    <w:name w:val="index 3"/>
    <w:basedOn w:val="ListNumber2"/>
    <w:next w:val="Normal"/>
    <w:semiHidden/>
    <w:rsid w:val="00B01B68"/>
    <w:pPr>
      <w:numPr>
        <w:numId w:val="0"/>
      </w:numPr>
      <w:tabs>
        <w:tab w:val="right" w:leader="dot" w:pos="4176"/>
      </w:tabs>
    </w:pPr>
  </w:style>
  <w:style w:type="paragraph" w:styleId="ListNumber2">
    <w:name w:val="List Number 2"/>
    <w:basedOn w:val="List2"/>
    <w:rsid w:val="00B01B68"/>
    <w:pPr>
      <w:numPr>
        <w:numId w:val="9"/>
      </w:numPr>
      <w:tabs>
        <w:tab w:val="clear" w:pos="1060"/>
      </w:tabs>
    </w:pPr>
  </w:style>
  <w:style w:type="paragraph" w:customStyle="1" w:styleId="MarginNote">
    <w:name w:val="Margin Note"/>
    <w:basedOn w:val="BodyText"/>
    <w:rsid w:val="00B01B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B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B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1B68"/>
    <w:rPr>
      <w:sz w:val="32"/>
    </w:rPr>
  </w:style>
  <w:style w:type="paragraph" w:customStyle="1" w:styleId="HeadingProcedure">
    <w:name w:val="Heading Procedure"/>
    <w:basedOn w:val="HeadingBase"/>
    <w:next w:val="Normal"/>
    <w:rsid w:val="00B01B68"/>
    <w:pPr>
      <w:tabs>
        <w:tab w:val="left" w:pos="0"/>
      </w:tabs>
      <w:spacing w:before="120" w:after="60"/>
    </w:pPr>
    <w:rPr>
      <w:i/>
      <w:color w:val="918585"/>
      <w:sz w:val="22"/>
    </w:rPr>
  </w:style>
  <w:style w:type="paragraph" w:customStyle="1" w:styleId="TableBodyText">
    <w:name w:val="Table Body Text"/>
    <w:basedOn w:val="BodyText"/>
    <w:rsid w:val="00B01B68"/>
    <w:pPr>
      <w:spacing w:before="60" w:after="60"/>
    </w:pPr>
  </w:style>
  <w:style w:type="paragraph" w:styleId="ListContinue">
    <w:name w:val="List Continue"/>
    <w:basedOn w:val="List"/>
    <w:rsid w:val="00B01B68"/>
    <w:pPr>
      <w:ind w:firstLine="0"/>
    </w:pPr>
  </w:style>
  <w:style w:type="paragraph" w:customStyle="1" w:styleId="ListNote">
    <w:name w:val="List Note"/>
    <w:basedOn w:val="List"/>
    <w:rsid w:val="00B01B68"/>
    <w:pPr>
      <w:pBdr>
        <w:top w:val="single" w:sz="6" w:space="2" w:color="918585"/>
        <w:bottom w:val="single" w:sz="6" w:space="2" w:color="918585"/>
      </w:pBdr>
      <w:tabs>
        <w:tab w:val="left" w:pos="1021"/>
      </w:tabs>
      <w:ind w:firstLine="0"/>
    </w:pPr>
  </w:style>
  <w:style w:type="paragraph" w:customStyle="1" w:styleId="Warning">
    <w:name w:val="Warning"/>
    <w:basedOn w:val="BodyText"/>
    <w:rsid w:val="00B01B68"/>
    <w:pPr>
      <w:shd w:val="clear" w:color="auto" w:fill="D9D9D9"/>
      <w:tabs>
        <w:tab w:val="left" w:pos="992"/>
      </w:tabs>
      <w:ind w:left="119" w:right="119"/>
    </w:pPr>
    <w:rPr>
      <w:sz w:val="20"/>
    </w:rPr>
  </w:style>
  <w:style w:type="paragraph" w:customStyle="1" w:styleId="MarginIcons">
    <w:name w:val="Margin Icons"/>
    <w:basedOn w:val="BodyText"/>
    <w:rsid w:val="00B01B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B68"/>
    <w:rPr>
      <w:rFonts w:ascii="Courier New" w:hAnsi="Courier New"/>
    </w:rPr>
  </w:style>
  <w:style w:type="paragraph" w:customStyle="1" w:styleId="NoteBullet">
    <w:name w:val="Note Bullet"/>
    <w:basedOn w:val="Note"/>
    <w:rsid w:val="00B01B68"/>
    <w:pPr>
      <w:tabs>
        <w:tab w:val="clear" w:pos="680"/>
      </w:tabs>
      <w:spacing w:before="60" w:after="60"/>
    </w:pPr>
  </w:style>
  <w:style w:type="paragraph" w:customStyle="1" w:styleId="SubHeading2">
    <w:name w:val="SubHeading2"/>
    <w:basedOn w:val="HeadingBase"/>
    <w:rsid w:val="00B01B68"/>
    <w:pPr>
      <w:spacing w:before="240" w:after="60"/>
    </w:pPr>
    <w:rPr>
      <w:sz w:val="20"/>
    </w:rPr>
  </w:style>
  <w:style w:type="paragraph" w:customStyle="1" w:styleId="SubHeading1">
    <w:name w:val="SubHeading1"/>
    <w:basedOn w:val="HeadingBase"/>
    <w:rsid w:val="00B01B68"/>
    <w:pPr>
      <w:spacing w:before="240" w:after="60"/>
    </w:pPr>
    <w:rPr>
      <w:color w:val="918585"/>
      <w:sz w:val="22"/>
    </w:rPr>
  </w:style>
  <w:style w:type="paragraph" w:customStyle="1" w:styleId="SideHeading">
    <w:name w:val="Side Heading"/>
    <w:basedOn w:val="HeadingBase"/>
    <w:rsid w:val="00B01B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B68"/>
    <w:pPr>
      <w:numPr>
        <w:numId w:val="10"/>
      </w:numPr>
    </w:pPr>
  </w:style>
  <w:style w:type="paragraph" w:styleId="PlainText">
    <w:name w:val="Plain Text"/>
    <w:basedOn w:val="Normal"/>
    <w:link w:val="PlainTextChar"/>
    <w:rsid w:val="00B01B68"/>
    <w:rPr>
      <w:sz w:val="20"/>
    </w:rPr>
  </w:style>
  <w:style w:type="character" w:customStyle="1" w:styleId="PlainTextChar">
    <w:name w:val="Plain Text Char"/>
    <w:basedOn w:val="DefaultParagraphFont"/>
    <w:link w:val="PlainText"/>
    <w:rsid w:val="00B01B68"/>
    <w:rPr>
      <w:rFonts w:ascii="Courier New" w:eastAsia="Times New Roman" w:hAnsi="Courier New" w:cs="Times New Roman"/>
      <w:sz w:val="20"/>
      <w:szCs w:val="20"/>
      <w:lang w:eastAsia="en-US"/>
    </w:rPr>
  </w:style>
  <w:style w:type="character" w:customStyle="1" w:styleId="MenuOption">
    <w:name w:val="Menu Option"/>
    <w:basedOn w:val="DefaultParagraphFont"/>
    <w:rsid w:val="00B01B68"/>
    <w:rPr>
      <w:b/>
      <w:smallCaps/>
    </w:rPr>
  </w:style>
  <w:style w:type="paragraph" w:customStyle="1" w:styleId="TableListNumber">
    <w:name w:val="Table List Number"/>
    <w:basedOn w:val="ListNumber"/>
    <w:rsid w:val="00B01B68"/>
    <w:pPr>
      <w:numPr>
        <w:numId w:val="0"/>
      </w:numPr>
    </w:pPr>
  </w:style>
  <w:style w:type="paragraph" w:styleId="TOC4">
    <w:name w:val="toc 4"/>
    <w:basedOn w:val="TOCBase"/>
    <w:next w:val="Normal"/>
    <w:semiHidden/>
    <w:rsid w:val="00B01B68"/>
    <w:pPr>
      <w:tabs>
        <w:tab w:val="right" w:leader="dot" w:pos="9071"/>
      </w:tabs>
      <w:ind w:left="1701"/>
    </w:pPr>
  </w:style>
  <w:style w:type="paragraph" w:customStyle="1" w:styleId="ListAlpha">
    <w:name w:val="List Alpha"/>
    <w:basedOn w:val="List"/>
    <w:rsid w:val="00B01B68"/>
    <w:pPr>
      <w:numPr>
        <w:numId w:val="8"/>
      </w:numPr>
    </w:pPr>
  </w:style>
  <w:style w:type="paragraph" w:customStyle="1" w:styleId="ListAlpha2">
    <w:name w:val="List Alpha 2"/>
    <w:basedOn w:val="List2"/>
    <w:rsid w:val="00B01B68"/>
    <w:pPr>
      <w:numPr>
        <w:numId w:val="7"/>
      </w:numPr>
    </w:pPr>
  </w:style>
  <w:style w:type="paragraph" w:styleId="List2">
    <w:name w:val="List 2"/>
    <w:basedOn w:val="BodyText"/>
    <w:rsid w:val="00B01B68"/>
    <w:pPr>
      <w:tabs>
        <w:tab w:val="left" w:pos="680"/>
      </w:tabs>
      <w:spacing w:before="60" w:after="60"/>
      <w:ind w:left="680" w:hanging="340"/>
    </w:pPr>
  </w:style>
  <w:style w:type="paragraph" w:styleId="List3">
    <w:name w:val="List 3"/>
    <w:basedOn w:val="BodyText"/>
    <w:rsid w:val="00B01B68"/>
    <w:pPr>
      <w:tabs>
        <w:tab w:val="left" w:pos="1021"/>
      </w:tabs>
      <w:spacing w:before="60" w:after="60"/>
      <w:ind w:left="1020" w:hanging="340"/>
    </w:pPr>
  </w:style>
  <w:style w:type="paragraph" w:styleId="List4">
    <w:name w:val="List 4"/>
    <w:basedOn w:val="BodyText"/>
    <w:rsid w:val="00B01B68"/>
    <w:pPr>
      <w:tabs>
        <w:tab w:val="left" w:pos="1361"/>
      </w:tabs>
      <w:spacing w:before="60" w:after="60"/>
      <w:ind w:left="1361" w:hanging="340"/>
    </w:pPr>
  </w:style>
  <w:style w:type="paragraph" w:styleId="List5">
    <w:name w:val="List 5"/>
    <w:basedOn w:val="BodyText"/>
    <w:rsid w:val="00B01B68"/>
    <w:pPr>
      <w:tabs>
        <w:tab w:val="left" w:pos="1701"/>
      </w:tabs>
      <w:spacing w:before="60" w:after="60"/>
      <w:ind w:left="1701" w:hanging="340"/>
    </w:pPr>
  </w:style>
  <w:style w:type="paragraph" w:styleId="ListBullet3">
    <w:name w:val="List Bullet 3"/>
    <w:basedOn w:val="List3"/>
    <w:rsid w:val="00B01B68"/>
    <w:pPr>
      <w:numPr>
        <w:numId w:val="13"/>
      </w:numPr>
      <w:tabs>
        <w:tab w:val="clear" w:pos="1021"/>
      </w:tabs>
      <w:ind w:left="1037" w:hanging="357"/>
    </w:pPr>
  </w:style>
  <w:style w:type="paragraph" w:styleId="ListBullet4">
    <w:name w:val="List Bullet 4"/>
    <w:basedOn w:val="List4"/>
    <w:rsid w:val="00B01B68"/>
    <w:pPr>
      <w:numPr>
        <w:numId w:val="2"/>
      </w:numPr>
      <w:tabs>
        <w:tab w:val="clear" w:pos="1361"/>
      </w:tabs>
    </w:pPr>
  </w:style>
  <w:style w:type="paragraph" w:styleId="ListBullet5">
    <w:name w:val="List Bullet 5"/>
    <w:basedOn w:val="List5"/>
    <w:rsid w:val="00B01B68"/>
    <w:pPr>
      <w:numPr>
        <w:numId w:val="3"/>
      </w:numPr>
    </w:pPr>
  </w:style>
  <w:style w:type="paragraph" w:styleId="ListContinue2">
    <w:name w:val="List Continue 2"/>
    <w:basedOn w:val="List2"/>
    <w:rsid w:val="00B01B68"/>
    <w:pPr>
      <w:ind w:firstLine="0"/>
    </w:pPr>
  </w:style>
  <w:style w:type="paragraph" w:styleId="ListContinue3">
    <w:name w:val="List Continue 3"/>
    <w:basedOn w:val="List3"/>
    <w:rsid w:val="00B01B68"/>
    <w:pPr>
      <w:ind w:left="1021" w:firstLine="0"/>
    </w:pPr>
  </w:style>
  <w:style w:type="paragraph" w:styleId="ListContinue4">
    <w:name w:val="List Continue 4"/>
    <w:basedOn w:val="List4"/>
    <w:rsid w:val="00B01B68"/>
    <w:pPr>
      <w:ind w:firstLine="0"/>
    </w:pPr>
  </w:style>
  <w:style w:type="paragraph" w:styleId="ListContinue5">
    <w:name w:val="List Continue 5"/>
    <w:basedOn w:val="List5"/>
    <w:rsid w:val="00B01B68"/>
    <w:pPr>
      <w:ind w:firstLine="0"/>
    </w:pPr>
  </w:style>
  <w:style w:type="paragraph" w:styleId="ListNumber3">
    <w:name w:val="List Number 3"/>
    <w:basedOn w:val="List3"/>
    <w:rsid w:val="00B01B68"/>
    <w:pPr>
      <w:numPr>
        <w:numId w:val="4"/>
      </w:numPr>
    </w:pPr>
  </w:style>
  <w:style w:type="paragraph" w:styleId="ListNumber4">
    <w:name w:val="List Number 4"/>
    <w:basedOn w:val="List4"/>
    <w:rsid w:val="00B01B68"/>
    <w:pPr>
      <w:numPr>
        <w:numId w:val="5"/>
      </w:numPr>
    </w:pPr>
  </w:style>
  <w:style w:type="paragraph" w:styleId="ListNumber5">
    <w:name w:val="List Number 5"/>
    <w:basedOn w:val="List5"/>
    <w:rsid w:val="00B01B68"/>
    <w:pPr>
      <w:numPr>
        <w:numId w:val="6"/>
      </w:numPr>
    </w:pPr>
  </w:style>
  <w:style w:type="paragraph" w:styleId="BlockText">
    <w:name w:val="Block Text"/>
    <w:basedOn w:val="Normal"/>
    <w:rsid w:val="00B01B68"/>
    <w:pPr>
      <w:spacing w:after="120"/>
      <w:ind w:left="1440" w:right="1440"/>
    </w:pPr>
  </w:style>
  <w:style w:type="character" w:customStyle="1" w:styleId="Subscript">
    <w:name w:val="Subscript"/>
    <w:basedOn w:val="DefaultParagraphFont"/>
    <w:rsid w:val="00B01B68"/>
    <w:rPr>
      <w:sz w:val="16"/>
      <w:vertAlign w:val="subscript"/>
    </w:rPr>
  </w:style>
  <w:style w:type="character" w:customStyle="1" w:styleId="Superscript">
    <w:name w:val="Superscript"/>
    <w:basedOn w:val="DefaultParagraphFont"/>
    <w:rsid w:val="00B01B68"/>
    <w:rPr>
      <w:sz w:val="16"/>
      <w:vertAlign w:val="superscript"/>
    </w:rPr>
  </w:style>
  <w:style w:type="character" w:customStyle="1" w:styleId="Symbols">
    <w:name w:val="Symbols"/>
    <w:basedOn w:val="DefaultParagraphFont"/>
    <w:rsid w:val="00B01B68"/>
    <w:rPr>
      <w:rFonts w:ascii="Symbol" w:hAnsi="Symbol"/>
    </w:rPr>
  </w:style>
  <w:style w:type="character" w:customStyle="1" w:styleId="MenuOptions">
    <w:name w:val="Menu Options"/>
    <w:basedOn w:val="DefaultParagraphFont"/>
    <w:rsid w:val="00B01B68"/>
    <w:rPr>
      <w:rFonts w:ascii="Arial Narrow" w:hAnsi="Arial Narrow"/>
      <w:smallCaps/>
    </w:rPr>
  </w:style>
  <w:style w:type="character" w:customStyle="1" w:styleId="Buttons">
    <w:name w:val="Buttons"/>
    <w:basedOn w:val="DefaultParagraphFont"/>
    <w:rsid w:val="00B01B68"/>
    <w:rPr>
      <w:b/>
    </w:rPr>
  </w:style>
  <w:style w:type="character" w:customStyle="1" w:styleId="Underlined">
    <w:name w:val="Underlined"/>
    <w:basedOn w:val="DefaultParagraphFont"/>
    <w:rsid w:val="00B01B68"/>
    <w:rPr>
      <w:u w:val="single"/>
    </w:rPr>
  </w:style>
  <w:style w:type="paragraph" w:customStyle="1" w:styleId="TableBodyTextRight">
    <w:name w:val="Table Body Text Right"/>
    <w:basedOn w:val="TableBodyText"/>
    <w:rsid w:val="00B01B68"/>
    <w:pPr>
      <w:widowControl w:val="0"/>
      <w:autoSpaceDE w:val="0"/>
      <w:autoSpaceDN w:val="0"/>
      <w:adjustRightInd w:val="0"/>
      <w:jc w:val="right"/>
    </w:pPr>
    <w:rPr>
      <w:rFonts w:cs="Arial"/>
      <w:szCs w:val="18"/>
    </w:rPr>
  </w:style>
  <w:style w:type="paragraph" w:customStyle="1" w:styleId="CopyrightText">
    <w:name w:val="Copyright Text"/>
    <w:basedOn w:val="BodyText"/>
    <w:rsid w:val="00B01B68"/>
    <w:rPr>
      <w:sz w:val="18"/>
    </w:rPr>
  </w:style>
  <w:style w:type="paragraph" w:customStyle="1" w:styleId="BodySmallRight">
    <w:name w:val="Body Small Right"/>
    <w:basedOn w:val="BodyTextRight"/>
    <w:rsid w:val="00B01B68"/>
    <w:rPr>
      <w:sz w:val="18"/>
      <w:szCs w:val="18"/>
    </w:rPr>
  </w:style>
  <w:style w:type="paragraph" w:customStyle="1" w:styleId="MarginEdition">
    <w:name w:val="Margin Edition"/>
    <w:basedOn w:val="MarginNote"/>
    <w:rsid w:val="00B01B68"/>
    <w:pPr>
      <w:spacing w:before="0" w:after="0"/>
    </w:pPr>
    <w:rPr>
      <w:rFonts w:ascii="Times New Roman" w:hAnsi="Times New Roman"/>
      <w:color w:val="999999"/>
    </w:rPr>
  </w:style>
  <w:style w:type="paragraph" w:customStyle="1" w:styleId="Spacer">
    <w:name w:val="Spacer"/>
    <w:basedOn w:val="Normal"/>
    <w:rsid w:val="00B01B68"/>
    <w:rPr>
      <w:sz w:val="2"/>
      <w:szCs w:val="2"/>
    </w:rPr>
  </w:style>
  <w:style w:type="character" w:customStyle="1" w:styleId="Small">
    <w:name w:val="Small"/>
    <w:basedOn w:val="DefaultParagraphFont"/>
    <w:rsid w:val="00B01B68"/>
    <w:rPr>
      <w:sz w:val="16"/>
    </w:rPr>
  </w:style>
  <w:style w:type="paragraph" w:customStyle="1" w:styleId="WideTable">
    <w:name w:val="Wide Table"/>
    <w:basedOn w:val="Normal"/>
    <w:rsid w:val="00B01B68"/>
    <w:pPr>
      <w:ind w:left="-1418"/>
    </w:pPr>
    <w:rPr>
      <w:sz w:val="2"/>
      <w:szCs w:val="2"/>
    </w:rPr>
  </w:style>
  <w:style w:type="character" w:styleId="PageNumber">
    <w:name w:val="page number"/>
    <w:basedOn w:val="DefaultParagraphFont"/>
    <w:rsid w:val="00B01B68"/>
  </w:style>
  <w:style w:type="paragraph" w:styleId="Quote">
    <w:name w:val="Quote"/>
    <w:basedOn w:val="Heading1"/>
    <w:link w:val="QuoteChar"/>
    <w:qFormat/>
    <w:rsid w:val="00B01B68"/>
    <w:rPr>
      <w:b w:val="0"/>
      <w:sz w:val="72"/>
      <w:szCs w:val="72"/>
      <w:lang w:val="en-NZ"/>
    </w:rPr>
  </w:style>
  <w:style w:type="character" w:customStyle="1" w:styleId="QuoteChar">
    <w:name w:val="Quote Char"/>
    <w:basedOn w:val="DefaultParagraphFont"/>
    <w:link w:val="Quote"/>
    <w:rsid w:val="00B01B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B68"/>
    <w:pPr>
      <w:pageBreakBefore/>
    </w:pPr>
  </w:style>
  <w:style w:type="paragraph" w:customStyle="1" w:styleId="Border">
    <w:name w:val="Border"/>
    <w:basedOn w:val="Normal"/>
    <w:qFormat/>
    <w:rsid w:val="00B01B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B68"/>
    <w:rPr>
      <w:b/>
      <w:bCs/>
      <w:i/>
      <w:iCs/>
      <w:color w:val="auto"/>
    </w:rPr>
  </w:style>
  <w:style w:type="paragraph" w:styleId="IntenseQuote">
    <w:name w:val="Intense Quote"/>
    <w:basedOn w:val="Normal"/>
    <w:next w:val="Normal"/>
    <w:link w:val="IntenseQuoteChar"/>
    <w:uiPriority w:val="30"/>
    <w:qFormat/>
    <w:rsid w:val="00B01B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B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1B68"/>
    <w:rPr>
      <w:smallCaps/>
      <w:color w:val="auto"/>
      <w:u w:val="single"/>
    </w:rPr>
  </w:style>
  <w:style w:type="character" w:styleId="IntenseReference">
    <w:name w:val="Intense Reference"/>
    <w:basedOn w:val="DefaultParagraphFont"/>
    <w:uiPriority w:val="32"/>
    <w:qFormat/>
    <w:rsid w:val="00B01B68"/>
    <w:rPr>
      <w:b/>
      <w:bCs/>
      <w:smallCaps/>
      <w:color w:val="auto"/>
      <w:spacing w:val="5"/>
      <w:u w:val="single"/>
    </w:rPr>
  </w:style>
  <w:style w:type="paragraph" w:customStyle="1" w:styleId="2ColumnHeading">
    <w:name w:val="2Column Heading"/>
    <w:basedOn w:val="BodyText"/>
    <w:qFormat/>
    <w:rsid w:val="00B01B68"/>
    <w:pPr>
      <w:spacing w:after="60"/>
      <w:ind w:left="-2268"/>
    </w:pPr>
    <w:rPr>
      <w:b/>
    </w:rPr>
  </w:style>
  <w:style w:type="paragraph" w:customStyle="1" w:styleId="Heading1TOC">
    <w:name w:val="Heading1 TOC"/>
    <w:basedOn w:val="Normal"/>
    <w:qFormat/>
    <w:rsid w:val="00B01B68"/>
    <w:pPr>
      <w:spacing w:before="240" w:after="120"/>
    </w:pPr>
    <w:rPr>
      <w:rFonts w:ascii="Times New Roman" w:hAnsi="Times New Roman"/>
      <w:b/>
      <w:sz w:val="32"/>
    </w:rPr>
  </w:style>
  <w:style w:type="paragraph" w:customStyle="1" w:styleId="Heading2TOC">
    <w:name w:val="Heading2 TOC"/>
    <w:basedOn w:val="Normal"/>
    <w:qFormat/>
    <w:rsid w:val="00B01B68"/>
    <w:pPr>
      <w:spacing w:before="240" w:after="60"/>
    </w:pPr>
    <w:rPr>
      <w:rFonts w:ascii="Times New Roman" w:hAnsi="Times New Roman"/>
      <w:b/>
      <w:sz w:val="28"/>
    </w:rPr>
  </w:style>
  <w:style w:type="character" w:customStyle="1" w:styleId="Underline">
    <w:name w:val="Underline"/>
    <w:basedOn w:val="DefaultParagraphFont"/>
    <w:qFormat/>
    <w:rsid w:val="00B01B68"/>
    <w:rPr>
      <w:u w:val="single"/>
    </w:rPr>
  </w:style>
  <w:style w:type="character" w:customStyle="1" w:styleId="BoldandItalics">
    <w:name w:val="Bold and Italics"/>
    <w:qFormat/>
    <w:rsid w:val="00B01B68"/>
    <w:rPr>
      <w:b/>
      <w:i/>
      <w:u w:val="none"/>
    </w:rPr>
  </w:style>
  <w:style w:type="paragraph" w:styleId="BalloonText">
    <w:name w:val="Balloon Text"/>
    <w:basedOn w:val="Normal"/>
    <w:link w:val="BalloonTextChar"/>
    <w:rsid w:val="00B01B68"/>
    <w:rPr>
      <w:rFonts w:ascii="Tahoma" w:hAnsi="Tahoma" w:cs="Tahoma"/>
      <w:sz w:val="16"/>
      <w:szCs w:val="16"/>
    </w:rPr>
  </w:style>
  <w:style w:type="character" w:customStyle="1" w:styleId="BalloonTextChar">
    <w:name w:val="Balloon Text Char"/>
    <w:basedOn w:val="DefaultParagraphFont"/>
    <w:link w:val="BalloonText"/>
    <w:rsid w:val="00B01B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1B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1B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1B68"/>
    <w:rPr>
      <w:b/>
      <w:color w:val="660033"/>
      <w:spacing w:val="0"/>
    </w:rPr>
  </w:style>
  <w:style w:type="paragraph" w:customStyle="1" w:styleId="Nameditemlist">
    <w:name w:val="Named item list"/>
    <w:basedOn w:val="BodyText"/>
    <w:qFormat/>
    <w:rsid w:val="00B01B68"/>
    <w:pPr>
      <w:tabs>
        <w:tab w:val="left" w:pos="2835"/>
      </w:tabs>
      <w:ind w:left="2835" w:hanging="2835"/>
    </w:pPr>
  </w:style>
  <w:style w:type="paragraph" w:customStyle="1" w:styleId="BodyTextnopadding">
    <w:name w:val="Body Text no padding"/>
    <w:basedOn w:val="BodyText"/>
    <w:qFormat/>
    <w:rsid w:val="00B01B68"/>
    <w:pPr>
      <w:spacing w:before="0" w:after="0"/>
    </w:pPr>
  </w:style>
  <w:style w:type="paragraph" w:customStyle="1" w:styleId="BodyTextBold">
    <w:name w:val="Body Text Bold"/>
    <w:basedOn w:val="BodyText"/>
    <w:qFormat/>
    <w:rsid w:val="00B01B68"/>
    <w:rPr>
      <w:b/>
    </w:rPr>
  </w:style>
  <w:style w:type="character" w:styleId="Hyperlink">
    <w:name w:val="Hyperlink"/>
    <w:basedOn w:val="DefaultParagraphFont"/>
    <w:uiPriority w:val="99"/>
    <w:unhideWhenUsed/>
    <w:rsid w:val="00483B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4932</Characters>
  <Application>Microsoft Office Word</Application>
  <DocSecurity>0</DocSecurity>
  <Lines>182</Lines>
  <Paragraphs>111</Paragraphs>
  <ScaleCrop>false</ScaleCrop>
  <Company>Author-it Software Corporation Ltd.</Company>
  <LinksUpToDate>false</LinksUpToDate>
  <CharactersWithSpaces>5591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DEFEXO017 Examine and certify free from explosives</dc:title>
  <dc:subject>Approved</dc:subject>
  <dc:creator>Public Skills Australia</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