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4D7" w:rsidP="00A61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DEFEXO014 Gauge explosives</w:t>
      </w:r>
      <w:r>
        <w:fldChar w:fldCharType="end"/>
      </w:r>
    </w:p>
    <w:p w:rsidR="00A614D7" w:rsidP="00A614D7">
      <w:pPr>
        <w:pStyle w:val="Version"/>
        <w:sectPr w:rsidSect="00F25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259AF" w:rsidP="00F259AF">
      <w:pPr>
        <w:pStyle w:val="SuperHeading"/>
      </w:pPr>
      <w:r w:rsidRPr="00F259AF">
        <w:t>DEFEXO014 Gauge explosives</w:t>
      </w:r>
    </w:p>
    <w:p w:rsidR="00000000" w:rsidRPr="00F259AF" w:rsidP="00F259AF">
      <w:pPr>
        <w:pStyle w:val="Heading1"/>
      </w:pPr>
      <w:bookmarkStart w:id="1" w:name="O_1282848"/>
      <w:bookmarkEnd w:id="1"/>
      <w:r w:rsidRPr="00F259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Release 3. Assessment Conditions clarified in relation to simulation being an assessment option.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Release 2. Modifications made to Foundation Skills and Assessment Conditions.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t xml:space="preserve">Release 1. This unit was released in DEF Defence Training </w:t>
            </w:r>
            <w:r w:rsidRPr="00F259AF">
              <w:t>Package release 1.0 and meets the Standards for Training Packages.</w:t>
            </w:r>
          </w:p>
          <w:p w:rsidR="00000000" w:rsidRPr="00F259AF" w:rsidP="00F259AF">
            <w:pPr>
              <w:pStyle w:val="BodyText"/>
            </w:pPr>
            <w:r w:rsidRPr="00F259AF">
              <w:t>This unit supersedes and is equivalent to DEFEO715C Gauge explosives ordnance.</w:t>
            </w:r>
          </w:p>
          <w:p w:rsidR="00000000" w:rsidRPr="00F259AF" w:rsidP="00F259AF">
            <w:pPr>
              <w:pStyle w:val="ListBullet"/>
            </w:pPr>
            <w:r w:rsidRPr="00F259AF">
              <w:t>Unit code updated</w:t>
            </w:r>
          </w:p>
          <w:p w:rsidR="00000000" w:rsidRPr="00F259AF" w:rsidP="00F259AF">
            <w:pPr>
              <w:pStyle w:val="ListBullet"/>
            </w:pPr>
            <w:r w:rsidRPr="00F259AF">
              <w:t>Content and formatting updated to comply with the new standards</w:t>
            </w:r>
          </w:p>
          <w:p w:rsidR="00000000" w:rsidRPr="00F259AF" w:rsidP="00F259AF">
            <w:pPr>
              <w:pStyle w:val="ListBullet"/>
            </w:pPr>
            <w:r w:rsidRPr="00F259AF">
              <w:t>All PC transitioned from pa</w:t>
            </w:r>
            <w:r w:rsidRPr="00F259AF">
              <w:t>ssive to active voice</w:t>
            </w:r>
          </w:p>
          <w:p w:rsidR="00000000" w:rsidRPr="00F259AF" w:rsidP="00F259AF">
            <w:pPr>
              <w:pStyle w:val="ListBullet"/>
            </w:pPr>
            <w:r w:rsidRPr="00F259AF">
              <w:t>PC 1.2 removed</w:t>
            </w:r>
          </w:p>
        </w:tc>
      </w:tr>
    </w:tbl>
    <w:p w:rsidR="00000000" w:rsidRPr="00F259AF" w:rsidP="00F259AF">
      <w:pPr>
        <w:pStyle w:val="BodyText"/>
      </w:pPr>
    </w:p>
    <w:p w:rsidR="00000000" w:rsidRPr="00F259AF" w:rsidP="00F259AF">
      <w:pPr>
        <w:pStyle w:val="AllowPageBreak"/>
      </w:pPr>
    </w:p>
    <w:p w:rsidR="00000000" w:rsidRPr="00F259AF" w:rsidP="00F259AF">
      <w:pPr>
        <w:pStyle w:val="Heading1"/>
      </w:pPr>
      <w:bookmarkStart w:id="2" w:name="O_1282847"/>
      <w:bookmarkEnd w:id="2"/>
      <w:r w:rsidRPr="00F259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t xml:space="preserve">This unit describes the skills required to gauge explosives and/or components for inspection, testing, maintenance or to determine serviceability. </w:t>
            </w:r>
            <w:r w:rsidRPr="00F259AF">
              <w:t>Gauging requires the ability to work safely within an explosives environment, to calculate and apply net explosive quantity, to assess and apply compatibility and to maintain documentation.</w:t>
            </w:r>
          </w:p>
          <w:p w:rsidR="00000000" w:rsidRPr="00F259AF" w:rsidP="00F259AF">
            <w:pPr>
              <w:pStyle w:val="BodyText"/>
            </w:pPr>
            <w:r w:rsidRPr="00F259AF">
              <w:t>This unit applies to those required to gauge explosives and/or com</w:t>
            </w:r>
            <w:r w:rsidRPr="00F259AF">
              <w:t>ponents to confirm compliance with established design parameters and/or other specifications, references or publications.</w:t>
            </w:r>
          </w:p>
          <w:p w:rsidR="00000000" w:rsidRPr="00F259AF" w:rsidP="00F259AF">
            <w:pPr>
              <w:pStyle w:val="BodyText"/>
            </w:pPr>
            <w:r w:rsidRPr="00F259AF">
              <w:t>The skills and knowledge described in this unit must be applied within the legislative, regulatory and policy environment in which the</w:t>
            </w:r>
            <w:r w:rsidRPr="00F259AF">
              <w:t>y are carried out. Organisational policies and procedures must be consulted and adhered to.</w:t>
            </w:r>
          </w:p>
          <w:p w:rsidR="00000000" w:rsidRPr="00F259AF" w:rsidP="00F259AF">
            <w:pPr>
              <w:pStyle w:val="BodyText"/>
            </w:pPr>
            <w:r w:rsidRPr="00F259AF">
              <w:t>Those undertaking this unit would work independently and/or as part of a team, under indirect supervision. They would use discretion and judgement and take responsi</w:t>
            </w:r>
            <w:r w:rsidRPr="00F259AF">
              <w:t>bility for the quality of their outputs while performing specific tasks in a broad range of contexts</w:t>
            </w:r>
          </w:p>
          <w:p w:rsidR="00000000" w:rsidRPr="00F259AF" w:rsidP="00F259AF">
            <w:pPr>
              <w:pStyle w:val="BodyText"/>
            </w:pPr>
            <w:r w:rsidRPr="00F259AF">
              <w:t>No licensing, legislative or certification requirements apply to unit at the time of publication.</w:t>
            </w:r>
          </w:p>
        </w:tc>
      </w:tr>
    </w:tbl>
    <w:p w:rsidR="00A614D7" w:rsidP="00F259AF">
      <w:pPr>
        <w:pStyle w:val="NoPaddingFontSize1"/>
      </w:pPr>
    </w:p>
    <w:p w:rsidR="00A614D7" w:rsidP="00F259AF">
      <w:pPr>
        <w:pStyle w:val="NoPaddingFontSize1"/>
      </w:pPr>
    </w:p>
    <w:p w:rsidR="00000000" w:rsidRPr="00F259AF" w:rsidP="00F259AF">
      <w:pPr>
        <w:pStyle w:val="Heading1"/>
      </w:pPr>
      <w:bookmarkStart w:id="3" w:name="O_1282846"/>
      <w:bookmarkEnd w:id="3"/>
      <w:r w:rsidRPr="00F259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t>Not applicable.</w:t>
            </w:r>
          </w:p>
        </w:tc>
      </w:tr>
    </w:tbl>
    <w:p w:rsidR="00A614D7" w:rsidP="00F259AF">
      <w:pPr>
        <w:pStyle w:val="NoPaddingFontSize1"/>
      </w:pPr>
    </w:p>
    <w:p w:rsidR="00A614D7" w:rsidP="00F259AF">
      <w:pPr>
        <w:pStyle w:val="NoPaddingFontSize1"/>
      </w:pPr>
    </w:p>
    <w:p w:rsidR="00000000" w:rsidRPr="00F259AF" w:rsidP="00F259AF">
      <w:pPr>
        <w:pStyle w:val="Heading1"/>
      </w:pPr>
      <w:bookmarkStart w:id="4" w:name="O_1282845"/>
      <w:bookmarkEnd w:id="4"/>
      <w:r w:rsidRPr="00F259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t>Explosive Ordnance</w:t>
            </w:r>
          </w:p>
        </w:tc>
      </w:tr>
    </w:tbl>
    <w:p w:rsidR="00A614D7" w:rsidP="00F259AF">
      <w:pPr>
        <w:pStyle w:val="NoPaddingFontSize1"/>
      </w:pPr>
    </w:p>
    <w:p w:rsidR="00A614D7" w:rsidP="00F259AF">
      <w:pPr>
        <w:pStyle w:val="NoPaddingFontSize1"/>
      </w:pPr>
    </w:p>
    <w:p w:rsidR="00000000" w:rsidRPr="00F259AF" w:rsidP="00F259AF">
      <w:pPr>
        <w:pStyle w:val="Heading1"/>
      </w:pPr>
      <w:bookmarkStart w:id="5" w:name="O_1282844"/>
      <w:bookmarkEnd w:id="5"/>
      <w:r w:rsidRPr="00F259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t>Not applicable.</w:t>
            </w:r>
          </w:p>
        </w:tc>
      </w:tr>
    </w:tbl>
    <w:p w:rsidR="00A614D7" w:rsidP="00F259AF">
      <w:pPr>
        <w:pStyle w:val="NoPaddingFontSize1"/>
      </w:pPr>
    </w:p>
    <w:p w:rsidR="00A614D7" w:rsidP="00F259AF">
      <w:pPr>
        <w:pStyle w:val="NoPaddingFontSize1"/>
      </w:pPr>
    </w:p>
    <w:p w:rsidR="00000000" w:rsidRPr="00F259AF" w:rsidP="00F259AF">
      <w:pPr>
        <w:pStyle w:val="Heading1"/>
      </w:pPr>
      <w:bookmarkStart w:id="6" w:name="O_1282843"/>
      <w:bookmarkEnd w:id="6"/>
      <w:r w:rsidRPr="00F259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PERFORMANCE CRITERIA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Performance criteria describe the performance needed to demonstrate achievement of the element.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rPr>
                <w:rStyle w:val="SpecialBold"/>
              </w:rPr>
              <w:t>Prepare for gauging of explosives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Identify requirement for explosives gauging from work requests/instructions and confirm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Identify, acquire and prepare technical references, tools and equipment required for the gauging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Acquire, prepare, move and position explosives to be gauged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Identify, calculate, assess and apply net explosive quantities and compatibility throughout the operation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Monitor and maintain environmental conditions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rPr>
                <w:rStyle w:val="SpecialBold"/>
              </w:rPr>
              <w:t>Gauge explosives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Gauge explosives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Interpret emergency procedures and apply continge</w:t>
            </w:r>
            <w:r w:rsidRPr="00F259AF">
              <w:t>ncy plans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rPr>
                <w:rStyle w:val="SpecialBold"/>
              </w:rPr>
              <w:t>Finalise the gauging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t>Maintain equipment/tools</w:t>
            </w:r>
          </w:p>
        </w:tc>
      </w:tr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9AF">
            <w:pPr>
              <w:pStyle w:val="BodyText"/>
              <w:rPr>
                <w:lang w:val="en-NZ"/>
              </w:rPr>
            </w:pPr>
            <w:r w:rsidRPr="00F259A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t>Maintain documentation and records</w:t>
            </w:r>
          </w:p>
        </w:tc>
      </w:tr>
    </w:tbl>
    <w:p w:rsidR="00A614D7" w:rsidP="00F259AF">
      <w:pPr>
        <w:pStyle w:val="NoPaddingFontSize1"/>
      </w:pPr>
    </w:p>
    <w:p w:rsidR="00A614D7" w:rsidP="00F259AF">
      <w:pPr>
        <w:pStyle w:val="NoPaddingFontSize1"/>
      </w:pPr>
    </w:p>
    <w:p w:rsidR="00000000" w:rsidRPr="00F259AF" w:rsidP="00F259AF">
      <w:pPr>
        <w:pStyle w:val="Heading1"/>
      </w:pPr>
      <w:bookmarkStart w:id="7" w:name="O_1282842"/>
      <w:bookmarkEnd w:id="7"/>
      <w:r w:rsidRPr="00F259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t>Foundation skills essential to performance are explicit in the performance criteria of this unit of competency.</w:t>
            </w:r>
          </w:p>
        </w:tc>
      </w:tr>
    </w:tbl>
    <w:p w:rsidR="00A614D7" w:rsidP="00F259AF">
      <w:pPr>
        <w:pStyle w:val="NoPaddingFontSize1"/>
      </w:pPr>
    </w:p>
    <w:p w:rsidR="00A614D7" w:rsidP="00F259AF">
      <w:pPr>
        <w:pStyle w:val="NoPaddingFontSize1"/>
      </w:pPr>
    </w:p>
    <w:p w:rsidR="00000000" w:rsidRPr="00F259AF" w:rsidP="00F259AF">
      <w:pPr>
        <w:pStyle w:val="Heading1"/>
      </w:pPr>
      <w:bookmarkStart w:id="8" w:name="O_1282841"/>
      <w:bookmarkEnd w:id="8"/>
      <w:r w:rsidRPr="00F259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t>Range is restricted to essential operating conditions and any other variables essential to the work environment.</w:t>
            </w:r>
          </w:p>
          <w:p w:rsidR="00000000" w:rsidRPr="00F259AF" w:rsidP="00F259AF">
            <w:pPr>
              <w:pStyle w:val="BodyText"/>
            </w:pPr>
            <w:r w:rsidRPr="00F259AF">
              <w:t>Non-essential conditions may be found in the Companion Volume Implementation Guide.</w:t>
            </w:r>
          </w:p>
        </w:tc>
      </w:tr>
    </w:tbl>
    <w:p w:rsidR="00A614D7" w:rsidP="00F259AF">
      <w:pPr>
        <w:pStyle w:val="NoPaddingFontSize1"/>
      </w:pPr>
    </w:p>
    <w:p w:rsidR="00A614D7" w:rsidP="00F259AF">
      <w:pPr>
        <w:pStyle w:val="NoPaddingFontSize1"/>
      </w:pPr>
    </w:p>
    <w:p w:rsidR="00000000" w:rsidRPr="00F259AF" w:rsidP="00F259AF">
      <w:pPr>
        <w:pStyle w:val="Heading1"/>
      </w:pPr>
      <w:bookmarkStart w:id="9" w:name="O_1282840"/>
      <w:bookmarkEnd w:id="9"/>
      <w:r w:rsidRPr="00F259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9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9AF" w:rsidP="00F259AF">
            <w:pPr>
              <w:pStyle w:val="BodyText"/>
            </w:pPr>
            <w:r w:rsidRPr="00F259AF">
              <w:t>This unit su</w:t>
            </w:r>
            <w:r w:rsidRPr="00F259AF">
              <w:t>persedes and is equivalent to DEFEO715C Gauge explosives ordnance.</w:t>
            </w:r>
          </w:p>
        </w:tc>
      </w:tr>
    </w:tbl>
    <w:p w:rsidR="00A614D7" w:rsidP="00F259AF">
      <w:pPr>
        <w:pStyle w:val="NoPaddingFontSize1"/>
      </w:pPr>
    </w:p>
    <w:p w:rsidR="00A614D7" w:rsidP="00F259AF">
      <w:pPr>
        <w:pStyle w:val="NoPaddingFontSize1"/>
      </w:pPr>
    </w:p>
    <w:p w:rsidR="00000000" w:rsidRPr="00F259AF" w:rsidP="00F259AF">
      <w:pPr>
        <w:pStyle w:val="Heading1"/>
      </w:pPr>
      <w:bookmarkStart w:id="10" w:name="O_1284111"/>
      <w:bookmarkEnd w:id="10"/>
      <w:r w:rsidRPr="00F259AF">
        <w:t>Links</w:t>
      </w:r>
    </w:p>
    <w:p w:rsidR="00000000" w:rsidRPr="00F259AF" w:rsidP="00A614D7">
      <w:pPr>
        <w:pStyle w:val="BodyText"/>
      </w:pPr>
      <w:r w:rsidRPr="00F259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045C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259AF" w:rsidP="00F259AF"/>
    <w:sectPr w:rsidSect="00F259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AF" w:rsidRPr="00A614D7" w:rsidP="00A61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D7" w:rsidP="00F25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4D7" w:rsidP="00F25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614D7" w:rsidP="00F25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9AF" w:rsidRPr="00A614D7" w:rsidP="00A61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D7" w:rsidRPr="002D2AF8" w:rsidP="00F25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DEFEXO014 Gauge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614D7" w:rsidP="00F25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C47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3AC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9AF"/>
  </w:style>
  <w:style w:type="character" w:customStyle="1" w:styleId="Heading1Char">
    <w:name w:val="Heading 1 Char"/>
    <w:basedOn w:val="DefaultParagraphFont"/>
    <w:link w:val="Heading1"/>
    <w:rsid w:val="00F25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9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9AF"/>
    <w:rPr>
      <w:b/>
      <w:spacing w:val="0"/>
    </w:rPr>
  </w:style>
  <w:style w:type="paragraph" w:customStyle="1" w:styleId="SuperHeading">
    <w:name w:val="SuperHeading"/>
    <w:basedOn w:val="Normal"/>
    <w:rsid w:val="00F25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5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9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9AF"/>
    <w:rPr>
      <w:i/>
    </w:rPr>
  </w:style>
  <w:style w:type="paragraph" w:styleId="Caption">
    <w:name w:val="caption"/>
    <w:basedOn w:val="BodyText"/>
    <w:next w:val="Normal"/>
    <w:qFormat/>
    <w:rsid w:val="00F25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9AF"/>
  </w:style>
  <w:style w:type="paragraph" w:styleId="TableofFigures">
    <w:name w:val="table of figures"/>
    <w:basedOn w:val="Normal"/>
    <w:next w:val="Normal"/>
    <w:semiHidden/>
    <w:rsid w:val="00F25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9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59AF"/>
    <w:rPr>
      <w:rFonts w:ascii="Wingdings" w:hAnsi="Wingdings"/>
    </w:rPr>
  </w:style>
  <w:style w:type="paragraph" w:customStyle="1" w:styleId="TableHeading">
    <w:name w:val="Table Heading"/>
    <w:basedOn w:val="HeadingBase"/>
    <w:rsid w:val="00F25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9AF"/>
    <w:rPr>
      <w:color w:val="0033CC"/>
      <w:u w:val="none"/>
    </w:rPr>
  </w:style>
  <w:style w:type="paragraph" w:customStyle="1" w:styleId="BodyTextRight">
    <w:name w:val="Body Text Right"/>
    <w:basedOn w:val="BodyText"/>
    <w:rsid w:val="00F25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9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9AF"/>
    <w:rPr>
      <w:sz w:val="32"/>
    </w:rPr>
  </w:style>
  <w:style w:type="paragraph" w:customStyle="1" w:styleId="HeadingProcedure">
    <w:name w:val="Heading Procedure"/>
    <w:basedOn w:val="HeadingBase"/>
    <w:next w:val="Normal"/>
    <w:rsid w:val="00F25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9AF"/>
    <w:pPr>
      <w:spacing w:before="60" w:after="60"/>
    </w:pPr>
  </w:style>
  <w:style w:type="paragraph" w:styleId="ListContinue">
    <w:name w:val="List Continue"/>
    <w:basedOn w:val="List"/>
    <w:rsid w:val="00F259AF"/>
    <w:pPr>
      <w:ind w:firstLine="0"/>
    </w:pPr>
  </w:style>
  <w:style w:type="paragraph" w:customStyle="1" w:styleId="ListNote">
    <w:name w:val="List Note"/>
    <w:basedOn w:val="List"/>
    <w:rsid w:val="00F25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9AF"/>
    <w:rPr>
      <w:rFonts w:ascii="Courier New" w:hAnsi="Courier New"/>
    </w:rPr>
  </w:style>
  <w:style w:type="paragraph" w:customStyle="1" w:styleId="NoteBullet">
    <w:name w:val="Note Bullet"/>
    <w:basedOn w:val="Note"/>
    <w:rsid w:val="00F25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9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5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9AF"/>
    <w:rPr>
      <w:b/>
      <w:smallCaps/>
    </w:rPr>
  </w:style>
  <w:style w:type="paragraph" w:customStyle="1" w:styleId="TableListNumber">
    <w:name w:val="Table List Number"/>
    <w:basedOn w:val="ListNumber"/>
    <w:rsid w:val="00F25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9AF"/>
    <w:pPr>
      <w:numPr>
        <w:numId w:val="8"/>
      </w:numPr>
    </w:pPr>
  </w:style>
  <w:style w:type="paragraph" w:customStyle="1" w:styleId="ListAlpha2">
    <w:name w:val="List Alpha 2"/>
    <w:basedOn w:val="List2"/>
    <w:rsid w:val="00F259AF"/>
    <w:pPr>
      <w:numPr>
        <w:numId w:val="7"/>
      </w:numPr>
    </w:pPr>
  </w:style>
  <w:style w:type="paragraph" w:styleId="List2">
    <w:name w:val="List 2"/>
    <w:basedOn w:val="BodyText"/>
    <w:rsid w:val="00F25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9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9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59AF"/>
    <w:pPr>
      <w:numPr>
        <w:numId w:val="3"/>
      </w:numPr>
    </w:pPr>
  </w:style>
  <w:style w:type="paragraph" w:styleId="ListContinue2">
    <w:name w:val="List Continue 2"/>
    <w:basedOn w:val="List2"/>
    <w:rsid w:val="00F259AF"/>
    <w:pPr>
      <w:ind w:firstLine="0"/>
    </w:pPr>
  </w:style>
  <w:style w:type="paragraph" w:styleId="ListContinue3">
    <w:name w:val="List Continue 3"/>
    <w:basedOn w:val="List3"/>
    <w:rsid w:val="00F259AF"/>
    <w:pPr>
      <w:ind w:left="1021" w:firstLine="0"/>
    </w:pPr>
  </w:style>
  <w:style w:type="paragraph" w:styleId="ListContinue4">
    <w:name w:val="List Continue 4"/>
    <w:basedOn w:val="List4"/>
    <w:rsid w:val="00F259AF"/>
    <w:pPr>
      <w:ind w:firstLine="0"/>
    </w:pPr>
  </w:style>
  <w:style w:type="paragraph" w:styleId="ListContinue5">
    <w:name w:val="List Continue 5"/>
    <w:basedOn w:val="List5"/>
    <w:rsid w:val="00F259AF"/>
    <w:pPr>
      <w:ind w:firstLine="0"/>
    </w:pPr>
  </w:style>
  <w:style w:type="paragraph" w:styleId="ListNumber3">
    <w:name w:val="List Number 3"/>
    <w:basedOn w:val="List3"/>
    <w:rsid w:val="00F259AF"/>
    <w:pPr>
      <w:numPr>
        <w:numId w:val="4"/>
      </w:numPr>
    </w:pPr>
  </w:style>
  <w:style w:type="paragraph" w:styleId="ListNumber4">
    <w:name w:val="List Number 4"/>
    <w:basedOn w:val="List4"/>
    <w:rsid w:val="00F259AF"/>
    <w:pPr>
      <w:numPr>
        <w:numId w:val="5"/>
      </w:numPr>
    </w:pPr>
  </w:style>
  <w:style w:type="paragraph" w:styleId="ListNumber5">
    <w:name w:val="List Number 5"/>
    <w:basedOn w:val="List5"/>
    <w:rsid w:val="00F259AF"/>
    <w:pPr>
      <w:numPr>
        <w:numId w:val="6"/>
      </w:numPr>
    </w:pPr>
  </w:style>
  <w:style w:type="paragraph" w:styleId="BlockText">
    <w:name w:val="Block Text"/>
    <w:basedOn w:val="Normal"/>
    <w:rsid w:val="00F25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9AF"/>
    <w:rPr>
      <w:sz w:val="16"/>
      <w:vertAlign w:val="superscript"/>
    </w:rPr>
  </w:style>
  <w:style w:type="character" w:customStyle="1" w:styleId="Symbols">
    <w:name w:val="Symbols"/>
    <w:basedOn w:val="DefaultParagraphFont"/>
    <w:rsid w:val="00F259AF"/>
    <w:rPr>
      <w:rFonts w:ascii="Symbol" w:hAnsi="Symbol"/>
    </w:rPr>
  </w:style>
  <w:style w:type="character" w:customStyle="1" w:styleId="MenuOptions">
    <w:name w:val="Menu Options"/>
    <w:basedOn w:val="DefaultParagraphFont"/>
    <w:rsid w:val="00F25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9AF"/>
    <w:rPr>
      <w:b/>
    </w:rPr>
  </w:style>
  <w:style w:type="character" w:customStyle="1" w:styleId="Underlined">
    <w:name w:val="Underlined"/>
    <w:basedOn w:val="DefaultParagraphFont"/>
    <w:rsid w:val="00F259AF"/>
    <w:rPr>
      <w:u w:val="single"/>
    </w:rPr>
  </w:style>
  <w:style w:type="paragraph" w:customStyle="1" w:styleId="TableBodyTextRight">
    <w:name w:val="Table Body Text Right"/>
    <w:basedOn w:val="TableBodyText"/>
    <w:rsid w:val="00F25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9AF"/>
    <w:rPr>
      <w:sz w:val="18"/>
    </w:rPr>
  </w:style>
  <w:style w:type="paragraph" w:customStyle="1" w:styleId="BodySmallRight">
    <w:name w:val="Body Small Right"/>
    <w:basedOn w:val="BodyTextRight"/>
    <w:rsid w:val="00F259AF"/>
    <w:rPr>
      <w:sz w:val="18"/>
      <w:szCs w:val="18"/>
    </w:rPr>
  </w:style>
  <w:style w:type="paragraph" w:customStyle="1" w:styleId="MarginEdition">
    <w:name w:val="Margin Edition"/>
    <w:basedOn w:val="MarginNote"/>
    <w:rsid w:val="00F25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9AF"/>
    <w:rPr>
      <w:sz w:val="2"/>
      <w:szCs w:val="2"/>
    </w:rPr>
  </w:style>
  <w:style w:type="character" w:customStyle="1" w:styleId="Small">
    <w:name w:val="Small"/>
    <w:basedOn w:val="DefaultParagraphFont"/>
    <w:rsid w:val="00F259AF"/>
    <w:rPr>
      <w:sz w:val="16"/>
    </w:rPr>
  </w:style>
  <w:style w:type="paragraph" w:customStyle="1" w:styleId="WideTable">
    <w:name w:val="Wide Table"/>
    <w:basedOn w:val="Normal"/>
    <w:rsid w:val="00F25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9AF"/>
  </w:style>
  <w:style w:type="paragraph" w:styleId="Quote">
    <w:name w:val="Quote"/>
    <w:basedOn w:val="Heading1"/>
    <w:link w:val="QuoteChar"/>
    <w:qFormat/>
    <w:rsid w:val="00F25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9AF"/>
    <w:pPr>
      <w:pageBreakBefore/>
    </w:pPr>
  </w:style>
  <w:style w:type="paragraph" w:customStyle="1" w:styleId="Border">
    <w:name w:val="Border"/>
    <w:basedOn w:val="Normal"/>
    <w:qFormat/>
    <w:rsid w:val="00F25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9AF"/>
    <w:rPr>
      <w:u w:val="single"/>
    </w:rPr>
  </w:style>
  <w:style w:type="character" w:customStyle="1" w:styleId="BoldandItalics">
    <w:name w:val="Bold and Italics"/>
    <w:qFormat/>
    <w:rsid w:val="00F259AF"/>
    <w:rPr>
      <w:b/>
      <w:i/>
      <w:u w:val="none"/>
    </w:rPr>
  </w:style>
  <w:style w:type="paragraph" w:styleId="BalloonText">
    <w:name w:val="Balloon Text"/>
    <w:basedOn w:val="Normal"/>
    <w:link w:val="BalloonTextChar"/>
    <w:rsid w:val="00F25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9AF"/>
    <w:pPr>
      <w:spacing w:before="0" w:after="0"/>
    </w:pPr>
  </w:style>
  <w:style w:type="paragraph" w:customStyle="1" w:styleId="BodyTextBold">
    <w:name w:val="Body Text Bold"/>
    <w:basedOn w:val="BodyText"/>
    <w:qFormat/>
    <w:rsid w:val="00F259AF"/>
    <w:rPr>
      <w:b/>
    </w:rPr>
  </w:style>
  <w:style w:type="character" w:styleId="Hyperlink">
    <w:name w:val="Hyperlink"/>
    <w:basedOn w:val="DefaultParagraphFont"/>
    <w:uiPriority w:val="99"/>
    <w:unhideWhenUsed/>
    <w:rsid w:val="00A61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3047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DEFEXO014 Gauge explosives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