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657F" w:rsidP="0070657F">
      <w:pPr>
        <w:pStyle w:val="Title"/>
      </w:pPr>
      <w:r>
        <w:fldChar w:fldCharType="begin"/>
      </w:r>
      <w:r>
        <w:instrText xml:space="preserve"> TITLE   \* MERGEFORMAT </w:instrText>
      </w:r>
      <w:r>
        <w:fldChar w:fldCharType="separate"/>
      </w:r>
      <w:r>
        <w:t>DEFEXO006 Unpackage explosives</w:t>
      </w:r>
      <w:r>
        <w:fldChar w:fldCharType="end"/>
      </w:r>
    </w:p>
    <w:p w:rsidR="0070657F" w:rsidP="0070657F">
      <w:pPr>
        <w:pStyle w:val="Version"/>
        <w:sectPr w:rsidSect="006E60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E6040" w:rsidP="006E6040">
      <w:pPr>
        <w:pStyle w:val="SuperHeading"/>
      </w:pPr>
      <w:r w:rsidRPr="006E6040">
        <w:t>DEFEXO006 Unpackage explosives</w:t>
      </w:r>
    </w:p>
    <w:p w:rsidR="00000000" w:rsidRPr="006E6040" w:rsidP="006E6040">
      <w:pPr>
        <w:pStyle w:val="Heading1"/>
      </w:pPr>
      <w:bookmarkStart w:id="1" w:name="O_1282740"/>
      <w:bookmarkEnd w:id="1"/>
      <w:r w:rsidRPr="006E6040">
        <w:t>Modification History</w:t>
      </w:r>
    </w:p>
    <w:tbl>
      <w:tblPr>
        <w:tblW w:w="9497" w:type="dxa"/>
        <w:tblLayout w:type="fixed"/>
        <w:tblCellMar>
          <w:left w:w="62" w:type="dxa"/>
          <w:right w:w="62" w:type="dxa"/>
        </w:tblCellMar>
        <w:tblLook w:val="0000"/>
      </w:tblPr>
      <w:tblGrid>
        <w:gridCol w:w="9497"/>
      </w:tblGrid>
      <w:tr w:rsidTr="006E60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E6040">
            <w:pPr>
              <w:pStyle w:val="BodyText"/>
              <w:rPr>
                <w:lang w:val="en-NZ"/>
              </w:rPr>
            </w:pPr>
            <w:r w:rsidRPr="006E6040">
              <w:t>Release 3. Assessment Conditions clarified in relation to simulation being an assessment option.</w:t>
            </w:r>
          </w:p>
        </w:tc>
      </w:tr>
      <w:tr w:rsidTr="006E60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E6040">
            <w:pPr>
              <w:pStyle w:val="BodyText"/>
              <w:rPr>
                <w:lang w:val="en-NZ"/>
              </w:rPr>
            </w:pPr>
            <w:r w:rsidRPr="006E6040">
              <w:t>Release 2. Modifications made to Foundation Skills and Assessment Conditions.</w:t>
            </w:r>
          </w:p>
        </w:tc>
      </w:tr>
      <w:tr w:rsidTr="006E60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6040" w:rsidP="006E6040">
            <w:pPr>
              <w:pStyle w:val="BodyText"/>
            </w:pPr>
            <w:r w:rsidRPr="006E6040">
              <w:t xml:space="preserve">Release 1. This unit was released in DEF Defence Training </w:t>
            </w:r>
            <w:r w:rsidRPr="006E6040">
              <w:t>Package release 1.0 and meets the Standards for Training Packages.</w:t>
            </w:r>
          </w:p>
          <w:p w:rsidR="00000000" w:rsidRPr="006E6040" w:rsidP="006E6040">
            <w:pPr>
              <w:pStyle w:val="BodyText"/>
            </w:pPr>
            <w:r w:rsidRPr="006E6040">
              <w:t>This unit supersedes and is equivalent to DEFEO302D Unpackage ammunition.</w:t>
            </w:r>
          </w:p>
          <w:p w:rsidR="00000000" w:rsidRPr="006E6040" w:rsidP="006E6040">
            <w:pPr>
              <w:pStyle w:val="ListBullet"/>
            </w:pPr>
            <w:r w:rsidRPr="006E6040">
              <w:t>Unit code updated</w:t>
            </w:r>
          </w:p>
          <w:p w:rsidR="00000000" w:rsidRPr="006E6040" w:rsidP="006E6040">
            <w:pPr>
              <w:pStyle w:val="ListBullet"/>
            </w:pPr>
            <w:r w:rsidRPr="006E6040">
              <w:t>Content and formatting updated to comply with the new standards</w:t>
            </w:r>
          </w:p>
          <w:p w:rsidR="00000000" w:rsidRPr="006E6040" w:rsidP="006E6040">
            <w:pPr>
              <w:pStyle w:val="ListBullet"/>
            </w:pPr>
            <w:r w:rsidRPr="006E6040">
              <w:t>All PC transitioned from passive</w:t>
            </w:r>
            <w:r w:rsidRPr="006E6040">
              <w:t xml:space="preserve"> to active voice</w:t>
            </w:r>
          </w:p>
          <w:p w:rsidR="00000000" w:rsidRPr="006E6040" w:rsidP="006E6040">
            <w:pPr>
              <w:pStyle w:val="ListBullet"/>
            </w:pPr>
            <w:r w:rsidRPr="006E6040">
              <w:t>PC 1.2 and 1.5 removed</w:t>
            </w:r>
          </w:p>
          <w:p w:rsidR="00000000" w:rsidRPr="006E6040" w:rsidP="006E6040">
            <w:pPr>
              <w:pStyle w:val="ListBullet"/>
            </w:pPr>
            <w:r w:rsidRPr="006E6040">
              <w:t>Element 2 one new PC</w:t>
            </w:r>
          </w:p>
        </w:tc>
      </w:tr>
    </w:tbl>
    <w:p w:rsidR="0070657F" w:rsidP="006E6040">
      <w:pPr>
        <w:pStyle w:val="NoPaddingFontSize1"/>
      </w:pPr>
    </w:p>
    <w:p w:rsidR="0070657F" w:rsidP="006E6040">
      <w:pPr>
        <w:pStyle w:val="NoPaddingFontSize1"/>
      </w:pPr>
    </w:p>
    <w:p w:rsidR="00000000" w:rsidRPr="006E6040" w:rsidP="006E6040">
      <w:pPr>
        <w:pStyle w:val="Heading1"/>
      </w:pPr>
      <w:bookmarkStart w:id="2" w:name="O_1282739"/>
      <w:bookmarkEnd w:id="2"/>
      <w:r w:rsidRPr="006E6040">
        <w:t>Application</w:t>
      </w:r>
    </w:p>
    <w:tbl>
      <w:tblPr>
        <w:tblW w:w="9497" w:type="dxa"/>
        <w:tblLayout w:type="fixed"/>
        <w:tblCellMar>
          <w:left w:w="62" w:type="dxa"/>
          <w:right w:w="62" w:type="dxa"/>
        </w:tblCellMar>
        <w:tblLook w:val="0000"/>
      </w:tblPr>
      <w:tblGrid>
        <w:gridCol w:w="9497"/>
      </w:tblGrid>
      <w:tr w:rsidTr="006E60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6040" w:rsidP="006E6040">
            <w:pPr>
              <w:pStyle w:val="BodyText"/>
            </w:pPr>
            <w:r w:rsidRPr="006E6040">
              <w:t xml:space="preserve">This unit describes the skills required to unpackage explosives and explosive components prior to inspection or maintenance. This includes calculating </w:t>
            </w:r>
            <w:r w:rsidRPr="006E6040">
              <w:t>net explosive quantity, applying compatibility constraints, inspecting the packaging and maintaining a range of documentation.</w:t>
            </w:r>
          </w:p>
          <w:p w:rsidR="00000000" w:rsidRPr="006E6040" w:rsidP="006E6040">
            <w:pPr>
              <w:pStyle w:val="BodyText"/>
            </w:pPr>
            <w:r w:rsidRPr="006E6040">
              <w:t>This unit applies to those required to prepare, package and finalise documentation for explosives and explosive components for th</w:t>
            </w:r>
            <w:r w:rsidRPr="006E6040">
              <w:t>e purpose of transportation and storage.</w:t>
            </w:r>
          </w:p>
          <w:p w:rsidR="00000000" w:rsidRPr="006E6040" w:rsidP="006E6040">
            <w:pPr>
              <w:pStyle w:val="BodyText"/>
            </w:pPr>
            <w:r w:rsidRPr="006E6040">
              <w:t>The skills and knowledge described in this unit must be applied within the legislative, regulatory and policy environment in which they are carried out. Organisational policies and procedures must be consulted and a</w:t>
            </w:r>
            <w:r w:rsidRPr="006E6040">
              <w:t>dhered to.</w:t>
            </w:r>
          </w:p>
          <w:p w:rsidR="00000000" w:rsidRPr="006E6040" w:rsidP="006E6040">
            <w:pPr>
              <w:pStyle w:val="BodyText"/>
            </w:pPr>
            <w:r w:rsidRPr="006E6040">
              <w:t>Those undertaking this unit would work independently and as part of a team, under direct and/or indirect supervision, use discretion and judgement, and take responsibility for the quality of their output. They would perform specific tasks in a b</w:t>
            </w:r>
            <w:r w:rsidRPr="006E6040">
              <w:t>road range of contexts.</w:t>
            </w:r>
          </w:p>
          <w:p w:rsidR="00000000" w:rsidRPr="006E6040" w:rsidP="006E6040">
            <w:pPr>
              <w:pStyle w:val="BodyText"/>
            </w:pPr>
            <w:r w:rsidRPr="006E6040">
              <w:t>No licensing, legislative or certification requirements apply to unit at the time of publication.</w:t>
            </w:r>
          </w:p>
        </w:tc>
      </w:tr>
    </w:tbl>
    <w:p w:rsidR="0070657F" w:rsidP="006E6040">
      <w:pPr>
        <w:pStyle w:val="NoPaddingFontSize1"/>
      </w:pPr>
    </w:p>
    <w:p w:rsidR="0070657F" w:rsidP="006E6040">
      <w:pPr>
        <w:pStyle w:val="NoPaddingFontSize1"/>
      </w:pPr>
    </w:p>
    <w:p w:rsidR="00000000" w:rsidRPr="006E6040" w:rsidP="006E6040">
      <w:pPr>
        <w:pStyle w:val="Heading1"/>
      </w:pPr>
      <w:bookmarkStart w:id="3" w:name="O_1282738"/>
      <w:bookmarkEnd w:id="3"/>
      <w:r w:rsidRPr="006E6040">
        <w:t>Pre-requisite Unit</w:t>
      </w:r>
    </w:p>
    <w:tbl>
      <w:tblPr>
        <w:tblW w:w="9497" w:type="dxa"/>
        <w:tblLayout w:type="fixed"/>
        <w:tblCellMar>
          <w:left w:w="62" w:type="dxa"/>
          <w:right w:w="62" w:type="dxa"/>
        </w:tblCellMar>
        <w:tblLook w:val="0000"/>
      </w:tblPr>
      <w:tblGrid>
        <w:gridCol w:w="9497"/>
      </w:tblGrid>
      <w:tr w:rsidTr="006E60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6040" w:rsidP="006E6040">
            <w:pPr>
              <w:pStyle w:val="BodyText"/>
            </w:pPr>
            <w:r w:rsidRPr="006E6040">
              <w:t>Not applicable.</w:t>
            </w:r>
          </w:p>
        </w:tc>
      </w:tr>
    </w:tbl>
    <w:p w:rsidR="0070657F" w:rsidP="006E6040">
      <w:pPr>
        <w:pStyle w:val="NoPaddingFontSize1"/>
      </w:pPr>
    </w:p>
    <w:p w:rsidR="0070657F" w:rsidP="006E6040">
      <w:pPr>
        <w:pStyle w:val="NoPaddingFontSize1"/>
      </w:pPr>
    </w:p>
    <w:p w:rsidR="00000000" w:rsidRPr="006E6040" w:rsidP="006E6040">
      <w:pPr>
        <w:pStyle w:val="Heading1"/>
      </w:pPr>
      <w:bookmarkStart w:id="4" w:name="O_1282737"/>
      <w:bookmarkEnd w:id="4"/>
      <w:r w:rsidRPr="006E6040">
        <w:t>Competency Field</w:t>
      </w:r>
    </w:p>
    <w:tbl>
      <w:tblPr>
        <w:tblW w:w="9497" w:type="dxa"/>
        <w:tblLayout w:type="fixed"/>
        <w:tblCellMar>
          <w:left w:w="62" w:type="dxa"/>
          <w:right w:w="62" w:type="dxa"/>
        </w:tblCellMar>
        <w:tblLook w:val="0000"/>
      </w:tblPr>
      <w:tblGrid>
        <w:gridCol w:w="9497"/>
      </w:tblGrid>
      <w:tr w:rsidTr="006E60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6040" w:rsidP="006E6040">
            <w:pPr>
              <w:pStyle w:val="BodyText"/>
            </w:pPr>
            <w:r w:rsidRPr="006E6040">
              <w:t>Explosive Ordnance</w:t>
            </w:r>
          </w:p>
        </w:tc>
      </w:tr>
    </w:tbl>
    <w:p w:rsidR="0070657F" w:rsidP="006E6040">
      <w:pPr>
        <w:pStyle w:val="NoPaddingFontSize1"/>
      </w:pPr>
    </w:p>
    <w:p w:rsidR="0070657F" w:rsidP="006E6040">
      <w:pPr>
        <w:pStyle w:val="NoPaddingFontSize1"/>
      </w:pPr>
    </w:p>
    <w:p w:rsidR="00000000" w:rsidRPr="006E6040" w:rsidP="006E6040">
      <w:pPr>
        <w:pStyle w:val="Heading1"/>
      </w:pPr>
      <w:bookmarkStart w:id="5" w:name="O_1282736"/>
      <w:bookmarkEnd w:id="5"/>
      <w:r w:rsidRPr="006E6040">
        <w:t>Unit Sector</w:t>
      </w:r>
    </w:p>
    <w:tbl>
      <w:tblPr>
        <w:tblW w:w="9497" w:type="dxa"/>
        <w:tblLayout w:type="fixed"/>
        <w:tblCellMar>
          <w:left w:w="62" w:type="dxa"/>
          <w:right w:w="62" w:type="dxa"/>
        </w:tblCellMar>
        <w:tblLook w:val="0000"/>
      </w:tblPr>
      <w:tblGrid>
        <w:gridCol w:w="9497"/>
      </w:tblGrid>
      <w:tr w:rsidTr="006E60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6040" w:rsidP="006E6040">
            <w:pPr>
              <w:pStyle w:val="BodyText"/>
            </w:pPr>
            <w:r w:rsidRPr="006E6040">
              <w:t>Not applicable.</w:t>
            </w:r>
          </w:p>
        </w:tc>
      </w:tr>
    </w:tbl>
    <w:p w:rsidR="0070657F" w:rsidP="006E6040">
      <w:pPr>
        <w:pStyle w:val="NoPaddingFontSize1"/>
      </w:pPr>
    </w:p>
    <w:p w:rsidR="0070657F" w:rsidP="006E6040">
      <w:pPr>
        <w:pStyle w:val="NoPaddingFontSize1"/>
      </w:pPr>
    </w:p>
    <w:p w:rsidR="00000000" w:rsidRPr="006E6040" w:rsidP="006E6040">
      <w:pPr>
        <w:pStyle w:val="Heading1"/>
      </w:pPr>
      <w:bookmarkStart w:id="6" w:name="O_1282735"/>
      <w:bookmarkEnd w:id="6"/>
      <w:r w:rsidRPr="006E604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E604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E6040" w:rsidP="006E6040">
            <w:pPr>
              <w:pStyle w:val="BodyText"/>
            </w:pPr>
            <w:r w:rsidRPr="006E604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E6040">
            <w:pPr>
              <w:pStyle w:val="BodyText"/>
              <w:rPr>
                <w:lang w:val="en-NZ"/>
              </w:rPr>
            </w:pPr>
            <w:r w:rsidRPr="006E6040">
              <w:rPr>
                <w:rStyle w:val="SpecialBold"/>
              </w:rPr>
              <w:t>PERFORMANCE CRITERIA</w:t>
            </w:r>
          </w:p>
        </w:tc>
      </w:tr>
      <w:tr w:rsidTr="006E604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E6040">
            <w:pPr>
              <w:pStyle w:val="BodyText"/>
              <w:rPr>
                <w:lang w:val="en-NZ"/>
              </w:rPr>
            </w:pPr>
            <w:r w:rsidRPr="006E604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E6040">
            <w:pPr>
              <w:pStyle w:val="BodyText"/>
              <w:rPr>
                <w:lang w:val="en-NZ"/>
              </w:rPr>
            </w:pPr>
            <w:r w:rsidRPr="006E6040">
              <w:t>Performance criteria describe the performance needed to demonstrate achievement of the element.</w:t>
            </w:r>
          </w:p>
        </w:tc>
      </w:tr>
      <w:tr w:rsidTr="006E60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E6040" w:rsidP="006E6040">
            <w:pPr>
              <w:pStyle w:val="BodyText"/>
            </w:pPr>
            <w:r w:rsidRPr="006E604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E6040" w:rsidP="006E6040">
            <w:pPr>
              <w:pStyle w:val="BodyText"/>
            </w:pPr>
            <w:r w:rsidRPr="006E6040">
              <w:rPr>
                <w:rStyle w:val="SpecialBold"/>
              </w:rPr>
              <w:t>Prepare for unpackaging</w:t>
            </w:r>
          </w:p>
        </w:tc>
        <w:tc>
          <w:tcPr>
            <w:tcW w:w="697" w:type="dxa"/>
            <w:tcBorders>
              <w:top w:val="nil"/>
              <w:left w:val="nil"/>
              <w:bottom w:val="nil"/>
              <w:right w:val="nil"/>
            </w:tcBorders>
            <w:tcMar>
              <w:top w:w="0" w:type="dxa"/>
              <w:left w:w="62" w:type="dxa"/>
              <w:bottom w:w="0" w:type="dxa"/>
              <w:right w:w="62" w:type="dxa"/>
            </w:tcMar>
          </w:tcPr>
          <w:p w:rsidR="00000000" w:rsidP="006E6040">
            <w:pPr>
              <w:pStyle w:val="BodyText"/>
              <w:rPr>
                <w:lang w:val="en-NZ"/>
              </w:rPr>
            </w:pPr>
            <w:r w:rsidRPr="006E604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E6040">
            <w:pPr>
              <w:pStyle w:val="BodyText"/>
              <w:rPr>
                <w:lang w:val="en-NZ"/>
              </w:rPr>
            </w:pPr>
            <w:r w:rsidRPr="006E6040">
              <w:t>Identify unpackaging requirements from work requests and instructions</w:t>
            </w:r>
          </w:p>
        </w:tc>
      </w:tr>
      <w:tr w:rsidTr="006E60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60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6040">
            <w:pPr>
              <w:pStyle w:val="BodyText"/>
              <w:rPr>
                <w:lang w:val="en-NZ"/>
              </w:rPr>
            </w:pPr>
            <w:r w:rsidRPr="006E604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E6040">
            <w:pPr>
              <w:pStyle w:val="BodyText"/>
              <w:rPr>
                <w:lang w:val="en-NZ"/>
              </w:rPr>
            </w:pPr>
            <w:r w:rsidRPr="006E6040">
              <w:t>Identify, acquire and prepare technical references</w:t>
            </w:r>
            <w:r w:rsidRPr="006E6040">
              <w:t>, tools, equipment, consumables and packaging components</w:t>
            </w:r>
          </w:p>
        </w:tc>
      </w:tr>
      <w:tr w:rsidTr="006E60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60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6040">
            <w:pPr>
              <w:pStyle w:val="BodyText"/>
              <w:rPr>
                <w:lang w:val="en-NZ"/>
              </w:rPr>
            </w:pPr>
            <w:r w:rsidRPr="006E604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E6040">
            <w:pPr>
              <w:pStyle w:val="BodyText"/>
              <w:rPr>
                <w:lang w:val="en-NZ"/>
              </w:rPr>
            </w:pPr>
            <w:r w:rsidRPr="006E6040">
              <w:t>Identify, calculate, analyse and apply net explosive quantities and compatibility</w:t>
            </w:r>
          </w:p>
        </w:tc>
      </w:tr>
      <w:tr w:rsidTr="006E60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60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6040">
            <w:pPr>
              <w:pStyle w:val="BodyText"/>
              <w:rPr>
                <w:lang w:val="en-NZ"/>
              </w:rPr>
            </w:pPr>
            <w:r w:rsidRPr="006E604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E6040">
            <w:pPr>
              <w:pStyle w:val="BodyText"/>
              <w:rPr>
                <w:lang w:val="en-NZ"/>
              </w:rPr>
            </w:pPr>
            <w:r w:rsidRPr="006E6040">
              <w:t>Monitor and maintain environmental conditions</w:t>
            </w:r>
          </w:p>
        </w:tc>
      </w:tr>
      <w:tr w:rsidTr="006E60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E6040" w:rsidP="006E6040">
            <w:pPr>
              <w:pStyle w:val="BodyText"/>
            </w:pPr>
            <w:r w:rsidRPr="006E604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E6040" w:rsidP="006E6040">
            <w:pPr>
              <w:pStyle w:val="BodyText"/>
            </w:pPr>
            <w:r w:rsidRPr="006E6040">
              <w:rPr>
                <w:rStyle w:val="SpecialBold"/>
              </w:rPr>
              <w:t>Unpackage explosives</w:t>
            </w:r>
          </w:p>
        </w:tc>
        <w:tc>
          <w:tcPr>
            <w:tcW w:w="697" w:type="dxa"/>
            <w:tcBorders>
              <w:top w:val="nil"/>
              <w:left w:val="nil"/>
              <w:bottom w:val="nil"/>
              <w:right w:val="nil"/>
            </w:tcBorders>
            <w:tcMar>
              <w:top w:w="0" w:type="dxa"/>
              <w:left w:w="62" w:type="dxa"/>
              <w:bottom w:w="0" w:type="dxa"/>
              <w:right w:w="62" w:type="dxa"/>
            </w:tcMar>
          </w:tcPr>
          <w:p w:rsidR="00000000" w:rsidP="006E6040">
            <w:pPr>
              <w:pStyle w:val="BodyText"/>
              <w:rPr>
                <w:lang w:val="en-NZ"/>
              </w:rPr>
            </w:pPr>
            <w:r w:rsidRPr="006E604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E6040">
            <w:pPr>
              <w:pStyle w:val="BodyText"/>
              <w:rPr>
                <w:lang w:val="en-NZ"/>
              </w:rPr>
            </w:pPr>
            <w:r w:rsidRPr="006E6040">
              <w:t>Prepare explosives or explosive components for unpackaging</w:t>
            </w:r>
          </w:p>
        </w:tc>
      </w:tr>
      <w:tr w:rsidTr="006E60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60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6040">
            <w:pPr>
              <w:pStyle w:val="BodyText"/>
              <w:rPr>
                <w:lang w:val="en-NZ"/>
              </w:rPr>
            </w:pPr>
            <w:r w:rsidRPr="006E604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E6040">
            <w:pPr>
              <w:pStyle w:val="BodyText"/>
              <w:rPr>
                <w:lang w:val="en-NZ"/>
              </w:rPr>
            </w:pPr>
            <w:r w:rsidRPr="006E6040">
              <w:t>Unpackage explosives or explosive components in accordance with technical instructions, technical drawings and organisational procedures</w:t>
            </w:r>
          </w:p>
        </w:tc>
      </w:tr>
      <w:tr w:rsidTr="006E60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60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6040">
            <w:pPr>
              <w:pStyle w:val="BodyText"/>
              <w:rPr>
                <w:lang w:val="en-NZ"/>
              </w:rPr>
            </w:pPr>
            <w:r w:rsidRPr="006E604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E6040">
            <w:pPr>
              <w:pStyle w:val="BodyText"/>
              <w:rPr>
                <w:lang w:val="en-NZ"/>
              </w:rPr>
            </w:pPr>
            <w:r w:rsidRPr="006E6040">
              <w:t>Interpret emergency procedures and apply conti</w:t>
            </w:r>
            <w:r w:rsidRPr="006E6040">
              <w:t>ngency plans</w:t>
            </w:r>
          </w:p>
        </w:tc>
      </w:tr>
      <w:tr w:rsidTr="006E60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60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6040">
            <w:pPr>
              <w:pStyle w:val="BodyText"/>
              <w:rPr>
                <w:lang w:val="en-NZ"/>
              </w:rPr>
            </w:pPr>
            <w:r w:rsidRPr="006E604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E6040">
            <w:pPr>
              <w:pStyle w:val="BodyText"/>
              <w:rPr>
                <w:lang w:val="en-NZ"/>
              </w:rPr>
            </w:pPr>
            <w:r w:rsidRPr="006E6040">
              <w:t>Store or dispose packaging material</w:t>
            </w:r>
          </w:p>
        </w:tc>
      </w:tr>
      <w:tr w:rsidTr="006E60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60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6040">
            <w:pPr>
              <w:pStyle w:val="BodyText"/>
              <w:rPr>
                <w:lang w:val="en-NZ"/>
              </w:rPr>
            </w:pPr>
            <w:r w:rsidRPr="006E604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E6040">
            <w:pPr>
              <w:pStyle w:val="BodyText"/>
              <w:rPr>
                <w:lang w:val="en-NZ"/>
              </w:rPr>
            </w:pPr>
            <w:r w:rsidRPr="006E6040">
              <w:t>Carry out and record relevant calculations</w:t>
            </w:r>
          </w:p>
        </w:tc>
      </w:tr>
      <w:tr w:rsidTr="006E60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E6040" w:rsidP="006E6040">
            <w:pPr>
              <w:pStyle w:val="BodyText"/>
            </w:pPr>
            <w:r w:rsidRPr="006E604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E6040" w:rsidP="006E6040">
            <w:pPr>
              <w:pStyle w:val="BodyText"/>
            </w:pPr>
            <w:r w:rsidRPr="006E6040">
              <w:rPr>
                <w:rStyle w:val="SpecialBold"/>
              </w:rPr>
              <w:t>Finalise unpackaging procedures</w:t>
            </w:r>
          </w:p>
        </w:tc>
        <w:tc>
          <w:tcPr>
            <w:tcW w:w="697" w:type="dxa"/>
            <w:tcBorders>
              <w:top w:val="nil"/>
              <w:left w:val="nil"/>
              <w:bottom w:val="nil"/>
              <w:right w:val="nil"/>
            </w:tcBorders>
            <w:tcMar>
              <w:top w:w="0" w:type="dxa"/>
              <w:left w:w="62" w:type="dxa"/>
              <w:bottom w:w="0" w:type="dxa"/>
              <w:right w:w="62" w:type="dxa"/>
            </w:tcMar>
          </w:tcPr>
          <w:p w:rsidR="00000000" w:rsidP="006E6040">
            <w:pPr>
              <w:pStyle w:val="BodyText"/>
              <w:rPr>
                <w:lang w:val="en-NZ"/>
              </w:rPr>
            </w:pPr>
            <w:r w:rsidRPr="006E604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E6040">
            <w:pPr>
              <w:pStyle w:val="BodyText"/>
              <w:rPr>
                <w:lang w:val="en-NZ"/>
              </w:rPr>
            </w:pPr>
            <w:r w:rsidRPr="006E6040">
              <w:t>Inspect equipment/tools for serviceability</w:t>
            </w:r>
          </w:p>
        </w:tc>
      </w:tr>
      <w:tr w:rsidTr="006E60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60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6040">
            <w:pPr>
              <w:pStyle w:val="BodyText"/>
              <w:rPr>
                <w:lang w:val="en-NZ"/>
              </w:rPr>
            </w:pPr>
            <w:r w:rsidRPr="006E604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6E6040" w:rsidP="006E6040">
            <w:pPr>
              <w:pStyle w:val="BodyText"/>
            </w:pPr>
            <w:r w:rsidRPr="006E6040">
              <w:t>Maintain documentation and records</w:t>
            </w:r>
          </w:p>
        </w:tc>
      </w:tr>
    </w:tbl>
    <w:p w:rsidR="0070657F" w:rsidP="006E6040">
      <w:pPr>
        <w:pStyle w:val="NoPaddingFontSize1"/>
      </w:pPr>
    </w:p>
    <w:p w:rsidR="0070657F" w:rsidP="006E6040">
      <w:pPr>
        <w:pStyle w:val="NoPaddingFontSize1"/>
      </w:pPr>
    </w:p>
    <w:p w:rsidR="00000000" w:rsidRPr="006E6040" w:rsidP="006E6040">
      <w:pPr>
        <w:pStyle w:val="Heading1"/>
      </w:pPr>
      <w:bookmarkStart w:id="7" w:name="O_1282734"/>
      <w:bookmarkEnd w:id="7"/>
      <w:r w:rsidRPr="006E6040">
        <w:t>Foundation Skills</w:t>
      </w:r>
    </w:p>
    <w:tbl>
      <w:tblPr>
        <w:tblW w:w="9497" w:type="dxa"/>
        <w:tblLayout w:type="fixed"/>
        <w:tblCellMar>
          <w:left w:w="62" w:type="dxa"/>
          <w:right w:w="62" w:type="dxa"/>
        </w:tblCellMar>
        <w:tblLook w:val="0000"/>
      </w:tblPr>
      <w:tblGrid>
        <w:gridCol w:w="9497"/>
      </w:tblGrid>
      <w:tr w:rsidTr="006E60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6040" w:rsidP="006E6040">
            <w:pPr>
              <w:pStyle w:val="BodyText"/>
            </w:pPr>
            <w:r w:rsidRPr="006E6040">
              <w:t>Foundation skills essential to performance are explicit in the performance criteria of this unit of competency.</w:t>
            </w:r>
          </w:p>
        </w:tc>
      </w:tr>
    </w:tbl>
    <w:p w:rsidR="0070657F" w:rsidP="006E6040">
      <w:pPr>
        <w:pStyle w:val="NoPaddingFontSize1"/>
      </w:pPr>
    </w:p>
    <w:p w:rsidR="0070657F" w:rsidP="006E6040">
      <w:pPr>
        <w:pStyle w:val="NoPaddingFontSize1"/>
      </w:pPr>
    </w:p>
    <w:p w:rsidR="00000000" w:rsidRPr="006E6040" w:rsidP="006E6040">
      <w:pPr>
        <w:pStyle w:val="Heading1"/>
      </w:pPr>
      <w:bookmarkStart w:id="8" w:name="O_1282733"/>
      <w:bookmarkEnd w:id="8"/>
      <w:r w:rsidRPr="006E6040">
        <w:t>Range of Conditions</w:t>
      </w:r>
    </w:p>
    <w:tbl>
      <w:tblPr>
        <w:tblW w:w="9497" w:type="dxa"/>
        <w:tblLayout w:type="fixed"/>
        <w:tblCellMar>
          <w:left w:w="62" w:type="dxa"/>
          <w:right w:w="62" w:type="dxa"/>
        </w:tblCellMar>
        <w:tblLook w:val="0000"/>
      </w:tblPr>
      <w:tblGrid>
        <w:gridCol w:w="9497"/>
      </w:tblGrid>
      <w:tr w:rsidTr="006E60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6040" w:rsidP="006E6040">
            <w:pPr>
              <w:pStyle w:val="BodyText"/>
            </w:pPr>
            <w:r w:rsidRPr="006E6040">
              <w:t>Range is restricted to essential operating conditions and any other variables essent</w:t>
            </w:r>
            <w:r w:rsidRPr="006E6040">
              <w:t>ial to the work environment.</w:t>
            </w:r>
          </w:p>
          <w:p w:rsidR="00000000" w:rsidRPr="006E6040" w:rsidP="006E6040">
            <w:pPr>
              <w:pStyle w:val="BodyText"/>
            </w:pPr>
            <w:r w:rsidRPr="006E6040">
              <w:t>Non-essential conditions may be found in the Companion Volume Implementation Guide.</w:t>
            </w:r>
          </w:p>
        </w:tc>
      </w:tr>
    </w:tbl>
    <w:p w:rsidR="0070657F" w:rsidP="006E6040">
      <w:pPr>
        <w:pStyle w:val="NoPaddingFontSize1"/>
      </w:pPr>
    </w:p>
    <w:p w:rsidR="0070657F" w:rsidP="006E6040">
      <w:pPr>
        <w:pStyle w:val="NoPaddingFontSize1"/>
      </w:pPr>
    </w:p>
    <w:p w:rsidR="00000000" w:rsidRPr="006E6040" w:rsidP="006E6040">
      <w:pPr>
        <w:pStyle w:val="Heading1"/>
      </w:pPr>
      <w:bookmarkStart w:id="9" w:name="O_1282732"/>
      <w:bookmarkEnd w:id="9"/>
      <w:r w:rsidRPr="006E6040">
        <w:t>Unit Mapping Information</w:t>
      </w:r>
    </w:p>
    <w:tbl>
      <w:tblPr>
        <w:tblW w:w="9497" w:type="dxa"/>
        <w:tblLayout w:type="fixed"/>
        <w:tblCellMar>
          <w:left w:w="62" w:type="dxa"/>
          <w:right w:w="62" w:type="dxa"/>
        </w:tblCellMar>
        <w:tblLook w:val="0000"/>
      </w:tblPr>
      <w:tblGrid>
        <w:gridCol w:w="9497"/>
      </w:tblGrid>
      <w:tr w:rsidTr="006E60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6040" w:rsidP="006E6040">
            <w:pPr>
              <w:pStyle w:val="BodyText"/>
            </w:pPr>
            <w:r w:rsidRPr="006E6040">
              <w:t>This unit supersedes and is equivalent to DEFEO302D Unpackage ammunition.</w:t>
            </w:r>
          </w:p>
        </w:tc>
      </w:tr>
    </w:tbl>
    <w:p w:rsidR="0070657F" w:rsidP="006E6040">
      <w:pPr>
        <w:pStyle w:val="NoPaddingFontSize1"/>
      </w:pPr>
    </w:p>
    <w:p w:rsidR="0070657F" w:rsidP="006E6040">
      <w:pPr>
        <w:pStyle w:val="NoPaddingFontSize1"/>
      </w:pPr>
    </w:p>
    <w:p w:rsidR="00000000" w:rsidRPr="006E6040" w:rsidP="006E6040">
      <w:pPr>
        <w:pStyle w:val="Heading1"/>
      </w:pPr>
      <w:bookmarkStart w:id="10" w:name="O_1284105"/>
      <w:bookmarkEnd w:id="10"/>
      <w:r w:rsidRPr="006E6040">
        <w:t>Links</w:t>
      </w:r>
    </w:p>
    <w:p w:rsidR="00000000" w:rsidRPr="006E6040" w:rsidP="0070657F">
      <w:pPr>
        <w:pStyle w:val="BodyText"/>
      </w:pPr>
      <w:r w:rsidRPr="006E604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04490">
        <w:rPr>
          <w:rStyle w:val="Hyperlink"/>
        </w:rPr>
        <w:t>https://vetnet.gov.au/Pages/TrainingDocs.aspx?q=6bdbab1e-11ed-4bc9-9cba-9e1a55d4e4a9</w:t>
      </w:r>
      <w:r>
        <w:fldChar w:fldCharType="end"/>
      </w:r>
    </w:p>
    <w:p w:rsidR="00000000" w:rsidRPr="006E6040" w:rsidP="006E6040"/>
    <w:sectPr w:rsidSect="006E60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0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040" w:rsidRPr="0070657F" w:rsidP="007065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0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57F" w:rsidP="006E60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657F" w:rsidP="006E604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0657F" w:rsidP="006E60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0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5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6040" w:rsidRPr="0070657F" w:rsidP="007065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0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57F" w:rsidRPr="002D2AF8" w:rsidP="006E6040">
    <w:pPr>
      <w:pStyle w:val="Header"/>
      <w:framePr w:wrap="around"/>
    </w:pPr>
    <w:r>
      <w:fldChar w:fldCharType="begin"/>
    </w:r>
    <w:r>
      <w:instrText xml:space="preserve"> TITLE   \* MERGEFORMAT </w:instrText>
    </w:r>
    <w:r>
      <w:fldChar w:fldCharType="separate"/>
    </w:r>
    <w:r>
      <w:t>DEFEXO006 Unpackage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0657F" w:rsidP="006E60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FEE1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1019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0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6040"/>
    <w:pPr>
      <w:spacing w:before="360" w:after="60"/>
      <w:outlineLvl w:val="0"/>
    </w:pPr>
    <w:rPr>
      <w:sz w:val="32"/>
    </w:rPr>
  </w:style>
  <w:style w:type="paragraph" w:styleId="Heading2">
    <w:name w:val="heading 2"/>
    <w:basedOn w:val="HeadingBase"/>
    <w:next w:val="BodyText"/>
    <w:link w:val="Heading2Char"/>
    <w:qFormat/>
    <w:rsid w:val="006E6040"/>
    <w:pPr>
      <w:keepLines/>
      <w:spacing w:before="240" w:after="120"/>
      <w:outlineLvl w:val="1"/>
    </w:pPr>
    <w:rPr>
      <w:sz w:val="28"/>
      <w:szCs w:val="40"/>
    </w:rPr>
  </w:style>
  <w:style w:type="paragraph" w:styleId="Heading3">
    <w:name w:val="heading 3"/>
    <w:basedOn w:val="HeadingBase"/>
    <w:next w:val="BodyText"/>
    <w:link w:val="Heading3Char"/>
    <w:qFormat/>
    <w:rsid w:val="006E6040"/>
    <w:pPr>
      <w:spacing w:before="180" w:after="120"/>
      <w:outlineLvl w:val="2"/>
    </w:pPr>
    <w:rPr>
      <w:spacing w:val="-10"/>
      <w:kern w:val="32"/>
    </w:rPr>
  </w:style>
  <w:style w:type="paragraph" w:styleId="Heading4">
    <w:name w:val="heading 4"/>
    <w:basedOn w:val="HeadingBase"/>
    <w:next w:val="BodyText"/>
    <w:link w:val="Heading4Char"/>
    <w:qFormat/>
    <w:rsid w:val="006E6040"/>
    <w:pPr>
      <w:spacing w:before="160" w:after="120"/>
      <w:outlineLvl w:val="3"/>
    </w:pPr>
    <w:rPr>
      <w:sz w:val="22"/>
    </w:rPr>
  </w:style>
  <w:style w:type="paragraph" w:styleId="Heading5">
    <w:name w:val="heading 5"/>
    <w:basedOn w:val="HeadingBase"/>
    <w:next w:val="Normal"/>
    <w:link w:val="Heading5Char"/>
    <w:qFormat/>
    <w:rsid w:val="006E6040"/>
    <w:pPr>
      <w:spacing w:before="80"/>
      <w:outlineLvl w:val="4"/>
    </w:pPr>
    <w:rPr>
      <w:color w:val="918585"/>
      <w:sz w:val="20"/>
    </w:rPr>
  </w:style>
  <w:style w:type="paragraph" w:styleId="Heading6">
    <w:name w:val="heading 6"/>
    <w:basedOn w:val="HeadingBase"/>
    <w:next w:val="Normal"/>
    <w:link w:val="Heading6Char"/>
    <w:qFormat/>
    <w:rsid w:val="006E6040"/>
    <w:pPr>
      <w:spacing w:before="60"/>
      <w:outlineLvl w:val="5"/>
    </w:pPr>
    <w:rPr>
      <w:color w:val="918585"/>
      <w:sz w:val="20"/>
    </w:rPr>
  </w:style>
  <w:style w:type="paragraph" w:styleId="Heading7">
    <w:name w:val="heading 7"/>
    <w:basedOn w:val="Normal"/>
    <w:next w:val="Normal"/>
    <w:link w:val="Heading7Char"/>
    <w:qFormat/>
    <w:rsid w:val="006E6040"/>
    <w:pPr>
      <w:ind w:left="720"/>
      <w:outlineLvl w:val="6"/>
    </w:pPr>
    <w:rPr>
      <w:i/>
    </w:rPr>
  </w:style>
  <w:style w:type="paragraph" w:styleId="Heading8">
    <w:name w:val="heading 8"/>
    <w:basedOn w:val="Normal"/>
    <w:next w:val="Normal"/>
    <w:link w:val="Heading8Char"/>
    <w:qFormat/>
    <w:rsid w:val="006E6040"/>
    <w:pPr>
      <w:ind w:left="720"/>
      <w:outlineLvl w:val="7"/>
    </w:pPr>
    <w:rPr>
      <w:i/>
    </w:rPr>
  </w:style>
  <w:style w:type="paragraph" w:styleId="Heading9">
    <w:name w:val="heading 9"/>
    <w:basedOn w:val="Normal"/>
    <w:next w:val="Normal"/>
    <w:link w:val="Heading9Char"/>
    <w:qFormat/>
    <w:rsid w:val="006E6040"/>
    <w:pPr>
      <w:ind w:left="720"/>
      <w:outlineLvl w:val="8"/>
    </w:pPr>
    <w:rPr>
      <w:i/>
    </w:rPr>
  </w:style>
  <w:style w:type="character" w:default="1" w:styleId="DefaultParagraphFont">
    <w:name w:val="Default Paragraph Font"/>
    <w:uiPriority w:val="1"/>
    <w:unhideWhenUsed/>
    <w:rsid w:val="006E60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6040"/>
  </w:style>
  <w:style w:type="character" w:customStyle="1" w:styleId="Heading1Char">
    <w:name w:val="Heading 1 Char"/>
    <w:basedOn w:val="DefaultParagraphFont"/>
    <w:link w:val="Heading1"/>
    <w:rsid w:val="006E6040"/>
    <w:rPr>
      <w:rFonts w:ascii="Times New Roman" w:eastAsia="Times New Roman" w:hAnsi="Times New Roman" w:cs="Times New Roman"/>
      <w:b/>
      <w:sz w:val="32"/>
      <w:szCs w:val="20"/>
      <w:lang w:eastAsia="en-US"/>
    </w:rPr>
  </w:style>
  <w:style w:type="paragraph" w:styleId="BodyText">
    <w:name w:val="Body Text"/>
    <w:basedOn w:val="Normal"/>
    <w:link w:val="BodyTextChar"/>
    <w:rsid w:val="006E60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6040"/>
    <w:rPr>
      <w:rFonts w:ascii="Times New Roman" w:eastAsia="Times New Roman" w:hAnsi="Times New Roman" w:cs="Times New Roman"/>
      <w:sz w:val="24"/>
      <w:lang w:eastAsia="en-US"/>
    </w:rPr>
  </w:style>
  <w:style w:type="paragraph" w:styleId="ListBullet">
    <w:name w:val="List Bullet"/>
    <w:basedOn w:val="List"/>
    <w:rsid w:val="006E6040"/>
    <w:pPr>
      <w:numPr>
        <w:numId w:val="11"/>
      </w:numPr>
      <w:tabs>
        <w:tab w:val="clear" w:pos="340"/>
      </w:tabs>
      <w:spacing w:before="40" w:after="40"/>
    </w:pPr>
  </w:style>
  <w:style w:type="character" w:customStyle="1" w:styleId="SpecialBold">
    <w:name w:val="Special Bold"/>
    <w:basedOn w:val="DefaultParagraphFont"/>
    <w:rsid w:val="006E6040"/>
    <w:rPr>
      <w:b/>
      <w:spacing w:val="0"/>
    </w:rPr>
  </w:style>
  <w:style w:type="paragraph" w:customStyle="1" w:styleId="SuperHeading">
    <w:name w:val="SuperHeading"/>
    <w:basedOn w:val="Normal"/>
    <w:rsid w:val="006E6040"/>
    <w:pPr>
      <w:spacing w:before="240" w:after="120"/>
      <w:outlineLvl w:val="0"/>
    </w:pPr>
    <w:rPr>
      <w:rFonts w:ascii="Times New Roman" w:hAnsi="Times New Roman"/>
      <w:b/>
      <w:sz w:val="32"/>
    </w:rPr>
  </w:style>
  <w:style w:type="paragraph" w:customStyle="1" w:styleId="AllowPageBreak">
    <w:name w:val="AllowPageBreak"/>
    <w:rsid w:val="006E604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E60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60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60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60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60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60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60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6040"/>
    <w:rPr>
      <w:rFonts w:ascii="Courier New" w:eastAsia="Times New Roman" w:hAnsi="Courier New" w:cs="Times New Roman"/>
      <w:i/>
      <w:szCs w:val="20"/>
      <w:lang w:eastAsia="en-US"/>
    </w:rPr>
  </w:style>
  <w:style w:type="paragraph" w:customStyle="1" w:styleId="HeadingBase">
    <w:name w:val="Heading Base"/>
    <w:rsid w:val="006E60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6040"/>
    <w:pPr>
      <w:tabs>
        <w:tab w:val="right" w:leader="dot" w:pos="9072"/>
      </w:tabs>
      <w:ind w:left="567"/>
    </w:pPr>
    <w:rPr>
      <w:szCs w:val="22"/>
    </w:rPr>
  </w:style>
  <w:style w:type="paragraph" w:customStyle="1" w:styleId="TOCBase">
    <w:name w:val="TOC Base"/>
    <w:rsid w:val="006E60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6040"/>
    <w:pPr>
      <w:tabs>
        <w:tab w:val="right" w:leader="dot" w:pos="9072"/>
      </w:tabs>
      <w:spacing w:before="40" w:after="40"/>
      <w:ind w:left="284"/>
    </w:pPr>
    <w:rPr>
      <w:rFonts w:ascii="Times New Roman" w:hAnsi="Times New Roman"/>
    </w:rPr>
  </w:style>
  <w:style w:type="paragraph" w:styleId="TOC1">
    <w:name w:val="toc 1"/>
    <w:basedOn w:val="TOCBase"/>
    <w:next w:val="Normal"/>
    <w:rsid w:val="006E60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60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6040"/>
    <w:rPr>
      <w:rFonts w:ascii="Times New Roman" w:eastAsia="Times New Roman" w:hAnsi="Times New Roman" w:cs="Times New Roman"/>
      <w:sz w:val="16"/>
      <w:lang w:eastAsia="en-US"/>
    </w:rPr>
  </w:style>
  <w:style w:type="paragraph" w:styleId="Title">
    <w:name w:val="Title"/>
    <w:basedOn w:val="HeadingBase"/>
    <w:link w:val="TitleChar"/>
    <w:qFormat/>
    <w:rsid w:val="006E6040"/>
    <w:pPr>
      <w:spacing w:before="5040"/>
      <w:jc w:val="center"/>
    </w:pPr>
    <w:rPr>
      <w:sz w:val="48"/>
      <w:szCs w:val="72"/>
      <w:lang w:val="en-US"/>
    </w:rPr>
  </w:style>
  <w:style w:type="character" w:customStyle="1" w:styleId="TitleChar">
    <w:name w:val="Title Char"/>
    <w:basedOn w:val="DefaultParagraphFont"/>
    <w:link w:val="Title"/>
    <w:rsid w:val="006E60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6040"/>
    <w:pPr>
      <w:tabs>
        <w:tab w:val="left" w:pos="3600"/>
        <w:tab w:val="left" w:pos="3958"/>
      </w:tabs>
    </w:pPr>
  </w:style>
  <w:style w:type="paragraph" w:styleId="List">
    <w:name w:val="List"/>
    <w:basedOn w:val="BodyText"/>
    <w:next w:val="BodyText"/>
    <w:rsid w:val="006E6040"/>
    <w:pPr>
      <w:tabs>
        <w:tab w:val="left" w:pos="340"/>
      </w:tabs>
      <w:spacing w:before="60" w:after="60"/>
      <w:ind w:left="340" w:hanging="340"/>
    </w:pPr>
  </w:style>
  <w:style w:type="paragraph" w:customStyle="1" w:styleId="Note">
    <w:name w:val="Note"/>
    <w:basedOn w:val="BodyText"/>
    <w:rsid w:val="006E60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6040"/>
    <w:pPr>
      <w:framePr w:wrap="auto" w:hAnchor="text" w:y="6049"/>
    </w:pPr>
    <w:rPr>
      <w:color w:val="000000"/>
      <w:sz w:val="40"/>
    </w:rPr>
  </w:style>
  <w:style w:type="paragraph" w:customStyle="1" w:styleId="TOCTitle">
    <w:name w:val="TOCTitle"/>
    <w:basedOn w:val="Heading1"/>
    <w:rsid w:val="006E6040"/>
    <w:pPr>
      <w:spacing w:after="240"/>
      <w:jc w:val="center"/>
      <w:outlineLvl w:val="9"/>
    </w:pPr>
    <w:rPr>
      <w:caps/>
    </w:rPr>
  </w:style>
  <w:style w:type="paragraph" w:customStyle="1" w:styleId="Version">
    <w:name w:val="Version"/>
    <w:rsid w:val="006E60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6040"/>
    <w:pPr>
      <w:numPr>
        <w:numId w:val="12"/>
      </w:numPr>
      <w:tabs>
        <w:tab w:val="clear" w:pos="680"/>
      </w:tabs>
    </w:pPr>
  </w:style>
  <w:style w:type="paragraph" w:styleId="Index1">
    <w:name w:val="index 1"/>
    <w:basedOn w:val="Normal"/>
    <w:next w:val="Normal"/>
    <w:semiHidden/>
    <w:rsid w:val="006E6040"/>
    <w:pPr>
      <w:keepNext w:val="0"/>
      <w:tabs>
        <w:tab w:val="right" w:pos="4176"/>
      </w:tabs>
      <w:ind w:left="198" w:hanging="198"/>
    </w:pPr>
    <w:rPr>
      <w:rFonts w:ascii="Garamond" w:hAnsi="Garamond"/>
    </w:rPr>
  </w:style>
  <w:style w:type="paragraph" w:styleId="IndexHeading">
    <w:name w:val="index heading"/>
    <w:basedOn w:val="Normal"/>
    <w:next w:val="Index1"/>
    <w:semiHidden/>
    <w:rsid w:val="006E6040"/>
    <w:pPr>
      <w:spacing w:before="120" w:after="120"/>
    </w:pPr>
    <w:rPr>
      <w:rFonts w:ascii="Arial" w:hAnsi="Arial"/>
      <w:b/>
      <w:color w:val="918585"/>
      <w:sz w:val="24"/>
    </w:rPr>
  </w:style>
  <w:style w:type="paragraph" w:styleId="Header">
    <w:name w:val="header"/>
    <w:basedOn w:val="Normal"/>
    <w:link w:val="HeaderChar"/>
    <w:rsid w:val="006E60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6040"/>
    <w:rPr>
      <w:rFonts w:ascii="Times New Roman" w:eastAsia="Times New Roman" w:hAnsi="Times New Roman" w:cs="Times New Roman"/>
      <w:sz w:val="16"/>
      <w:szCs w:val="20"/>
      <w:lang w:val="en-GB" w:eastAsia="en-US"/>
    </w:rPr>
  </w:style>
  <w:style w:type="paragraph" w:customStyle="1" w:styleId="Chapter">
    <w:name w:val="Chapter"/>
    <w:basedOn w:val="Normal"/>
    <w:rsid w:val="006E6040"/>
    <w:pPr>
      <w:spacing w:before="240"/>
    </w:pPr>
    <w:rPr>
      <w:rFonts w:ascii="Times New Roman" w:hAnsi="Times New Roman"/>
      <w:smallCaps/>
      <w:spacing w:val="80"/>
      <w:sz w:val="28"/>
    </w:rPr>
  </w:style>
  <w:style w:type="paragraph" w:customStyle="1" w:styleId="InChapter">
    <w:name w:val="InChapter"/>
    <w:basedOn w:val="Heading3"/>
    <w:rsid w:val="006E6040"/>
    <w:pPr>
      <w:spacing w:after="240"/>
      <w:outlineLvl w:val="9"/>
    </w:pPr>
    <w:rPr>
      <w:noProof/>
    </w:rPr>
  </w:style>
  <w:style w:type="paragraph" w:styleId="Index2">
    <w:name w:val="index 2"/>
    <w:basedOn w:val="Normal"/>
    <w:next w:val="Normal"/>
    <w:semiHidden/>
    <w:rsid w:val="006E6040"/>
    <w:pPr>
      <w:tabs>
        <w:tab w:val="right" w:pos="4176"/>
      </w:tabs>
      <w:ind w:left="568" w:hanging="284"/>
    </w:pPr>
    <w:rPr>
      <w:rFonts w:ascii="Garamond" w:hAnsi="Garamond"/>
    </w:rPr>
  </w:style>
  <w:style w:type="paragraph" w:customStyle="1" w:styleId="Byline">
    <w:name w:val="Byline"/>
    <w:rsid w:val="006E60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6040"/>
    <w:pPr>
      <w:tabs>
        <w:tab w:val="clear" w:pos="3600"/>
        <w:tab w:val="clear" w:pos="3958"/>
      </w:tabs>
      <w:jc w:val="right"/>
    </w:pPr>
  </w:style>
  <w:style w:type="character" w:styleId="Emphasis">
    <w:name w:val="Emphasis"/>
    <w:basedOn w:val="DefaultParagraphFont"/>
    <w:qFormat/>
    <w:rsid w:val="006E6040"/>
    <w:rPr>
      <w:i/>
    </w:rPr>
  </w:style>
  <w:style w:type="paragraph" w:styleId="Caption">
    <w:name w:val="caption"/>
    <w:basedOn w:val="BodyText"/>
    <w:next w:val="Normal"/>
    <w:qFormat/>
    <w:rsid w:val="006E6040"/>
    <w:pPr>
      <w:framePr w:w="2268" w:hSpace="181" w:vSpace="181" w:wrap="around" w:vAnchor="text" w:hAnchor="page" w:x="1135" w:y="285" w:anchorLock="1"/>
    </w:pPr>
    <w:rPr>
      <w:i/>
    </w:rPr>
  </w:style>
  <w:style w:type="paragraph" w:customStyle="1" w:styleId="MiniTOCTitle">
    <w:name w:val="MiniTOCTitle"/>
    <w:basedOn w:val="Heading4"/>
    <w:rsid w:val="006E6040"/>
    <w:pPr>
      <w:spacing w:before="240"/>
      <w:outlineLvl w:val="9"/>
    </w:pPr>
    <w:rPr>
      <w:noProof/>
      <w:sz w:val="24"/>
    </w:rPr>
  </w:style>
  <w:style w:type="paragraph" w:customStyle="1" w:styleId="MiniTOCItem">
    <w:name w:val="MiniTOCItem"/>
    <w:basedOn w:val="ListBullet"/>
    <w:rsid w:val="006E6040"/>
    <w:pPr>
      <w:numPr>
        <w:numId w:val="0"/>
      </w:numPr>
      <w:tabs>
        <w:tab w:val="right" w:leader="dot" w:pos="6521"/>
      </w:tabs>
      <w:spacing w:before="0" w:after="0"/>
    </w:pPr>
  </w:style>
  <w:style w:type="paragraph" w:customStyle="1" w:styleId="TOFTitle">
    <w:name w:val="TOFTitle"/>
    <w:basedOn w:val="TOCTitle"/>
    <w:rsid w:val="006E6040"/>
  </w:style>
  <w:style w:type="paragraph" w:styleId="TableofFigures">
    <w:name w:val="table of figures"/>
    <w:basedOn w:val="Normal"/>
    <w:next w:val="Normal"/>
    <w:semiHidden/>
    <w:rsid w:val="006E6040"/>
    <w:pPr>
      <w:tabs>
        <w:tab w:val="right" w:leader="dot" w:pos="9072"/>
      </w:tabs>
      <w:ind w:left="970" w:hanging="403"/>
    </w:pPr>
    <w:rPr>
      <w:rFonts w:ascii="Times New Roman" w:hAnsi="Times New Roman"/>
      <w:b/>
    </w:rPr>
  </w:style>
  <w:style w:type="paragraph" w:styleId="ListNumber">
    <w:name w:val="List Number"/>
    <w:basedOn w:val="List"/>
    <w:rsid w:val="006E6040"/>
    <w:pPr>
      <w:numPr>
        <w:numId w:val="14"/>
      </w:numPr>
      <w:tabs>
        <w:tab w:val="clear" w:pos="340"/>
      </w:tabs>
    </w:pPr>
  </w:style>
  <w:style w:type="character" w:customStyle="1" w:styleId="WingdingSymbols">
    <w:name w:val="Wingding Symbols"/>
    <w:rsid w:val="006E6040"/>
    <w:rPr>
      <w:rFonts w:ascii="Wingdings" w:hAnsi="Wingdings"/>
    </w:rPr>
  </w:style>
  <w:style w:type="paragraph" w:customStyle="1" w:styleId="TableHeading">
    <w:name w:val="Table Heading"/>
    <w:basedOn w:val="HeadingBase"/>
    <w:rsid w:val="006E6040"/>
    <w:pPr>
      <w:keepLines/>
      <w:pBdr>
        <w:bottom w:val="single" w:sz="6" w:space="1" w:color="918585"/>
      </w:pBdr>
      <w:spacing w:before="240"/>
    </w:pPr>
  </w:style>
  <w:style w:type="character" w:customStyle="1" w:styleId="HotSpot">
    <w:name w:val="HotSpot"/>
    <w:rsid w:val="006E6040"/>
    <w:rPr>
      <w:color w:val="0033CC"/>
      <w:u w:val="none"/>
    </w:rPr>
  </w:style>
  <w:style w:type="paragraph" w:customStyle="1" w:styleId="BodyTextRight">
    <w:name w:val="Body Text Right"/>
    <w:basedOn w:val="BodyText"/>
    <w:rsid w:val="006E6040"/>
    <w:pPr>
      <w:spacing w:before="0" w:after="0"/>
      <w:jc w:val="right"/>
    </w:pPr>
  </w:style>
  <w:style w:type="paragraph" w:styleId="Index3">
    <w:name w:val="index 3"/>
    <w:basedOn w:val="ListNumber2"/>
    <w:next w:val="Normal"/>
    <w:semiHidden/>
    <w:rsid w:val="006E6040"/>
    <w:pPr>
      <w:numPr>
        <w:numId w:val="0"/>
      </w:numPr>
      <w:tabs>
        <w:tab w:val="right" w:leader="dot" w:pos="4176"/>
      </w:tabs>
    </w:pPr>
  </w:style>
  <w:style w:type="paragraph" w:styleId="ListNumber2">
    <w:name w:val="List Number 2"/>
    <w:basedOn w:val="List2"/>
    <w:rsid w:val="006E6040"/>
    <w:pPr>
      <w:numPr>
        <w:numId w:val="9"/>
      </w:numPr>
      <w:tabs>
        <w:tab w:val="clear" w:pos="1060"/>
      </w:tabs>
    </w:pPr>
  </w:style>
  <w:style w:type="paragraph" w:customStyle="1" w:styleId="MarginNote">
    <w:name w:val="Margin Note"/>
    <w:basedOn w:val="BodyText"/>
    <w:rsid w:val="006E60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60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60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6040"/>
    <w:rPr>
      <w:sz w:val="32"/>
    </w:rPr>
  </w:style>
  <w:style w:type="paragraph" w:customStyle="1" w:styleId="HeadingProcedure">
    <w:name w:val="Heading Procedure"/>
    <w:basedOn w:val="HeadingBase"/>
    <w:next w:val="Normal"/>
    <w:rsid w:val="006E6040"/>
    <w:pPr>
      <w:tabs>
        <w:tab w:val="left" w:pos="0"/>
      </w:tabs>
      <w:spacing w:before="120" w:after="60"/>
    </w:pPr>
    <w:rPr>
      <w:i/>
      <w:color w:val="918585"/>
      <w:sz w:val="22"/>
    </w:rPr>
  </w:style>
  <w:style w:type="paragraph" w:customStyle="1" w:styleId="TableBodyText">
    <w:name w:val="Table Body Text"/>
    <w:basedOn w:val="BodyText"/>
    <w:rsid w:val="006E6040"/>
    <w:pPr>
      <w:spacing w:before="60" w:after="60"/>
    </w:pPr>
  </w:style>
  <w:style w:type="paragraph" w:styleId="ListContinue">
    <w:name w:val="List Continue"/>
    <w:basedOn w:val="List"/>
    <w:rsid w:val="006E6040"/>
    <w:pPr>
      <w:ind w:firstLine="0"/>
    </w:pPr>
  </w:style>
  <w:style w:type="paragraph" w:customStyle="1" w:styleId="ListNote">
    <w:name w:val="List Note"/>
    <w:basedOn w:val="List"/>
    <w:rsid w:val="006E6040"/>
    <w:pPr>
      <w:pBdr>
        <w:top w:val="single" w:sz="6" w:space="2" w:color="918585"/>
        <w:bottom w:val="single" w:sz="6" w:space="2" w:color="918585"/>
      </w:pBdr>
      <w:tabs>
        <w:tab w:val="left" w:pos="1021"/>
      </w:tabs>
      <w:ind w:firstLine="0"/>
    </w:pPr>
  </w:style>
  <w:style w:type="paragraph" w:customStyle="1" w:styleId="Warning">
    <w:name w:val="Warning"/>
    <w:basedOn w:val="BodyText"/>
    <w:rsid w:val="006E6040"/>
    <w:pPr>
      <w:shd w:val="clear" w:color="auto" w:fill="D9D9D9"/>
      <w:tabs>
        <w:tab w:val="left" w:pos="992"/>
      </w:tabs>
      <w:ind w:left="119" w:right="119"/>
    </w:pPr>
    <w:rPr>
      <w:sz w:val="20"/>
    </w:rPr>
  </w:style>
  <w:style w:type="paragraph" w:customStyle="1" w:styleId="MarginIcons">
    <w:name w:val="Margin Icons"/>
    <w:basedOn w:val="BodyText"/>
    <w:rsid w:val="006E60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6040"/>
    <w:rPr>
      <w:rFonts w:ascii="Courier New" w:hAnsi="Courier New"/>
    </w:rPr>
  </w:style>
  <w:style w:type="paragraph" w:customStyle="1" w:styleId="NoteBullet">
    <w:name w:val="Note Bullet"/>
    <w:basedOn w:val="Note"/>
    <w:rsid w:val="006E6040"/>
    <w:pPr>
      <w:tabs>
        <w:tab w:val="clear" w:pos="680"/>
      </w:tabs>
      <w:spacing w:before="60" w:after="60"/>
    </w:pPr>
  </w:style>
  <w:style w:type="paragraph" w:customStyle="1" w:styleId="SubHeading2">
    <w:name w:val="SubHeading2"/>
    <w:basedOn w:val="HeadingBase"/>
    <w:rsid w:val="006E6040"/>
    <w:pPr>
      <w:spacing w:before="240" w:after="60"/>
    </w:pPr>
    <w:rPr>
      <w:sz w:val="20"/>
    </w:rPr>
  </w:style>
  <w:style w:type="paragraph" w:customStyle="1" w:styleId="SubHeading1">
    <w:name w:val="SubHeading1"/>
    <w:basedOn w:val="HeadingBase"/>
    <w:rsid w:val="006E6040"/>
    <w:pPr>
      <w:spacing w:before="240" w:after="60"/>
    </w:pPr>
    <w:rPr>
      <w:color w:val="918585"/>
      <w:sz w:val="22"/>
    </w:rPr>
  </w:style>
  <w:style w:type="paragraph" w:customStyle="1" w:styleId="SideHeading">
    <w:name w:val="Side Heading"/>
    <w:basedOn w:val="HeadingBase"/>
    <w:rsid w:val="006E60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6040"/>
    <w:pPr>
      <w:numPr>
        <w:numId w:val="10"/>
      </w:numPr>
    </w:pPr>
  </w:style>
  <w:style w:type="paragraph" w:styleId="PlainText">
    <w:name w:val="Plain Text"/>
    <w:basedOn w:val="Normal"/>
    <w:link w:val="PlainTextChar"/>
    <w:rsid w:val="006E6040"/>
    <w:rPr>
      <w:sz w:val="20"/>
    </w:rPr>
  </w:style>
  <w:style w:type="character" w:customStyle="1" w:styleId="PlainTextChar">
    <w:name w:val="Plain Text Char"/>
    <w:basedOn w:val="DefaultParagraphFont"/>
    <w:link w:val="PlainText"/>
    <w:rsid w:val="006E6040"/>
    <w:rPr>
      <w:rFonts w:ascii="Courier New" w:eastAsia="Times New Roman" w:hAnsi="Courier New" w:cs="Times New Roman"/>
      <w:sz w:val="20"/>
      <w:szCs w:val="20"/>
      <w:lang w:eastAsia="en-US"/>
    </w:rPr>
  </w:style>
  <w:style w:type="character" w:customStyle="1" w:styleId="MenuOption">
    <w:name w:val="Menu Option"/>
    <w:basedOn w:val="DefaultParagraphFont"/>
    <w:rsid w:val="006E6040"/>
    <w:rPr>
      <w:b/>
      <w:smallCaps/>
    </w:rPr>
  </w:style>
  <w:style w:type="paragraph" w:customStyle="1" w:styleId="TableListNumber">
    <w:name w:val="Table List Number"/>
    <w:basedOn w:val="ListNumber"/>
    <w:rsid w:val="006E6040"/>
    <w:pPr>
      <w:numPr>
        <w:numId w:val="0"/>
      </w:numPr>
    </w:pPr>
  </w:style>
  <w:style w:type="paragraph" w:styleId="TOC4">
    <w:name w:val="toc 4"/>
    <w:basedOn w:val="TOCBase"/>
    <w:next w:val="Normal"/>
    <w:semiHidden/>
    <w:rsid w:val="006E6040"/>
    <w:pPr>
      <w:tabs>
        <w:tab w:val="right" w:leader="dot" w:pos="9071"/>
      </w:tabs>
      <w:ind w:left="1701"/>
    </w:pPr>
  </w:style>
  <w:style w:type="paragraph" w:customStyle="1" w:styleId="ListAlpha">
    <w:name w:val="List Alpha"/>
    <w:basedOn w:val="List"/>
    <w:rsid w:val="006E6040"/>
    <w:pPr>
      <w:numPr>
        <w:numId w:val="8"/>
      </w:numPr>
    </w:pPr>
  </w:style>
  <w:style w:type="paragraph" w:customStyle="1" w:styleId="ListAlpha2">
    <w:name w:val="List Alpha 2"/>
    <w:basedOn w:val="List2"/>
    <w:rsid w:val="006E6040"/>
    <w:pPr>
      <w:numPr>
        <w:numId w:val="7"/>
      </w:numPr>
    </w:pPr>
  </w:style>
  <w:style w:type="paragraph" w:styleId="List2">
    <w:name w:val="List 2"/>
    <w:basedOn w:val="BodyText"/>
    <w:rsid w:val="006E6040"/>
    <w:pPr>
      <w:tabs>
        <w:tab w:val="left" w:pos="680"/>
      </w:tabs>
      <w:spacing w:before="60" w:after="60"/>
      <w:ind w:left="680" w:hanging="340"/>
    </w:pPr>
  </w:style>
  <w:style w:type="paragraph" w:styleId="List3">
    <w:name w:val="List 3"/>
    <w:basedOn w:val="BodyText"/>
    <w:rsid w:val="006E6040"/>
    <w:pPr>
      <w:tabs>
        <w:tab w:val="left" w:pos="1021"/>
      </w:tabs>
      <w:spacing w:before="60" w:after="60"/>
      <w:ind w:left="1020" w:hanging="340"/>
    </w:pPr>
  </w:style>
  <w:style w:type="paragraph" w:styleId="List4">
    <w:name w:val="List 4"/>
    <w:basedOn w:val="BodyText"/>
    <w:rsid w:val="006E6040"/>
    <w:pPr>
      <w:tabs>
        <w:tab w:val="left" w:pos="1361"/>
      </w:tabs>
      <w:spacing w:before="60" w:after="60"/>
      <w:ind w:left="1361" w:hanging="340"/>
    </w:pPr>
  </w:style>
  <w:style w:type="paragraph" w:styleId="List5">
    <w:name w:val="List 5"/>
    <w:basedOn w:val="BodyText"/>
    <w:rsid w:val="006E6040"/>
    <w:pPr>
      <w:tabs>
        <w:tab w:val="left" w:pos="1701"/>
      </w:tabs>
      <w:spacing w:before="60" w:after="60"/>
      <w:ind w:left="1701" w:hanging="340"/>
    </w:pPr>
  </w:style>
  <w:style w:type="paragraph" w:styleId="ListBullet3">
    <w:name w:val="List Bullet 3"/>
    <w:basedOn w:val="List3"/>
    <w:rsid w:val="006E6040"/>
    <w:pPr>
      <w:numPr>
        <w:numId w:val="13"/>
      </w:numPr>
      <w:tabs>
        <w:tab w:val="clear" w:pos="1021"/>
      </w:tabs>
      <w:ind w:left="1037" w:hanging="357"/>
    </w:pPr>
  </w:style>
  <w:style w:type="paragraph" w:styleId="ListBullet4">
    <w:name w:val="List Bullet 4"/>
    <w:basedOn w:val="List4"/>
    <w:rsid w:val="006E6040"/>
    <w:pPr>
      <w:numPr>
        <w:numId w:val="2"/>
      </w:numPr>
      <w:tabs>
        <w:tab w:val="clear" w:pos="1361"/>
      </w:tabs>
    </w:pPr>
  </w:style>
  <w:style w:type="paragraph" w:styleId="ListBullet5">
    <w:name w:val="List Bullet 5"/>
    <w:basedOn w:val="List5"/>
    <w:rsid w:val="006E6040"/>
    <w:pPr>
      <w:numPr>
        <w:numId w:val="3"/>
      </w:numPr>
    </w:pPr>
  </w:style>
  <w:style w:type="paragraph" w:styleId="ListContinue2">
    <w:name w:val="List Continue 2"/>
    <w:basedOn w:val="List2"/>
    <w:rsid w:val="006E6040"/>
    <w:pPr>
      <w:ind w:firstLine="0"/>
    </w:pPr>
  </w:style>
  <w:style w:type="paragraph" w:styleId="ListContinue3">
    <w:name w:val="List Continue 3"/>
    <w:basedOn w:val="List3"/>
    <w:rsid w:val="006E6040"/>
    <w:pPr>
      <w:ind w:left="1021" w:firstLine="0"/>
    </w:pPr>
  </w:style>
  <w:style w:type="paragraph" w:styleId="ListContinue4">
    <w:name w:val="List Continue 4"/>
    <w:basedOn w:val="List4"/>
    <w:rsid w:val="006E6040"/>
    <w:pPr>
      <w:ind w:firstLine="0"/>
    </w:pPr>
  </w:style>
  <w:style w:type="paragraph" w:styleId="ListContinue5">
    <w:name w:val="List Continue 5"/>
    <w:basedOn w:val="List5"/>
    <w:rsid w:val="006E6040"/>
    <w:pPr>
      <w:ind w:firstLine="0"/>
    </w:pPr>
  </w:style>
  <w:style w:type="paragraph" w:styleId="ListNumber3">
    <w:name w:val="List Number 3"/>
    <w:basedOn w:val="List3"/>
    <w:rsid w:val="006E6040"/>
    <w:pPr>
      <w:numPr>
        <w:numId w:val="4"/>
      </w:numPr>
    </w:pPr>
  </w:style>
  <w:style w:type="paragraph" w:styleId="ListNumber4">
    <w:name w:val="List Number 4"/>
    <w:basedOn w:val="List4"/>
    <w:rsid w:val="006E6040"/>
    <w:pPr>
      <w:numPr>
        <w:numId w:val="5"/>
      </w:numPr>
    </w:pPr>
  </w:style>
  <w:style w:type="paragraph" w:styleId="ListNumber5">
    <w:name w:val="List Number 5"/>
    <w:basedOn w:val="List5"/>
    <w:rsid w:val="006E6040"/>
    <w:pPr>
      <w:numPr>
        <w:numId w:val="6"/>
      </w:numPr>
    </w:pPr>
  </w:style>
  <w:style w:type="paragraph" w:styleId="BlockText">
    <w:name w:val="Block Text"/>
    <w:basedOn w:val="Normal"/>
    <w:rsid w:val="006E6040"/>
    <w:pPr>
      <w:spacing w:after="120"/>
      <w:ind w:left="1440" w:right="1440"/>
    </w:pPr>
  </w:style>
  <w:style w:type="character" w:customStyle="1" w:styleId="Subscript">
    <w:name w:val="Subscript"/>
    <w:basedOn w:val="DefaultParagraphFont"/>
    <w:rsid w:val="006E6040"/>
    <w:rPr>
      <w:sz w:val="16"/>
      <w:vertAlign w:val="subscript"/>
    </w:rPr>
  </w:style>
  <w:style w:type="character" w:customStyle="1" w:styleId="Superscript">
    <w:name w:val="Superscript"/>
    <w:basedOn w:val="DefaultParagraphFont"/>
    <w:rsid w:val="006E6040"/>
    <w:rPr>
      <w:sz w:val="16"/>
      <w:vertAlign w:val="superscript"/>
    </w:rPr>
  </w:style>
  <w:style w:type="character" w:customStyle="1" w:styleId="Symbols">
    <w:name w:val="Symbols"/>
    <w:basedOn w:val="DefaultParagraphFont"/>
    <w:rsid w:val="006E6040"/>
    <w:rPr>
      <w:rFonts w:ascii="Symbol" w:hAnsi="Symbol"/>
    </w:rPr>
  </w:style>
  <w:style w:type="character" w:customStyle="1" w:styleId="MenuOptions">
    <w:name w:val="Menu Options"/>
    <w:basedOn w:val="DefaultParagraphFont"/>
    <w:rsid w:val="006E6040"/>
    <w:rPr>
      <w:rFonts w:ascii="Arial Narrow" w:hAnsi="Arial Narrow"/>
      <w:smallCaps/>
    </w:rPr>
  </w:style>
  <w:style w:type="character" w:customStyle="1" w:styleId="Buttons">
    <w:name w:val="Buttons"/>
    <w:basedOn w:val="DefaultParagraphFont"/>
    <w:rsid w:val="006E6040"/>
    <w:rPr>
      <w:b/>
    </w:rPr>
  </w:style>
  <w:style w:type="character" w:customStyle="1" w:styleId="Underlined">
    <w:name w:val="Underlined"/>
    <w:basedOn w:val="DefaultParagraphFont"/>
    <w:rsid w:val="006E6040"/>
    <w:rPr>
      <w:u w:val="single"/>
    </w:rPr>
  </w:style>
  <w:style w:type="paragraph" w:customStyle="1" w:styleId="TableBodyTextRight">
    <w:name w:val="Table Body Text Right"/>
    <w:basedOn w:val="TableBodyText"/>
    <w:rsid w:val="006E6040"/>
    <w:pPr>
      <w:widowControl w:val="0"/>
      <w:autoSpaceDE w:val="0"/>
      <w:autoSpaceDN w:val="0"/>
      <w:adjustRightInd w:val="0"/>
      <w:jc w:val="right"/>
    </w:pPr>
    <w:rPr>
      <w:rFonts w:cs="Arial"/>
      <w:szCs w:val="18"/>
    </w:rPr>
  </w:style>
  <w:style w:type="paragraph" w:customStyle="1" w:styleId="CopyrightText">
    <w:name w:val="Copyright Text"/>
    <w:basedOn w:val="BodyText"/>
    <w:rsid w:val="006E6040"/>
    <w:rPr>
      <w:sz w:val="18"/>
    </w:rPr>
  </w:style>
  <w:style w:type="paragraph" w:customStyle="1" w:styleId="BodySmallRight">
    <w:name w:val="Body Small Right"/>
    <w:basedOn w:val="BodyTextRight"/>
    <w:rsid w:val="006E6040"/>
    <w:rPr>
      <w:sz w:val="18"/>
      <w:szCs w:val="18"/>
    </w:rPr>
  </w:style>
  <w:style w:type="paragraph" w:customStyle="1" w:styleId="MarginEdition">
    <w:name w:val="Margin Edition"/>
    <w:basedOn w:val="MarginNote"/>
    <w:rsid w:val="006E6040"/>
    <w:pPr>
      <w:spacing w:before="0" w:after="0"/>
    </w:pPr>
    <w:rPr>
      <w:rFonts w:ascii="Times New Roman" w:hAnsi="Times New Roman"/>
      <w:color w:val="999999"/>
    </w:rPr>
  </w:style>
  <w:style w:type="paragraph" w:customStyle="1" w:styleId="Spacer">
    <w:name w:val="Spacer"/>
    <w:basedOn w:val="Normal"/>
    <w:rsid w:val="006E6040"/>
    <w:rPr>
      <w:sz w:val="2"/>
      <w:szCs w:val="2"/>
    </w:rPr>
  </w:style>
  <w:style w:type="character" w:customStyle="1" w:styleId="Small">
    <w:name w:val="Small"/>
    <w:basedOn w:val="DefaultParagraphFont"/>
    <w:rsid w:val="006E6040"/>
    <w:rPr>
      <w:sz w:val="16"/>
    </w:rPr>
  </w:style>
  <w:style w:type="paragraph" w:customStyle="1" w:styleId="WideTable">
    <w:name w:val="Wide Table"/>
    <w:basedOn w:val="Normal"/>
    <w:rsid w:val="006E6040"/>
    <w:pPr>
      <w:ind w:left="-1418"/>
    </w:pPr>
    <w:rPr>
      <w:sz w:val="2"/>
      <w:szCs w:val="2"/>
    </w:rPr>
  </w:style>
  <w:style w:type="character" w:styleId="PageNumber">
    <w:name w:val="page number"/>
    <w:basedOn w:val="DefaultParagraphFont"/>
    <w:rsid w:val="006E6040"/>
  </w:style>
  <w:style w:type="paragraph" w:styleId="Quote">
    <w:name w:val="Quote"/>
    <w:basedOn w:val="Heading1"/>
    <w:link w:val="QuoteChar"/>
    <w:qFormat/>
    <w:rsid w:val="006E6040"/>
    <w:rPr>
      <w:b w:val="0"/>
      <w:sz w:val="72"/>
      <w:szCs w:val="72"/>
      <w:lang w:val="en-NZ"/>
    </w:rPr>
  </w:style>
  <w:style w:type="character" w:customStyle="1" w:styleId="QuoteChar">
    <w:name w:val="Quote Char"/>
    <w:basedOn w:val="DefaultParagraphFont"/>
    <w:link w:val="Quote"/>
    <w:rsid w:val="006E60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6040"/>
    <w:pPr>
      <w:pageBreakBefore/>
    </w:pPr>
  </w:style>
  <w:style w:type="paragraph" w:customStyle="1" w:styleId="Border">
    <w:name w:val="Border"/>
    <w:basedOn w:val="Normal"/>
    <w:qFormat/>
    <w:rsid w:val="006E60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6040"/>
    <w:rPr>
      <w:b/>
      <w:bCs/>
      <w:i/>
      <w:iCs/>
      <w:color w:val="auto"/>
    </w:rPr>
  </w:style>
  <w:style w:type="paragraph" w:styleId="IntenseQuote">
    <w:name w:val="Intense Quote"/>
    <w:basedOn w:val="Normal"/>
    <w:next w:val="Normal"/>
    <w:link w:val="IntenseQuoteChar"/>
    <w:uiPriority w:val="30"/>
    <w:qFormat/>
    <w:rsid w:val="006E60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60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6040"/>
    <w:rPr>
      <w:smallCaps/>
      <w:color w:val="auto"/>
      <w:u w:val="single"/>
    </w:rPr>
  </w:style>
  <w:style w:type="character" w:styleId="IntenseReference">
    <w:name w:val="Intense Reference"/>
    <w:basedOn w:val="DefaultParagraphFont"/>
    <w:uiPriority w:val="32"/>
    <w:qFormat/>
    <w:rsid w:val="006E6040"/>
    <w:rPr>
      <w:b/>
      <w:bCs/>
      <w:smallCaps/>
      <w:color w:val="auto"/>
      <w:spacing w:val="5"/>
      <w:u w:val="single"/>
    </w:rPr>
  </w:style>
  <w:style w:type="paragraph" w:customStyle="1" w:styleId="2ColumnHeading">
    <w:name w:val="2Column Heading"/>
    <w:basedOn w:val="BodyText"/>
    <w:qFormat/>
    <w:rsid w:val="006E6040"/>
    <w:pPr>
      <w:spacing w:after="60"/>
      <w:ind w:left="-2268"/>
    </w:pPr>
    <w:rPr>
      <w:b/>
    </w:rPr>
  </w:style>
  <w:style w:type="paragraph" w:customStyle="1" w:styleId="Heading1TOC">
    <w:name w:val="Heading1 TOC"/>
    <w:basedOn w:val="Normal"/>
    <w:qFormat/>
    <w:rsid w:val="006E6040"/>
    <w:pPr>
      <w:spacing w:before="240" w:after="120"/>
    </w:pPr>
    <w:rPr>
      <w:rFonts w:ascii="Times New Roman" w:hAnsi="Times New Roman"/>
      <w:b/>
      <w:sz w:val="32"/>
    </w:rPr>
  </w:style>
  <w:style w:type="paragraph" w:customStyle="1" w:styleId="Heading2TOC">
    <w:name w:val="Heading2 TOC"/>
    <w:basedOn w:val="Normal"/>
    <w:qFormat/>
    <w:rsid w:val="006E6040"/>
    <w:pPr>
      <w:spacing w:before="240" w:after="60"/>
    </w:pPr>
    <w:rPr>
      <w:rFonts w:ascii="Times New Roman" w:hAnsi="Times New Roman"/>
      <w:b/>
      <w:sz w:val="28"/>
    </w:rPr>
  </w:style>
  <w:style w:type="character" w:customStyle="1" w:styleId="Underline">
    <w:name w:val="Underline"/>
    <w:basedOn w:val="DefaultParagraphFont"/>
    <w:qFormat/>
    <w:rsid w:val="006E6040"/>
    <w:rPr>
      <w:u w:val="single"/>
    </w:rPr>
  </w:style>
  <w:style w:type="character" w:customStyle="1" w:styleId="BoldandItalics">
    <w:name w:val="Bold and Italics"/>
    <w:qFormat/>
    <w:rsid w:val="006E6040"/>
    <w:rPr>
      <w:b/>
      <w:i/>
      <w:u w:val="none"/>
    </w:rPr>
  </w:style>
  <w:style w:type="paragraph" w:styleId="BalloonText">
    <w:name w:val="Balloon Text"/>
    <w:basedOn w:val="Normal"/>
    <w:link w:val="BalloonTextChar"/>
    <w:rsid w:val="006E6040"/>
    <w:rPr>
      <w:rFonts w:ascii="Tahoma" w:hAnsi="Tahoma" w:cs="Tahoma"/>
      <w:sz w:val="16"/>
      <w:szCs w:val="16"/>
    </w:rPr>
  </w:style>
  <w:style w:type="character" w:customStyle="1" w:styleId="BalloonTextChar">
    <w:name w:val="Balloon Text Char"/>
    <w:basedOn w:val="DefaultParagraphFont"/>
    <w:link w:val="BalloonText"/>
    <w:rsid w:val="006E60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60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60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6040"/>
    <w:rPr>
      <w:b/>
      <w:color w:val="660033"/>
      <w:spacing w:val="0"/>
    </w:rPr>
  </w:style>
  <w:style w:type="paragraph" w:customStyle="1" w:styleId="Nameditemlist">
    <w:name w:val="Named item list"/>
    <w:basedOn w:val="BodyText"/>
    <w:qFormat/>
    <w:rsid w:val="006E6040"/>
    <w:pPr>
      <w:tabs>
        <w:tab w:val="left" w:pos="2835"/>
      </w:tabs>
      <w:ind w:left="2835" w:hanging="2835"/>
    </w:pPr>
  </w:style>
  <w:style w:type="paragraph" w:customStyle="1" w:styleId="BodyTextnopadding">
    <w:name w:val="Body Text no padding"/>
    <w:basedOn w:val="BodyText"/>
    <w:qFormat/>
    <w:rsid w:val="006E6040"/>
    <w:pPr>
      <w:spacing w:before="0" w:after="0"/>
    </w:pPr>
  </w:style>
  <w:style w:type="paragraph" w:customStyle="1" w:styleId="BodyTextBold">
    <w:name w:val="Body Text Bold"/>
    <w:basedOn w:val="BodyText"/>
    <w:qFormat/>
    <w:rsid w:val="006E6040"/>
    <w:rPr>
      <w:b/>
    </w:rPr>
  </w:style>
  <w:style w:type="character" w:styleId="Hyperlink">
    <w:name w:val="Hyperlink"/>
    <w:basedOn w:val="DefaultParagraphFont"/>
    <w:uiPriority w:val="99"/>
    <w:unhideWhenUsed/>
    <w:rsid w:val="007065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487</Words>
  <Characters>3181</Characters>
  <Application>Microsoft Office Word</Application>
  <DocSecurity>0</DocSecurity>
  <Lines>132</Lines>
  <Paragraphs>81</Paragraphs>
  <ScaleCrop>false</ScaleCrop>
  <Company>Author-it Software Corporation Ltd.</Company>
  <LinksUpToDate>false</LinksUpToDate>
  <CharactersWithSpaces>3587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DEFEXO006 Unpackage explosives</dc:title>
  <dc:subject>Approved</dc:subject>
  <dc:creator>Public Skills Australia</dc:creator>
  <cp:keywords>Release: 3</cp:keywords>
  <dc:description>Review Date: 12 April 2008</dc:description>
  <cp:lastModifiedBy>HSD_TPCMSd.prod</cp:lastModifiedBy>
  <cp:revision>3</cp:revision>
  <dcterms:created xsi:type="dcterms:W3CDTF">2024-11-07T12:13:00Z</dcterms:created>
  <dcterms:modified xsi:type="dcterms:W3CDTF">2024-11-07T12:13:00Z</dcterms:modified>
</cp:coreProperties>
</file>