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736" w:rsidP="006D5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DEFEXO005 Package explosives</w:t>
      </w:r>
      <w:r>
        <w:fldChar w:fldCharType="end"/>
      </w:r>
    </w:p>
    <w:p w:rsidR="006D5736" w:rsidP="006D5736">
      <w:pPr>
        <w:pStyle w:val="Version"/>
        <w:sectPr w:rsidSect="006F6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F6BDA" w:rsidP="006F6BDA">
      <w:pPr>
        <w:pStyle w:val="SuperHeading"/>
      </w:pPr>
      <w:r w:rsidRPr="006F6BDA">
        <w:t>DEFEXO005 Package explosives</w:t>
      </w:r>
    </w:p>
    <w:p w:rsidR="00000000" w:rsidRPr="006F6BDA" w:rsidP="006F6BDA">
      <w:pPr>
        <w:pStyle w:val="Heading1"/>
      </w:pPr>
      <w:bookmarkStart w:id="1" w:name="O_1282596"/>
      <w:bookmarkEnd w:id="1"/>
      <w:r w:rsidRPr="006F6B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Release 3. Assessment Conditions clarified in relation to simulation being an assessment option.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Release 2. Modifications made to Foundation Skills and Assessment Conditions.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 xml:space="preserve">Release 1. This unit was released in DEF Defence Training </w:t>
            </w:r>
            <w:r w:rsidRPr="006F6BDA">
              <w:t>Package release 1.0 and meets the Standards for Training Packages.</w:t>
            </w:r>
          </w:p>
          <w:p w:rsidR="00000000" w:rsidRPr="006F6BDA" w:rsidP="006F6BDA">
            <w:pPr>
              <w:pStyle w:val="BodyText"/>
            </w:pPr>
            <w:r w:rsidRPr="006F6BDA">
              <w:t>This unit supersedes and is equivalent to DEFEO301D Package ammunition.</w:t>
            </w:r>
          </w:p>
          <w:p w:rsidR="00000000" w:rsidRPr="006F6BDA" w:rsidP="006F6BDA">
            <w:pPr>
              <w:pStyle w:val="ListBullet"/>
            </w:pPr>
            <w:r w:rsidRPr="006F6BDA">
              <w:t>Unit code updated</w:t>
            </w:r>
          </w:p>
          <w:p w:rsidR="00000000" w:rsidRPr="006F6BDA" w:rsidP="006F6BDA">
            <w:pPr>
              <w:pStyle w:val="ListBullet"/>
            </w:pPr>
            <w:r w:rsidRPr="006F6BDA">
              <w:t>Content and formatting updated to comply with the new standards</w:t>
            </w:r>
          </w:p>
          <w:p w:rsidR="00000000" w:rsidRPr="006F6BDA" w:rsidP="006F6BDA">
            <w:pPr>
              <w:pStyle w:val="ListBullet"/>
            </w:pPr>
            <w:r w:rsidRPr="006F6BDA">
              <w:t>All PC transitioned from passive t</w:t>
            </w:r>
            <w:r w:rsidRPr="006F6BDA">
              <w:t>o active voice.</w:t>
            </w:r>
          </w:p>
          <w:p w:rsidR="00000000" w:rsidRPr="006F6BDA" w:rsidP="006F6BDA">
            <w:pPr>
              <w:pStyle w:val="ListBullet"/>
            </w:pPr>
            <w:r w:rsidRPr="006F6BDA">
              <w:t>PC 1.2, 2.5 and 2.6 removed</w:t>
            </w:r>
          </w:p>
        </w:tc>
      </w:tr>
    </w:tbl>
    <w:p w:rsidR="00000000" w:rsidRPr="006F6BDA" w:rsidP="006F6BDA">
      <w:pPr>
        <w:pStyle w:val="NoPaddingFontSize1"/>
      </w:pPr>
    </w:p>
    <w:p w:rsidR="00000000" w:rsidRPr="006F6BDA" w:rsidP="006F6BDA">
      <w:pPr>
        <w:pStyle w:val="AllowPageBreak"/>
      </w:pPr>
    </w:p>
    <w:p w:rsidR="00000000" w:rsidRPr="006F6BDA" w:rsidP="006F6BDA">
      <w:pPr>
        <w:pStyle w:val="Heading1"/>
      </w:pPr>
      <w:bookmarkStart w:id="2" w:name="O_1282595"/>
      <w:bookmarkEnd w:id="2"/>
      <w:r w:rsidRPr="006F6B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 xml:space="preserve">This unit describes the skills required to package explosives and explosive components for transportation and storage where packaging includes painting, stencilling, </w:t>
            </w:r>
            <w:r w:rsidRPr="006F6BDA">
              <w:t>marking, sealing, strapping, vacuum evacuation and labelling. This includes calculating net explosive quantity, applying compatibility constraints, marking the packaging with internationally recognised coding and maintaining a range of documentation.</w:t>
            </w:r>
          </w:p>
          <w:p w:rsidR="00000000" w:rsidRPr="006F6BDA" w:rsidP="006F6BDA">
            <w:pPr>
              <w:pStyle w:val="BodyText"/>
            </w:pPr>
            <w:r w:rsidRPr="006F6BDA">
              <w:t xml:space="preserve">This </w:t>
            </w:r>
            <w:r w:rsidRPr="006F6BDA">
              <w:t>unit applies to those required to prepare, package and finalise documentation for explosives and explosive components for the purpose of transportation and storage.</w:t>
            </w:r>
          </w:p>
          <w:p w:rsidR="00000000" w:rsidRPr="006F6BDA" w:rsidP="006F6BDA">
            <w:pPr>
              <w:pStyle w:val="BodyText"/>
            </w:pPr>
            <w:r w:rsidRPr="006F6BDA">
              <w:t>The skills and knowledge described in this unit must be applied within the legislative, reg</w:t>
            </w:r>
            <w:r w:rsidRPr="006F6BDA">
              <w:t>ulatory and policy environment in which they are carried out. Organisational policies and procedures must be consulted and adhered to.</w:t>
            </w:r>
          </w:p>
          <w:p w:rsidR="00000000" w:rsidRPr="006F6BDA" w:rsidP="006F6BDA">
            <w:pPr>
              <w:pStyle w:val="BodyText"/>
            </w:pPr>
            <w:r w:rsidRPr="006F6BDA">
              <w:t>Those undertaking this unit would work independently and as part of a team, under direct and/or indirect supervision, use</w:t>
            </w:r>
            <w:r w:rsidRPr="006F6BDA">
              <w:t xml:space="preserve"> discretion and judgement, and take responsibility for the quality of their output. They would perform specific tasks in a broad range of contexts.</w:t>
            </w:r>
          </w:p>
          <w:p w:rsidR="00000000" w:rsidRPr="006F6BDA" w:rsidP="006F6BDA">
            <w:pPr>
              <w:pStyle w:val="BodyText"/>
            </w:pPr>
            <w:r w:rsidRPr="006F6BDA">
              <w:t>No licensing, legislative or certification requirements apply to unit at the time of publication.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3" w:name="O_1282594"/>
      <w:bookmarkEnd w:id="3"/>
      <w:r w:rsidRPr="006F6B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Not applicable.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4" w:name="O_1282593"/>
      <w:bookmarkEnd w:id="4"/>
      <w:r w:rsidRPr="006F6B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Explosive ordnance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5" w:name="O_1282592"/>
      <w:bookmarkEnd w:id="5"/>
      <w:r w:rsidRPr="006F6B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Not applicable.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6" w:name="O_1282591"/>
      <w:bookmarkEnd w:id="6"/>
      <w:r w:rsidRPr="006F6BD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PERFORMANCE CRITERIA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Performance criteria describe the performance needed to demonstrate achievement of the element.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Prepare for packaging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Identify packaging requirements from work requests and instructions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Identify, a</w:t>
            </w:r>
            <w:r w:rsidRPr="006F6BDA">
              <w:t>cquire and prepare technical references, tools, equipment, consumables and packaging components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Identify, calculate, analyse and apply net explosive quantities and compatibility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Monitor and maintain environmental conditions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Pack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Identify explosives or explosive components and prepare them for packaging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Package explosives or explosive components in accordance with technical instructions, technical drawings and organisational procedures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Interpret emerg</w:t>
            </w:r>
            <w:r w:rsidRPr="006F6BDA">
              <w:t>ency procedures and apply contingency plans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Prepare and mark packaging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rPr>
                <w:rStyle w:val="SpecialBold"/>
              </w:rPr>
              <w:t>Finalise packaging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Inspect equipment/tools for serviceability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Maintain documentation and records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7" w:name="O_1282590"/>
      <w:bookmarkEnd w:id="7"/>
      <w:r w:rsidRPr="006F6BD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Foundation skills essential to performance are explicit in the performance criteria of this unit of competency.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8" w:name="O_1282589"/>
      <w:bookmarkEnd w:id="8"/>
      <w:r w:rsidRPr="006F6B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 xml:space="preserve">Range is restricted to essential operating conditions and any other variables essential to the work </w:t>
            </w:r>
            <w:r w:rsidRPr="006F6BDA">
              <w:t>en</w:t>
            </w:r>
            <w:r w:rsidRPr="006F6BDA">
              <w:t>vironment.</w:t>
            </w:r>
          </w:p>
          <w:p w:rsidR="00000000" w:rsidRPr="006F6BDA" w:rsidP="006F6BDA">
            <w:pPr>
              <w:pStyle w:val="BodyText"/>
            </w:pPr>
            <w:r w:rsidRPr="006F6BDA">
              <w:t>Non-essential conditions may be found in the Companion Volume Implementation Guide.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9" w:name="O_1282588"/>
      <w:bookmarkEnd w:id="9"/>
      <w:r w:rsidRPr="006F6B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This unit supersedes and is equivalent to DEFEO301D Package ammunition.</w:t>
            </w:r>
          </w:p>
        </w:tc>
      </w:tr>
    </w:tbl>
    <w:p w:rsidR="006D5736" w:rsidP="006F6BDA">
      <w:pPr>
        <w:pStyle w:val="NoPaddingFontSize1"/>
      </w:pPr>
    </w:p>
    <w:p w:rsidR="006D5736" w:rsidP="006F6BDA">
      <w:pPr>
        <w:pStyle w:val="NoPaddingFontSize1"/>
      </w:pPr>
    </w:p>
    <w:p w:rsidR="00000000" w:rsidRPr="006F6BDA" w:rsidP="006F6BDA">
      <w:pPr>
        <w:pStyle w:val="Heading1"/>
      </w:pPr>
      <w:bookmarkStart w:id="10" w:name="O_1284101"/>
      <w:bookmarkEnd w:id="10"/>
      <w:r w:rsidRPr="006F6BDA">
        <w:t>Links</w:t>
      </w:r>
    </w:p>
    <w:p w:rsidR="00000000" w:rsidRPr="006F6BDA" w:rsidP="006D5736">
      <w:pPr>
        <w:pStyle w:val="BodyText"/>
      </w:pPr>
      <w:r w:rsidRPr="006F6BDA">
        <w:t>Companion Volu</w:t>
      </w:r>
      <w:r w:rsidRPr="006F6BDA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28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F6BDA" w:rsidP="006D5736">
      <w:pPr>
        <w:pStyle w:val="BodyText"/>
        <w:sectPr w:rsidSect="006F6B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BDA" w:rsidP="006F6BDA">
      <w:pPr>
        <w:pStyle w:val="SuperHeading"/>
      </w:pPr>
      <w:r w:rsidRPr="006F6BDA">
        <w:t>Assessment Requirements for DEFEXO005 Package explosives</w:t>
      </w:r>
    </w:p>
    <w:p w:rsidR="00000000" w:rsidRPr="006F6BDA" w:rsidP="006F6BDA">
      <w:pPr>
        <w:pStyle w:val="Heading1"/>
      </w:pPr>
      <w:bookmarkStart w:id="11" w:name="O_1282586"/>
      <w:bookmarkEnd w:id="11"/>
      <w:r w:rsidRPr="006F6B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Release 3. Assessment Conditions clarified in relation to simulation being an assessment option.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Release 2. Modifications made to Foundation Skills and Assessment Conditions.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 xml:space="preserve">Release 1. This unit was released in DEF Defence Training </w:t>
            </w:r>
            <w:r w:rsidRPr="006F6BDA">
              <w:t>Package release 1.0 and meets the Standards for Training Packages.</w:t>
            </w:r>
          </w:p>
          <w:p w:rsidR="00000000" w:rsidRPr="006F6BDA" w:rsidP="006F6BDA">
            <w:pPr>
              <w:pStyle w:val="BodyText"/>
            </w:pPr>
            <w:r w:rsidRPr="006F6BDA">
              <w:t>This unit supersedes and is equivalent to DEFEO301D Package ammunition.</w:t>
            </w:r>
          </w:p>
          <w:p w:rsidR="00000000" w:rsidRPr="006F6BDA" w:rsidP="006F6BDA">
            <w:pPr>
              <w:pStyle w:val="ListBullet"/>
            </w:pPr>
            <w:r w:rsidRPr="006F6BDA">
              <w:t>Unit code updated</w:t>
            </w:r>
          </w:p>
          <w:p w:rsidR="00000000" w:rsidRPr="006F6BDA" w:rsidP="006F6BDA">
            <w:pPr>
              <w:pStyle w:val="ListBullet"/>
            </w:pPr>
            <w:r w:rsidRPr="006F6BDA">
              <w:t>Content and formatting updated to comply with the new standards</w:t>
            </w:r>
          </w:p>
          <w:p w:rsidR="00000000" w:rsidRPr="006F6BDA" w:rsidP="006F6BDA">
            <w:pPr>
              <w:pStyle w:val="ListBullet"/>
            </w:pPr>
            <w:r w:rsidRPr="006F6BDA">
              <w:t>All PC transitioned from passive to active voice.</w:t>
            </w:r>
          </w:p>
          <w:p w:rsidR="00000000" w:rsidRPr="006F6BDA" w:rsidP="006F6BDA">
            <w:pPr>
              <w:pStyle w:val="ListBullet"/>
            </w:pPr>
            <w:r w:rsidRPr="006F6BDA">
              <w:t>PC 1.2, 2.5 and 2.6 removed</w:t>
            </w:r>
          </w:p>
        </w:tc>
      </w:tr>
    </w:tbl>
    <w:p w:rsidR="00000000" w:rsidRPr="006F6BDA" w:rsidP="006F6BDA">
      <w:pPr>
        <w:pStyle w:val="NoPaddingFontSize1"/>
      </w:pPr>
    </w:p>
    <w:p w:rsidR="00000000" w:rsidRPr="006F6BDA" w:rsidP="006F6BDA">
      <w:pPr>
        <w:pStyle w:val="AllowPageBreak"/>
      </w:pPr>
    </w:p>
    <w:p w:rsidR="00000000" w:rsidRPr="006F6BDA" w:rsidP="006F6BDA">
      <w:pPr>
        <w:pStyle w:val="Heading1"/>
      </w:pPr>
      <w:bookmarkStart w:id="12" w:name="O_1282585"/>
      <w:bookmarkEnd w:id="12"/>
      <w:r w:rsidRPr="006F6BD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Evidence required to demonstrate competence in this unit must be relevant to and satisfy all of the requirements of the elements and per</w:t>
            </w:r>
            <w:r w:rsidRPr="006F6BDA">
              <w:t>formance criteria on at least one occasion and include: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ListBullet"/>
            </w:pPr>
            <w:r w:rsidRPr="006F6BDA">
              <w:t>applying colour coding, markings, stencilling and labels</w:t>
            </w:r>
          </w:p>
          <w:p w:rsidR="00000000" w:rsidRPr="006F6BDA" w:rsidP="006F6BDA">
            <w:pPr>
              <w:pStyle w:val="ListBullet"/>
            </w:pPr>
            <w:r w:rsidRPr="006F6BDA">
              <w:t>applying compatibility/environmental constraints</w:t>
            </w:r>
          </w:p>
          <w:p w:rsidR="00000000" w:rsidRPr="006F6BDA" w:rsidP="006F6BDA">
            <w:pPr>
              <w:pStyle w:val="ListBullet"/>
            </w:pPr>
            <w:r w:rsidRPr="006F6BDA">
              <w:t>applying moisture absorption/sealing procedures</w:t>
            </w:r>
          </w:p>
          <w:p w:rsidR="00000000" w:rsidRPr="006F6BDA" w:rsidP="006F6BDA">
            <w:pPr>
              <w:pStyle w:val="ListBullet"/>
            </w:pPr>
            <w:r w:rsidRPr="006F6BDA">
              <w:t>applying operational safety</w:t>
            </w:r>
          </w:p>
          <w:p w:rsidR="00000000" w:rsidRPr="006F6BDA" w:rsidP="006F6BDA">
            <w:pPr>
              <w:pStyle w:val="ListBullet"/>
            </w:pPr>
            <w:r w:rsidRPr="006F6BDA">
              <w:t>calculating weight, volume and dimensions</w:t>
            </w:r>
          </w:p>
          <w:p w:rsidR="00000000" w:rsidRPr="006F6BDA" w:rsidP="006F6BDA">
            <w:pPr>
              <w:pStyle w:val="ListBullet"/>
            </w:pPr>
            <w:r w:rsidRPr="006F6BDA">
              <w:t>identifying explosives and packaging materials</w:t>
            </w:r>
          </w:p>
          <w:p w:rsidR="00000000" w:rsidRPr="006F6BDA" w:rsidP="006F6BDA">
            <w:pPr>
              <w:pStyle w:val="ListBullet"/>
            </w:pPr>
            <w:r w:rsidRPr="006F6BDA">
              <w:t>using relevant tools and equipment.</w:t>
            </w:r>
          </w:p>
        </w:tc>
      </w:tr>
    </w:tbl>
    <w:p w:rsidR="00000000" w:rsidRPr="006F6BDA" w:rsidP="006F6BDA">
      <w:pPr>
        <w:pStyle w:val="NoPaddingFontSize1"/>
      </w:pPr>
    </w:p>
    <w:p w:rsidR="00000000" w:rsidRPr="006F6BDA" w:rsidP="006F6BDA">
      <w:pPr>
        <w:pStyle w:val="AllowPageBreak"/>
      </w:pPr>
    </w:p>
    <w:p w:rsidR="00000000" w:rsidRPr="006F6BDA" w:rsidP="006F6BDA">
      <w:pPr>
        <w:pStyle w:val="Heading1"/>
      </w:pPr>
      <w:bookmarkStart w:id="13" w:name="O_1282584"/>
      <w:bookmarkEnd w:id="13"/>
      <w:r w:rsidRPr="006F6BD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BDA">
            <w:pPr>
              <w:pStyle w:val="BodyText"/>
              <w:rPr>
                <w:lang w:val="en-NZ"/>
              </w:rPr>
            </w:pPr>
            <w:r w:rsidRPr="006F6BDA">
              <w:t>Evidence required to demonstrate competence in this unit must be relevant to and satisfy al</w:t>
            </w:r>
            <w:r w:rsidRPr="006F6BDA">
              <w:t>l of the requirements of the elements and performance criteria and include:</w:t>
            </w:r>
          </w:p>
        </w:tc>
      </w:tr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ListBullet"/>
            </w:pPr>
            <w:r w:rsidRPr="006F6BDA">
              <w:t>basic knowledge of</w:t>
            </w:r>
          </w:p>
          <w:p w:rsidR="00000000" w:rsidRPr="006F6BDA" w:rsidP="006F6BDA">
            <w:pPr>
              <w:pStyle w:val="ListBullet2"/>
            </w:pPr>
            <w:r w:rsidRPr="006F6BDA">
              <w:t>effects of environmental conditions</w:t>
            </w:r>
          </w:p>
          <w:p w:rsidR="00000000" w:rsidRPr="006F6BDA" w:rsidP="006F6BDA">
            <w:pPr>
              <w:pStyle w:val="ListBullet2"/>
            </w:pPr>
            <w:r w:rsidRPr="006F6BDA">
              <w:t>heat and/or vacuum sealing/moisture absorption/packaging procedures</w:t>
            </w:r>
          </w:p>
          <w:p w:rsidR="00000000" w:rsidRPr="006F6BDA" w:rsidP="006F6BDA">
            <w:pPr>
              <w:pStyle w:val="ListBullet"/>
            </w:pPr>
            <w:r w:rsidRPr="006F6BDA">
              <w:t>operational knowledge of</w:t>
            </w:r>
          </w:p>
          <w:p w:rsidR="00000000" w:rsidRPr="006F6BDA" w:rsidP="006F6BDA">
            <w:pPr>
              <w:pStyle w:val="ListBullet2"/>
            </w:pPr>
            <w:r w:rsidRPr="006F6BDA">
              <w:t>colour coding, markings, stencilling and labelling requirements</w:t>
            </w:r>
          </w:p>
          <w:p w:rsidR="00000000" w:rsidRPr="006F6BDA" w:rsidP="006F6BDA">
            <w:pPr>
              <w:pStyle w:val="ListBullet2"/>
            </w:pPr>
            <w:r w:rsidRPr="006F6BDA">
              <w:t>documentation requirements</w:t>
            </w:r>
          </w:p>
          <w:p w:rsidR="00000000" w:rsidRPr="006F6BDA" w:rsidP="006F6BDA">
            <w:pPr>
              <w:pStyle w:val="ListBullet2"/>
            </w:pPr>
            <w:r w:rsidRPr="006F6BDA">
              <w:t>explosives to be packaged</w:t>
            </w:r>
          </w:p>
          <w:p w:rsidR="00000000" w:rsidRPr="006F6BDA" w:rsidP="006F6BDA">
            <w:pPr>
              <w:pStyle w:val="ListBullet2"/>
            </w:pPr>
            <w:r w:rsidRPr="006F6BDA">
              <w:t>operation and limitations of packaging tools and equipment</w:t>
            </w:r>
          </w:p>
          <w:p w:rsidR="00000000" w:rsidRPr="006F6BDA" w:rsidP="006F6BDA">
            <w:pPr>
              <w:pStyle w:val="ListBullet2"/>
            </w:pPr>
            <w:r w:rsidRPr="006F6BDA">
              <w:t>operational safety</w:t>
            </w:r>
          </w:p>
          <w:p w:rsidR="00000000" w:rsidRPr="006F6BDA" w:rsidP="006F6BDA">
            <w:pPr>
              <w:pStyle w:val="ListBullet2"/>
            </w:pPr>
            <w:r w:rsidRPr="006F6BDA">
              <w:t>unit load construction</w:t>
            </w:r>
          </w:p>
          <w:p w:rsidR="00000000" w:rsidRPr="006F6BDA" w:rsidP="006F6BDA">
            <w:pPr>
              <w:pStyle w:val="ListBullet2"/>
            </w:pPr>
            <w:r w:rsidRPr="006F6BDA">
              <w:t>weight volume and dimension calculatio</w:t>
            </w:r>
            <w:r w:rsidRPr="006F6BDA">
              <w:t>ns</w:t>
            </w:r>
          </w:p>
          <w:p w:rsidR="00000000" w:rsidRPr="006F6BDA" w:rsidP="006F6BDA">
            <w:pPr>
              <w:pStyle w:val="ListBullet2"/>
            </w:pPr>
            <w:r w:rsidRPr="006F6BDA">
              <w:t>work condition class.</w:t>
            </w:r>
          </w:p>
        </w:tc>
      </w:tr>
    </w:tbl>
    <w:p w:rsidR="00000000" w:rsidRPr="006F6BDA" w:rsidP="006F6BDA">
      <w:pPr>
        <w:pStyle w:val="NoPaddingFontSize1"/>
      </w:pPr>
    </w:p>
    <w:p w:rsidR="00000000" w:rsidRPr="006F6BDA" w:rsidP="006F6BDA">
      <w:pPr>
        <w:pStyle w:val="AllowPageBreak"/>
      </w:pPr>
    </w:p>
    <w:p w:rsidR="00000000" w:rsidRPr="006F6BDA" w:rsidP="006F6BDA">
      <w:pPr>
        <w:pStyle w:val="Heading1"/>
      </w:pPr>
      <w:bookmarkStart w:id="14" w:name="O_1282583"/>
      <w:bookmarkEnd w:id="14"/>
      <w:r w:rsidRPr="006F6BD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B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BDA" w:rsidP="006F6BDA">
            <w:pPr>
              <w:pStyle w:val="BodyText"/>
            </w:pPr>
            <w:r w:rsidRPr="006F6BDA">
              <w:t>Assessors must hold credentials specified within the Standards for Registered Training Organisations current at the time of assessment.</w:t>
            </w:r>
          </w:p>
          <w:p w:rsidR="00000000" w:rsidRPr="006F6BDA" w:rsidP="006F6BDA">
            <w:pPr>
              <w:pStyle w:val="BodyText"/>
            </w:pPr>
            <w:r w:rsidRPr="006F6BDA">
              <w:t>Assessment must satisfy</w:t>
            </w:r>
            <w:r w:rsidRPr="006F6BDA">
              <w:t xml:space="preserve"> the Principles of Assessment and Rules of Evidence and all regulatory requirements included within the Standards for Registered Training Organisations current at the time of assessment.</w:t>
            </w:r>
          </w:p>
          <w:p w:rsidR="00000000" w:rsidRPr="006F6BDA" w:rsidP="006F6BDA">
            <w:pPr>
              <w:pStyle w:val="BodyText"/>
            </w:pPr>
            <w:r w:rsidRPr="006F6BDA">
              <w:t>Assessment must occur in workplace operational situations. Where this</w:t>
            </w:r>
            <w:r w:rsidRPr="006F6BDA">
              <w:t xml:space="preserve"> is not appropriate, assessment must occur in simulated workplace operational situations that reflect workplace conditions.</w:t>
            </w:r>
          </w:p>
          <w:p w:rsidR="00000000" w:rsidRPr="006F6BDA" w:rsidP="006F6BDA">
            <w:pPr>
              <w:pStyle w:val="BodyText"/>
            </w:pPr>
            <w:r w:rsidRPr="006F6BDA">
              <w:t>Assessment processes and techniques must be appropriate to the language, literacy and numeracy requirements of the work being perfor</w:t>
            </w:r>
            <w:r w:rsidRPr="006F6BDA">
              <w:t>med and the needs of the candidate.</w:t>
            </w:r>
          </w:p>
          <w:p w:rsidR="00000000" w:rsidRPr="006F6BDA" w:rsidP="006F6BDA">
            <w:pPr>
              <w:pStyle w:val="BodyText"/>
            </w:pPr>
            <w:r w:rsidRPr="006F6BDA">
              <w:t>Resources for assessment must include access to:</w:t>
            </w:r>
          </w:p>
          <w:p w:rsidR="00000000" w:rsidRPr="006F6BDA" w:rsidP="006F6BDA">
            <w:pPr>
              <w:pStyle w:val="ListBullet"/>
            </w:pPr>
            <w:r w:rsidRPr="006F6BDA">
              <w:t>a range of relevant exercises and case studies and/or simulations</w:t>
            </w:r>
          </w:p>
          <w:p w:rsidR="00000000" w:rsidRPr="006F6BDA" w:rsidP="006F6BDA">
            <w:pPr>
              <w:pStyle w:val="ListBullet"/>
            </w:pPr>
            <w:r w:rsidRPr="006F6BDA">
              <w:t>acceptable means of simulation assessment</w:t>
            </w:r>
          </w:p>
          <w:p w:rsidR="00000000" w:rsidRPr="006F6BDA" w:rsidP="006F6BDA">
            <w:pPr>
              <w:pStyle w:val="ListBullet"/>
            </w:pPr>
            <w:r w:rsidRPr="006F6BDA">
              <w:t>applicable documentation, including workplace procedures, regu</w:t>
            </w:r>
            <w:r w:rsidRPr="006F6BDA">
              <w:t xml:space="preserve">lations, codes of practice and operation manuals </w:t>
            </w:r>
          </w:p>
          <w:p w:rsidR="00000000" w:rsidRPr="006F6BDA" w:rsidP="006F6BDA">
            <w:pPr>
              <w:pStyle w:val="ListBullet"/>
            </w:pPr>
            <w:r w:rsidRPr="006F6BDA">
              <w:t>relevant materials, tools, equipment and PPE currently used in industry.</w:t>
            </w:r>
          </w:p>
        </w:tc>
      </w:tr>
    </w:tbl>
    <w:p w:rsidR="00000000" w:rsidRPr="006F6BDA" w:rsidP="006F6BDA">
      <w:pPr>
        <w:pStyle w:val="NoPaddingFontSize1"/>
      </w:pPr>
    </w:p>
    <w:p w:rsidR="00000000" w:rsidRPr="006F6BDA" w:rsidP="006F6BDA">
      <w:pPr>
        <w:pStyle w:val="AllowPageBreak"/>
      </w:pPr>
    </w:p>
    <w:p w:rsidR="00000000" w:rsidRPr="006F6BDA" w:rsidP="006F6BDA">
      <w:pPr>
        <w:pStyle w:val="Heading1"/>
      </w:pPr>
      <w:bookmarkStart w:id="15" w:name="O_1284102"/>
      <w:bookmarkEnd w:id="15"/>
      <w:r w:rsidRPr="006F6BDA">
        <w:t>Links</w:t>
      </w:r>
    </w:p>
    <w:p w:rsidR="00000000" w:rsidRPr="006F6BDA" w:rsidP="006D5736">
      <w:pPr>
        <w:pStyle w:val="BodyText"/>
      </w:pPr>
      <w:r w:rsidRPr="006F6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928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F6BDA" w:rsidP="006F6BDA"/>
    <w:sectPr w:rsidSect="006F6B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 w:rsidRPr="006D5736" w:rsidP="006D5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36" w:rsidP="006F6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736" w:rsidP="006F6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D5736" w:rsidP="006F6B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 w:rsidP="006F6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736">
      <w:t>Approved</w:t>
    </w:r>
    <w:r w:rsidR="006D5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7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736">
      <w:rPr>
        <w:noProof/>
      </w:rPr>
      <w:t>4</w:t>
    </w:r>
    <w:r>
      <w:rPr>
        <w:noProof/>
      </w:rPr>
      <w:fldChar w:fldCharType="end"/>
    </w:r>
  </w:p>
  <w:p w:rsidR="006F6BDA" w:rsidP="006F6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736">
      <w:t>Public Skills Australia</w:t>
    </w:r>
    <w:r w:rsidR="006D5736">
      <w:fldChar w:fldCharType="end"/>
    </w:r>
  </w:p>
  <w:p w:rsidR="006F6BDA" w:rsidP="006F6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BDA" w:rsidRPr="006D5736" w:rsidP="006D5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36" w:rsidRPr="002D2AF8" w:rsidP="006F6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DEFEXO005 Package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5736" w:rsidP="006F6B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BDA" w:rsidRPr="002D2AF8" w:rsidP="006F6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736">
      <w:t>DEFEXO005 Package explosives</w:t>
    </w:r>
    <w:r w:rsidR="006D5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736">
      <w:rPr>
        <w:noProof/>
      </w:rPr>
      <w:t>2 March 2025</w:t>
    </w:r>
    <w:r>
      <w:fldChar w:fldCharType="end"/>
    </w:r>
  </w:p>
  <w:p w:rsidR="006F6BDA" w:rsidP="006F6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EF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49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7688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BDA"/>
  </w:style>
  <w:style w:type="character" w:customStyle="1" w:styleId="Heading1Char">
    <w:name w:val="Heading 1 Char"/>
    <w:basedOn w:val="DefaultParagraphFont"/>
    <w:link w:val="Heading1"/>
    <w:rsid w:val="006F6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B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BDA"/>
    <w:rPr>
      <w:b/>
      <w:spacing w:val="0"/>
    </w:rPr>
  </w:style>
  <w:style w:type="paragraph" w:styleId="ListBullet2">
    <w:name w:val="List Bullet 2"/>
    <w:basedOn w:val="List2"/>
    <w:rsid w:val="006F6B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6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BDA"/>
    <w:rPr>
      <w:i/>
    </w:rPr>
  </w:style>
  <w:style w:type="paragraph" w:styleId="Caption">
    <w:name w:val="caption"/>
    <w:basedOn w:val="BodyText"/>
    <w:next w:val="Normal"/>
    <w:qFormat/>
    <w:rsid w:val="006F6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BDA"/>
  </w:style>
  <w:style w:type="paragraph" w:styleId="TableofFigures">
    <w:name w:val="table of figures"/>
    <w:basedOn w:val="Normal"/>
    <w:next w:val="Normal"/>
    <w:semiHidden/>
    <w:rsid w:val="006F6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B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BDA"/>
    <w:rPr>
      <w:rFonts w:ascii="Wingdings" w:hAnsi="Wingdings"/>
    </w:rPr>
  </w:style>
  <w:style w:type="paragraph" w:customStyle="1" w:styleId="TableHeading">
    <w:name w:val="Table Heading"/>
    <w:basedOn w:val="HeadingBase"/>
    <w:rsid w:val="006F6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BDA"/>
    <w:rPr>
      <w:color w:val="0033CC"/>
      <w:u w:val="none"/>
    </w:rPr>
  </w:style>
  <w:style w:type="paragraph" w:customStyle="1" w:styleId="BodyTextRight">
    <w:name w:val="Body Text Right"/>
    <w:basedOn w:val="BodyText"/>
    <w:rsid w:val="006F6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B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BDA"/>
    <w:rPr>
      <w:sz w:val="32"/>
    </w:rPr>
  </w:style>
  <w:style w:type="paragraph" w:customStyle="1" w:styleId="HeadingProcedure">
    <w:name w:val="Heading Procedure"/>
    <w:basedOn w:val="HeadingBase"/>
    <w:next w:val="Normal"/>
    <w:rsid w:val="006F6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BDA"/>
    <w:pPr>
      <w:spacing w:before="60" w:after="60"/>
    </w:pPr>
  </w:style>
  <w:style w:type="paragraph" w:styleId="ListContinue">
    <w:name w:val="List Continue"/>
    <w:basedOn w:val="List"/>
    <w:rsid w:val="006F6BDA"/>
    <w:pPr>
      <w:ind w:firstLine="0"/>
    </w:pPr>
  </w:style>
  <w:style w:type="paragraph" w:customStyle="1" w:styleId="ListNote">
    <w:name w:val="List Note"/>
    <w:basedOn w:val="List"/>
    <w:rsid w:val="006F6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BDA"/>
    <w:rPr>
      <w:rFonts w:ascii="Courier New" w:hAnsi="Courier New"/>
    </w:rPr>
  </w:style>
  <w:style w:type="paragraph" w:customStyle="1" w:styleId="NoteBullet">
    <w:name w:val="Note Bullet"/>
    <w:basedOn w:val="Note"/>
    <w:rsid w:val="006F6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B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BDA"/>
    <w:rPr>
      <w:b/>
      <w:smallCaps/>
    </w:rPr>
  </w:style>
  <w:style w:type="paragraph" w:customStyle="1" w:styleId="TableListNumber">
    <w:name w:val="Table List Number"/>
    <w:basedOn w:val="ListNumber"/>
    <w:rsid w:val="006F6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BDA"/>
    <w:pPr>
      <w:numPr>
        <w:numId w:val="9"/>
      </w:numPr>
    </w:pPr>
  </w:style>
  <w:style w:type="paragraph" w:customStyle="1" w:styleId="ListAlpha2">
    <w:name w:val="List Alpha 2"/>
    <w:basedOn w:val="List2"/>
    <w:rsid w:val="006F6BDA"/>
    <w:pPr>
      <w:numPr>
        <w:numId w:val="8"/>
      </w:numPr>
    </w:pPr>
  </w:style>
  <w:style w:type="paragraph" w:styleId="List2">
    <w:name w:val="List 2"/>
    <w:basedOn w:val="BodyText"/>
    <w:rsid w:val="006F6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B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B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BDA"/>
    <w:pPr>
      <w:numPr>
        <w:numId w:val="4"/>
      </w:numPr>
    </w:pPr>
  </w:style>
  <w:style w:type="paragraph" w:styleId="ListContinue2">
    <w:name w:val="List Continue 2"/>
    <w:basedOn w:val="List2"/>
    <w:rsid w:val="006F6BDA"/>
    <w:pPr>
      <w:ind w:firstLine="0"/>
    </w:pPr>
  </w:style>
  <w:style w:type="paragraph" w:styleId="ListContinue3">
    <w:name w:val="List Continue 3"/>
    <w:basedOn w:val="List3"/>
    <w:rsid w:val="006F6BDA"/>
    <w:pPr>
      <w:ind w:left="1021" w:firstLine="0"/>
    </w:pPr>
  </w:style>
  <w:style w:type="paragraph" w:styleId="ListContinue4">
    <w:name w:val="List Continue 4"/>
    <w:basedOn w:val="List4"/>
    <w:rsid w:val="006F6BDA"/>
    <w:pPr>
      <w:ind w:firstLine="0"/>
    </w:pPr>
  </w:style>
  <w:style w:type="paragraph" w:styleId="ListContinue5">
    <w:name w:val="List Continue 5"/>
    <w:basedOn w:val="List5"/>
    <w:rsid w:val="006F6BDA"/>
    <w:pPr>
      <w:ind w:firstLine="0"/>
    </w:pPr>
  </w:style>
  <w:style w:type="paragraph" w:styleId="ListNumber3">
    <w:name w:val="List Number 3"/>
    <w:basedOn w:val="List3"/>
    <w:rsid w:val="006F6BDA"/>
    <w:pPr>
      <w:numPr>
        <w:numId w:val="5"/>
      </w:numPr>
    </w:pPr>
  </w:style>
  <w:style w:type="paragraph" w:styleId="ListNumber4">
    <w:name w:val="List Number 4"/>
    <w:basedOn w:val="List4"/>
    <w:rsid w:val="006F6BDA"/>
    <w:pPr>
      <w:numPr>
        <w:numId w:val="6"/>
      </w:numPr>
    </w:pPr>
  </w:style>
  <w:style w:type="paragraph" w:styleId="ListNumber5">
    <w:name w:val="List Number 5"/>
    <w:basedOn w:val="List5"/>
    <w:rsid w:val="006F6BDA"/>
    <w:pPr>
      <w:numPr>
        <w:numId w:val="7"/>
      </w:numPr>
    </w:pPr>
  </w:style>
  <w:style w:type="paragraph" w:styleId="BlockText">
    <w:name w:val="Block Text"/>
    <w:basedOn w:val="Normal"/>
    <w:rsid w:val="006F6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BDA"/>
    <w:rPr>
      <w:sz w:val="16"/>
      <w:vertAlign w:val="superscript"/>
    </w:rPr>
  </w:style>
  <w:style w:type="character" w:customStyle="1" w:styleId="Symbols">
    <w:name w:val="Symbols"/>
    <w:basedOn w:val="DefaultParagraphFont"/>
    <w:rsid w:val="006F6BDA"/>
    <w:rPr>
      <w:rFonts w:ascii="Symbol" w:hAnsi="Symbol"/>
    </w:rPr>
  </w:style>
  <w:style w:type="character" w:customStyle="1" w:styleId="MenuOptions">
    <w:name w:val="Menu Options"/>
    <w:basedOn w:val="DefaultParagraphFont"/>
    <w:rsid w:val="006F6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BDA"/>
    <w:rPr>
      <w:b/>
    </w:rPr>
  </w:style>
  <w:style w:type="character" w:customStyle="1" w:styleId="Underlined">
    <w:name w:val="Underlined"/>
    <w:basedOn w:val="DefaultParagraphFont"/>
    <w:rsid w:val="006F6BDA"/>
    <w:rPr>
      <w:u w:val="single"/>
    </w:rPr>
  </w:style>
  <w:style w:type="paragraph" w:customStyle="1" w:styleId="TableBodyTextRight">
    <w:name w:val="Table Body Text Right"/>
    <w:basedOn w:val="TableBodyText"/>
    <w:rsid w:val="006F6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BDA"/>
    <w:rPr>
      <w:sz w:val="18"/>
    </w:rPr>
  </w:style>
  <w:style w:type="paragraph" w:customStyle="1" w:styleId="BodySmallRight">
    <w:name w:val="Body Small Right"/>
    <w:basedOn w:val="BodyTextRight"/>
    <w:rsid w:val="006F6BDA"/>
    <w:rPr>
      <w:sz w:val="18"/>
      <w:szCs w:val="18"/>
    </w:rPr>
  </w:style>
  <w:style w:type="paragraph" w:customStyle="1" w:styleId="MarginEdition">
    <w:name w:val="Margin Edition"/>
    <w:basedOn w:val="MarginNote"/>
    <w:rsid w:val="006F6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BDA"/>
    <w:rPr>
      <w:sz w:val="2"/>
      <w:szCs w:val="2"/>
    </w:rPr>
  </w:style>
  <w:style w:type="character" w:customStyle="1" w:styleId="Small">
    <w:name w:val="Small"/>
    <w:basedOn w:val="DefaultParagraphFont"/>
    <w:rsid w:val="006F6BDA"/>
    <w:rPr>
      <w:sz w:val="16"/>
    </w:rPr>
  </w:style>
  <w:style w:type="paragraph" w:customStyle="1" w:styleId="WideTable">
    <w:name w:val="Wide Table"/>
    <w:basedOn w:val="Normal"/>
    <w:rsid w:val="006F6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BDA"/>
  </w:style>
  <w:style w:type="paragraph" w:styleId="Quote">
    <w:name w:val="Quote"/>
    <w:basedOn w:val="Heading1"/>
    <w:link w:val="QuoteChar"/>
    <w:qFormat/>
    <w:rsid w:val="006F6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BDA"/>
    <w:pPr>
      <w:pageBreakBefore/>
    </w:pPr>
  </w:style>
  <w:style w:type="paragraph" w:customStyle="1" w:styleId="Border">
    <w:name w:val="Border"/>
    <w:basedOn w:val="Normal"/>
    <w:qFormat/>
    <w:rsid w:val="006F6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BDA"/>
    <w:rPr>
      <w:u w:val="single"/>
    </w:rPr>
  </w:style>
  <w:style w:type="character" w:customStyle="1" w:styleId="BoldandItalics">
    <w:name w:val="Bold and Italics"/>
    <w:qFormat/>
    <w:rsid w:val="006F6BDA"/>
    <w:rPr>
      <w:b/>
      <w:i/>
      <w:u w:val="none"/>
    </w:rPr>
  </w:style>
  <w:style w:type="paragraph" w:styleId="BalloonText">
    <w:name w:val="Balloon Text"/>
    <w:basedOn w:val="Normal"/>
    <w:link w:val="BalloonTextChar"/>
    <w:rsid w:val="006F6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BDA"/>
    <w:pPr>
      <w:spacing w:before="0" w:after="0"/>
    </w:pPr>
  </w:style>
  <w:style w:type="paragraph" w:customStyle="1" w:styleId="BodyTextBold">
    <w:name w:val="Body Text Bold"/>
    <w:basedOn w:val="BodyText"/>
    <w:qFormat/>
    <w:rsid w:val="006F6BDA"/>
    <w:rPr>
      <w:b/>
    </w:rPr>
  </w:style>
  <w:style w:type="character" w:styleId="Hyperlink">
    <w:name w:val="Hyperlink"/>
    <w:basedOn w:val="DefaultParagraphFont"/>
    <w:uiPriority w:val="99"/>
    <w:unhideWhenUsed/>
    <w:rsid w:val="006D5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5926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DEFEXO005 Package explosives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