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0728" w:rsidP="00E30728">
      <w:pPr>
        <w:pStyle w:val="Title"/>
      </w:pPr>
      <w:r>
        <w:fldChar w:fldCharType="begin"/>
      </w:r>
      <w:r>
        <w:instrText xml:space="preserve"> TITLE   \* MERGEFORMAT </w:instrText>
      </w:r>
      <w:r>
        <w:fldChar w:fldCharType="separate"/>
      </w:r>
      <w:r>
        <w:t>DEFEXO003 Establish and maintain the safety and security of explosive warehouses and workshops</w:t>
      </w:r>
      <w:r>
        <w:fldChar w:fldCharType="end"/>
      </w:r>
    </w:p>
    <w:p w:rsidR="00E30728" w:rsidP="00E30728">
      <w:pPr>
        <w:pStyle w:val="Version"/>
        <w:sectPr w:rsidSect="001A23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A237F" w:rsidP="001A237F">
      <w:pPr>
        <w:pStyle w:val="SuperHeading"/>
      </w:pPr>
      <w:r w:rsidRPr="001A237F">
        <w:t>DEFEXO003 Establish and maintain the safety and security of explosive warehouses and workshops</w:t>
      </w:r>
    </w:p>
    <w:p w:rsidR="00000000" w:rsidRPr="001A237F" w:rsidP="001A237F">
      <w:pPr>
        <w:pStyle w:val="Heading1"/>
      </w:pPr>
      <w:bookmarkStart w:id="1" w:name="O_1095859"/>
      <w:bookmarkEnd w:id="1"/>
      <w:r w:rsidRPr="001A237F">
        <w:t>Modification History</w:t>
      </w:r>
    </w:p>
    <w:tbl>
      <w:tblPr>
        <w:tblW w:w="9497" w:type="dxa"/>
        <w:tblLayout w:type="fixed"/>
        <w:tblCellMar>
          <w:left w:w="62" w:type="dxa"/>
          <w:right w:w="62" w:type="dxa"/>
        </w:tblCellMar>
        <w:tblLook w:val="0000"/>
      </w:tblPr>
      <w:tblGrid>
        <w:gridCol w:w="9497"/>
      </w:tblGrid>
      <w:tr w:rsidTr="001A23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A237F">
            <w:pPr>
              <w:pStyle w:val="BodyText"/>
              <w:rPr>
                <w:lang w:val="en-NZ"/>
              </w:rPr>
            </w:pPr>
            <w:r w:rsidRPr="001A237F">
              <w:t>Release 2. Modifications made to Foundation Skills and Assessment Conditions.</w:t>
            </w:r>
          </w:p>
        </w:tc>
      </w:tr>
      <w:tr w:rsidTr="001A23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237F" w:rsidP="001A237F">
            <w:pPr>
              <w:pStyle w:val="BodyText"/>
            </w:pPr>
            <w:r w:rsidRPr="001A237F">
              <w:t>Release 1. This unit was released in DEF Defence Training Package release 1.0 and meets the Standards for Training Packages.</w:t>
            </w:r>
          </w:p>
          <w:p w:rsidR="00000000" w:rsidRPr="001A237F" w:rsidP="001A237F">
            <w:pPr>
              <w:pStyle w:val="BodyText"/>
            </w:pPr>
            <w:r w:rsidRPr="001A237F">
              <w:t>This unit supersedes and is equivalent to DEFEO202D Establish and maintain the safety and security of explosive warehouses and work</w:t>
            </w:r>
            <w:r w:rsidRPr="001A237F">
              <w:t>shops.</w:t>
            </w:r>
          </w:p>
          <w:p w:rsidR="00000000" w:rsidRPr="001A237F" w:rsidP="001A237F">
            <w:pPr>
              <w:pStyle w:val="ListBullet"/>
            </w:pPr>
            <w:r w:rsidRPr="001A237F">
              <w:t>Unit code updated</w:t>
            </w:r>
          </w:p>
          <w:p w:rsidR="00000000" w:rsidRPr="001A237F" w:rsidP="001A237F">
            <w:pPr>
              <w:pStyle w:val="ListBullet"/>
            </w:pPr>
            <w:r w:rsidRPr="001A237F">
              <w:t>Content and formatting updated to comply with the new standards</w:t>
            </w:r>
          </w:p>
          <w:p w:rsidR="00000000" w:rsidRPr="001A237F" w:rsidP="001A237F">
            <w:pPr>
              <w:pStyle w:val="ListBullet"/>
            </w:pPr>
            <w:r w:rsidRPr="001A237F">
              <w:t>All PC transitioned from passive to active voice</w:t>
            </w:r>
          </w:p>
          <w:p w:rsidR="00000000" w:rsidRPr="001A237F" w:rsidP="001A237F">
            <w:pPr>
              <w:pStyle w:val="ListBullet"/>
            </w:pPr>
            <w:r w:rsidRPr="001A237F">
              <w:t>Element 1 &amp; 2 merged</w:t>
            </w:r>
          </w:p>
          <w:p w:rsidR="00000000" w:rsidRPr="001A237F" w:rsidP="001A237F">
            <w:pPr>
              <w:pStyle w:val="ListBullet"/>
            </w:pPr>
            <w:r w:rsidRPr="001A237F">
              <w:t>PC 1.2 removed</w:t>
            </w:r>
          </w:p>
          <w:p w:rsidR="00000000" w:rsidRPr="001A237F" w:rsidP="001A237F">
            <w:pPr>
              <w:pStyle w:val="ListBullet"/>
            </w:pPr>
            <w:r w:rsidRPr="001A237F">
              <w:t>PC 2.1 &amp; 2.2 merged</w:t>
            </w:r>
          </w:p>
        </w:tc>
      </w:tr>
    </w:tbl>
    <w:p w:rsidR="00E30728" w:rsidP="001A237F">
      <w:pPr>
        <w:pStyle w:val="NoPaddingFontSize1"/>
      </w:pPr>
    </w:p>
    <w:p w:rsidR="00E30728" w:rsidP="001A237F">
      <w:pPr>
        <w:pStyle w:val="NoPaddingFontSize1"/>
      </w:pPr>
    </w:p>
    <w:p w:rsidR="00000000" w:rsidRPr="001A237F" w:rsidP="001A237F">
      <w:pPr>
        <w:pStyle w:val="Heading1"/>
      </w:pPr>
      <w:bookmarkStart w:id="2" w:name="O_1095858"/>
      <w:bookmarkEnd w:id="2"/>
      <w:r w:rsidRPr="001A237F">
        <w:t>Application</w:t>
      </w:r>
    </w:p>
    <w:tbl>
      <w:tblPr>
        <w:tblW w:w="9497" w:type="dxa"/>
        <w:tblLayout w:type="fixed"/>
        <w:tblCellMar>
          <w:left w:w="62" w:type="dxa"/>
          <w:right w:w="62" w:type="dxa"/>
        </w:tblCellMar>
        <w:tblLook w:val="0000"/>
      </w:tblPr>
      <w:tblGrid>
        <w:gridCol w:w="9497"/>
      </w:tblGrid>
      <w:tr w:rsidTr="001A23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237F" w:rsidP="001A237F">
            <w:pPr>
              <w:pStyle w:val="BodyText"/>
            </w:pPr>
            <w:r w:rsidRPr="001A237F">
              <w:t>This unit describes the skills required to enter and exit an ammunition/explosive ordnance storage area or facility in a remote or home base area. It includes the requirements to ensure that safety standards are applied and that security is maintained duri</w:t>
            </w:r>
            <w:r w:rsidRPr="001A237F">
              <w:t>ng the conduct of tasks within the facility.</w:t>
            </w:r>
          </w:p>
          <w:p w:rsidR="00000000" w:rsidRPr="001A237F" w:rsidP="001A237F">
            <w:pPr>
              <w:pStyle w:val="BodyText"/>
            </w:pPr>
            <w:r w:rsidRPr="001A237F">
              <w:t xml:space="preserve">This unit applies to those required to enter, carry out tasks in and exit an ammunition/explosive ordnance storage area or facility in a remote or home base area; and is required to maintain safety and security </w:t>
            </w:r>
            <w:r w:rsidRPr="001A237F">
              <w:t>during entry, operations and exit.</w:t>
            </w:r>
          </w:p>
          <w:p w:rsidR="00000000" w:rsidRPr="001A237F" w:rsidP="001A237F">
            <w:pPr>
              <w:pStyle w:val="BodyText"/>
            </w:pPr>
            <w:r w:rsidRPr="001A237F">
              <w:t>The skills and knowledge described in this unit must be applied within the legislative, regulatory and policy environment in which they are carried out. Organisational policies and procedures must be consulted and adhered</w:t>
            </w:r>
            <w:r w:rsidRPr="001A237F">
              <w:t xml:space="preserve"> to.</w:t>
            </w:r>
          </w:p>
          <w:p w:rsidR="00000000" w:rsidRPr="001A237F" w:rsidP="001A237F">
            <w:pPr>
              <w:pStyle w:val="BodyText"/>
            </w:pPr>
            <w:r w:rsidRPr="001A237F">
              <w:t>Those undertaking this unit would work independently and as part of a team, under direct and/or indirect supervision, use discretion and judgement, and take responsibility for the quality of their output. They would perform specific tasks in a limited</w:t>
            </w:r>
            <w:r w:rsidRPr="001A237F">
              <w:t xml:space="preserve"> range of contexts.</w:t>
            </w:r>
          </w:p>
          <w:p w:rsidR="00000000" w:rsidRPr="001A237F" w:rsidP="001A237F">
            <w:pPr>
              <w:pStyle w:val="BodyText"/>
            </w:pPr>
            <w:r w:rsidRPr="001A237F">
              <w:t>No licensing, legislative or certification requirements apply to unit at the time of publication.</w:t>
            </w:r>
          </w:p>
        </w:tc>
      </w:tr>
    </w:tbl>
    <w:p w:rsidR="00E30728" w:rsidP="001A237F">
      <w:pPr>
        <w:pStyle w:val="NoPaddingFontSize1"/>
      </w:pPr>
    </w:p>
    <w:p w:rsidR="00E30728" w:rsidP="001A237F">
      <w:pPr>
        <w:pStyle w:val="NoPaddingFontSize1"/>
      </w:pPr>
    </w:p>
    <w:p w:rsidR="00000000" w:rsidRPr="001A237F" w:rsidP="001A237F">
      <w:pPr>
        <w:pStyle w:val="Heading1"/>
      </w:pPr>
      <w:bookmarkStart w:id="3" w:name="O_1100661"/>
      <w:bookmarkEnd w:id="3"/>
      <w:r w:rsidRPr="001A237F">
        <w:t>Pre-requisite Unit</w:t>
      </w:r>
    </w:p>
    <w:tbl>
      <w:tblPr>
        <w:tblW w:w="9497" w:type="dxa"/>
        <w:tblLayout w:type="fixed"/>
        <w:tblCellMar>
          <w:left w:w="62" w:type="dxa"/>
          <w:right w:w="62" w:type="dxa"/>
        </w:tblCellMar>
        <w:tblLook w:val="0000"/>
      </w:tblPr>
      <w:tblGrid>
        <w:gridCol w:w="9497"/>
      </w:tblGrid>
      <w:tr w:rsidTr="001A23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237F" w:rsidP="001A237F">
            <w:pPr>
              <w:pStyle w:val="BodyText"/>
            </w:pPr>
            <w:r w:rsidRPr="001A237F">
              <w:t>Not applicable.</w:t>
            </w:r>
          </w:p>
        </w:tc>
      </w:tr>
    </w:tbl>
    <w:p w:rsidR="00E30728" w:rsidP="001A237F">
      <w:pPr>
        <w:pStyle w:val="NoPaddingFontSize1"/>
      </w:pPr>
    </w:p>
    <w:p w:rsidR="00E30728" w:rsidP="001A237F">
      <w:pPr>
        <w:pStyle w:val="NoPaddingFontSize1"/>
      </w:pPr>
    </w:p>
    <w:p w:rsidR="00000000" w:rsidRPr="001A237F" w:rsidP="001A237F">
      <w:pPr>
        <w:pStyle w:val="Heading1"/>
      </w:pPr>
      <w:bookmarkStart w:id="4" w:name="O_1095857"/>
      <w:bookmarkEnd w:id="4"/>
      <w:r w:rsidRPr="001A237F">
        <w:t>Competency Field</w:t>
      </w:r>
    </w:p>
    <w:tbl>
      <w:tblPr>
        <w:tblW w:w="9497" w:type="dxa"/>
        <w:tblLayout w:type="fixed"/>
        <w:tblCellMar>
          <w:left w:w="62" w:type="dxa"/>
          <w:right w:w="62" w:type="dxa"/>
        </w:tblCellMar>
        <w:tblLook w:val="0000"/>
      </w:tblPr>
      <w:tblGrid>
        <w:gridCol w:w="9497"/>
      </w:tblGrid>
      <w:tr w:rsidTr="001A23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237F" w:rsidP="001A237F">
            <w:pPr>
              <w:pStyle w:val="BodyText"/>
            </w:pPr>
            <w:r w:rsidRPr="001A237F">
              <w:t>Explosive Ordnance</w:t>
            </w:r>
          </w:p>
        </w:tc>
      </w:tr>
    </w:tbl>
    <w:p w:rsidR="00E30728" w:rsidP="001A237F">
      <w:pPr>
        <w:pStyle w:val="NoPaddingFontSize1"/>
      </w:pPr>
    </w:p>
    <w:p w:rsidR="00E30728" w:rsidP="001A237F">
      <w:pPr>
        <w:pStyle w:val="NoPaddingFontSize1"/>
      </w:pPr>
    </w:p>
    <w:p w:rsidR="00000000" w:rsidRPr="001A237F" w:rsidP="001A237F">
      <w:pPr>
        <w:pStyle w:val="Heading1"/>
      </w:pPr>
      <w:bookmarkStart w:id="5" w:name="O_1100662"/>
      <w:bookmarkEnd w:id="5"/>
      <w:r w:rsidRPr="001A237F">
        <w:t>Unit Sector</w:t>
      </w:r>
    </w:p>
    <w:tbl>
      <w:tblPr>
        <w:tblW w:w="9497" w:type="dxa"/>
        <w:tblLayout w:type="fixed"/>
        <w:tblCellMar>
          <w:left w:w="62" w:type="dxa"/>
          <w:right w:w="62" w:type="dxa"/>
        </w:tblCellMar>
        <w:tblLook w:val="0000"/>
      </w:tblPr>
      <w:tblGrid>
        <w:gridCol w:w="9497"/>
      </w:tblGrid>
      <w:tr w:rsidTr="001A23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237F" w:rsidP="001A237F">
            <w:pPr>
              <w:pStyle w:val="BodyText"/>
            </w:pPr>
            <w:r w:rsidRPr="001A237F">
              <w:t>Not applicable.</w:t>
            </w:r>
          </w:p>
        </w:tc>
      </w:tr>
    </w:tbl>
    <w:p w:rsidR="00E30728" w:rsidP="001A237F">
      <w:pPr>
        <w:pStyle w:val="NoPaddingFontSize1"/>
      </w:pPr>
    </w:p>
    <w:p w:rsidR="00E30728" w:rsidP="001A237F">
      <w:pPr>
        <w:pStyle w:val="NoPaddingFontSize1"/>
      </w:pPr>
    </w:p>
    <w:p w:rsidR="00000000" w:rsidRPr="001A237F" w:rsidP="001A237F">
      <w:pPr>
        <w:pStyle w:val="Heading1"/>
      </w:pPr>
      <w:bookmarkStart w:id="6" w:name="O_1095856"/>
      <w:bookmarkEnd w:id="6"/>
      <w:r w:rsidRPr="001A237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A237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A237F" w:rsidP="001A237F">
            <w:pPr>
              <w:pStyle w:val="BodyText"/>
            </w:pPr>
            <w:r w:rsidRPr="001A237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A237F">
            <w:pPr>
              <w:pStyle w:val="BodyText"/>
              <w:rPr>
                <w:lang w:val="en-NZ"/>
              </w:rPr>
            </w:pPr>
            <w:r w:rsidRPr="001A237F">
              <w:rPr>
                <w:rStyle w:val="SpecialBold"/>
              </w:rPr>
              <w:t>PERFORMANCE CRITERIA</w:t>
            </w:r>
          </w:p>
        </w:tc>
      </w:tr>
      <w:tr w:rsidTr="001A237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A237F">
            <w:pPr>
              <w:pStyle w:val="BodyText"/>
              <w:rPr>
                <w:lang w:val="en-NZ"/>
              </w:rPr>
            </w:pPr>
            <w:r w:rsidRPr="001A237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A237F">
            <w:pPr>
              <w:pStyle w:val="BodyText"/>
              <w:rPr>
                <w:lang w:val="en-NZ"/>
              </w:rPr>
            </w:pPr>
            <w:r w:rsidRPr="001A237F">
              <w:t>Performance criteria describe the performance needed to demonstrate achievement of the element.</w:t>
            </w:r>
          </w:p>
        </w:tc>
      </w:tr>
      <w:tr w:rsidTr="001A237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A237F" w:rsidP="001A237F">
            <w:pPr>
              <w:pStyle w:val="BodyText"/>
            </w:pPr>
            <w:r w:rsidRPr="001A237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A237F" w:rsidP="001A237F">
            <w:pPr>
              <w:pStyle w:val="BodyText"/>
            </w:pPr>
            <w:r w:rsidRPr="001A237F">
              <w:rPr>
                <w:rStyle w:val="SpecialBold"/>
              </w:rPr>
              <w:t>Prepare for and enter safely</w:t>
            </w:r>
          </w:p>
        </w:tc>
        <w:tc>
          <w:tcPr>
            <w:tcW w:w="697" w:type="dxa"/>
            <w:tcBorders>
              <w:top w:val="nil"/>
              <w:left w:val="nil"/>
              <w:bottom w:val="nil"/>
              <w:right w:val="nil"/>
            </w:tcBorders>
            <w:tcMar>
              <w:top w:w="0" w:type="dxa"/>
              <w:left w:w="62" w:type="dxa"/>
              <w:bottom w:w="0" w:type="dxa"/>
              <w:right w:w="62" w:type="dxa"/>
            </w:tcMar>
          </w:tcPr>
          <w:p w:rsidR="00000000" w:rsidP="001A237F">
            <w:pPr>
              <w:pStyle w:val="BodyText"/>
              <w:rPr>
                <w:lang w:val="en-NZ"/>
              </w:rPr>
            </w:pPr>
            <w:r w:rsidRPr="001A237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A237F">
            <w:pPr>
              <w:pStyle w:val="BodyText"/>
              <w:rPr>
                <w:lang w:val="en-NZ"/>
              </w:rPr>
            </w:pPr>
            <w:r w:rsidRPr="001A237F">
              <w:t>Identify, and confirm requirement to enter an explosive ordnance storage area/facility</w:t>
            </w:r>
          </w:p>
        </w:tc>
      </w:tr>
      <w:tr w:rsidTr="001A237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A23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237F">
            <w:pPr>
              <w:pStyle w:val="BodyText"/>
              <w:rPr>
                <w:lang w:val="en-NZ"/>
              </w:rPr>
            </w:pPr>
            <w:r w:rsidRPr="001A237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A237F">
            <w:pPr>
              <w:pStyle w:val="BodyText"/>
              <w:rPr>
                <w:lang w:val="en-NZ"/>
              </w:rPr>
            </w:pPr>
            <w:r w:rsidRPr="001A237F">
              <w:t>Conduct security and safety inspections and tests</w:t>
            </w:r>
          </w:p>
        </w:tc>
      </w:tr>
      <w:tr w:rsidTr="001A237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A23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237F">
            <w:pPr>
              <w:pStyle w:val="BodyText"/>
              <w:rPr>
                <w:lang w:val="en-NZ"/>
              </w:rPr>
            </w:pPr>
            <w:r w:rsidRPr="001A237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A237F">
            <w:pPr>
              <w:pStyle w:val="BodyText"/>
              <w:rPr>
                <w:lang w:val="en-NZ"/>
              </w:rPr>
            </w:pPr>
            <w:r w:rsidRPr="001A237F">
              <w:t>Open and vent facility and safely enter</w:t>
            </w:r>
          </w:p>
        </w:tc>
      </w:tr>
      <w:tr w:rsidTr="001A237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A237F" w:rsidP="001A237F">
            <w:pPr>
              <w:pStyle w:val="BodyText"/>
            </w:pPr>
            <w:r w:rsidRPr="001A237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A237F" w:rsidP="001A237F">
            <w:pPr>
              <w:pStyle w:val="BodyText"/>
            </w:pPr>
            <w:r w:rsidRPr="001A237F">
              <w:rPr>
                <w:rStyle w:val="SpecialBold"/>
              </w:rPr>
              <w:t>Maintain safety during operations and exit of facility</w:t>
            </w:r>
          </w:p>
        </w:tc>
        <w:tc>
          <w:tcPr>
            <w:tcW w:w="697" w:type="dxa"/>
            <w:tcBorders>
              <w:top w:val="nil"/>
              <w:left w:val="nil"/>
              <w:bottom w:val="nil"/>
              <w:right w:val="nil"/>
            </w:tcBorders>
            <w:tcMar>
              <w:top w:w="0" w:type="dxa"/>
              <w:left w:w="62" w:type="dxa"/>
              <w:bottom w:w="0" w:type="dxa"/>
              <w:right w:w="62" w:type="dxa"/>
            </w:tcMar>
          </w:tcPr>
          <w:p w:rsidR="00000000" w:rsidP="001A237F">
            <w:pPr>
              <w:pStyle w:val="BodyText"/>
              <w:rPr>
                <w:lang w:val="en-NZ"/>
              </w:rPr>
            </w:pPr>
            <w:r w:rsidRPr="001A237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A237F">
            <w:pPr>
              <w:pStyle w:val="BodyText"/>
              <w:rPr>
                <w:lang w:val="en-NZ"/>
              </w:rPr>
            </w:pPr>
            <w:r w:rsidRPr="001A237F">
              <w:t>Identify and calculate net explosive quantity and compatibility and monitor throughout the operation</w:t>
            </w:r>
          </w:p>
        </w:tc>
      </w:tr>
      <w:tr w:rsidTr="001A237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A23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237F">
            <w:pPr>
              <w:pStyle w:val="BodyText"/>
              <w:rPr>
                <w:lang w:val="en-NZ"/>
              </w:rPr>
            </w:pPr>
            <w:r w:rsidRPr="001A237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A237F">
            <w:pPr>
              <w:pStyle w:val="BodyText"/>
              <w:rPr>
                <w:lang w:val="en-NZ"/>
              </w:rPr>
            </w:pPr>
            <w:r w:rsidRPr="001A237F">
              <w:t>Conduct housekeeping and report maintenance needs</w:t>
            </w:r>
          </w:p>
        </w:tc>
      </w:tr>
      <w:tr w:rsidTr="001A237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A23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237F">
            <w:pPr>
              <w:pStyle w:val="BodyText"/>
              <w:rPr>
                <w:lang w:val="en-NZ"/>
              </w:rPr>
            </w:pPr>
            <w:r w:rsidRPr="001A237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A237F">
            <w:pPr>
              <w:pStyle w:val="BodyText"/>
              <w:rPr>
                <w:lang w:val="en-NZ"/>
              </w:rPr>
            </w:pPr>
            <w:r w:rsidRPr="001A237F">
              <w:t>Update and maintain records</w:t>
            </w:r>
          </w:p>
        </w:tc>
      </w:tr>
      <w:tr w:rsidTr="001A237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A23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237F">
            <w:pPr>
              <w:pStyle w:val="BodyText"/>
              <w:rPr>
                <w:lang w:val="en-NZ"/>
              </w:rPr>
            </w:pPr>
            <w:r w:rsidRPr="001A237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RPr="001A237F" w:rsidP="001A237F">
            <w:pPr>
              <w:pStyle w:val="BodyText"/>
            </w:pPr>
            <w:r w:rsidRPr="001A237F">
              <w:t>Exit safely and secure facility</w:t>
            </w:r>
          </w:p>
        </w:tc>
      </w:tr>
    </w:tbl>
    <w:p w:rsidR="00E30728" w:rsidP="001A237F">
      <w:pPr>
        <w:pStyle w:val="NoPaddingFontSize1"/>
      </w:pPr>
    </w:p>
    <w:p w:rsidR="00E30728" w:rsidP="001A237F">
      <w:pPr>
        <w:pStyle w:val="NoPaddingFontSize1"/>
      </w:pPr>
    </w:p>
    <w:p w:rsidR="00000000" w:rsidRPr="001A237F" w:rsidP="001A237F">
      <w:pPr>
        <w:pStyle w:val="Heading1"/>
      </w:pPr>
      <w:bookmarkStart w:id="7" w:name="O_1095855"/>
      <w:bookmarkEnd w:id="7"/>
      <w:r w:rsidRPr="001A237F">
        <w:t>Foundation Skills</w:t>
      </w:r>
    </w:p>
    <w:tbl>
      <w:tblPr>
        <w:tblW w:w="9497" w:type="dxa"/>
        <w:tblLayout w:type="fixed"/>
        <w:tblCellMar>
          <w:left w:w="62" w:type="dxa"/>
          <w:right w:w="62" w:type="dxa"/>
        </w:tblCellMar>
        <w:tblLook w:val="0000"/>
      </w:tblPr>
      <w:tblGrid>
        <w:gridCol w:w="9497"/>
      </w:tblGrid>
      <w:tr w:rsidTr="001A23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237F" w:rsidP="001A237F">
            <w:pPr>
              <w:pStyle w:val="BodyText"/>
            </w:pPr>
            <w:r w:rsidRPr="001A237F">
              <w:t>Foundation skills essential to performance are explicit in the performance criteria of this unit of competency.</w:t>
            </w:r>
          </w:p>
        </w:tc>
      </w:tr>
    </w:tbl>
    <w:p w:rsidR="00E30728" w:rsidP="001A237F">
      <w:pPr>
        <w:pStyle w:val="NoPaddingFontSize1"/>
      </w:pPr>
    </w:p>
    <w:p w:rsidR="00E30728" w:rsidP="001A237F">
      <w:pPr>
        <w:pStyle w:val="NoPaddingFontSize1"/>
      </w:pPr>
    </w:p>
    <w:p w:rsidR="00000000" w:rsidRPr="001A237F" w:rsidP="001A237F">
      <w:pPr>
        <w:pStyle w:val="Heading1"/>
      </w:pPr>
      <w:bookmarkStart w:id="8" w:name="O_1100663"/>
      <w:bookmarkEnd w:id="8"/>
      <w:r w:rsidRPr="001A237F">
        <w:t>Range of Conditions</w:t>
      </w:r>
    </w:p>
    <w:tbl>
      <w:tblPr>
        <w:tblW w:w="9497" w:type="dxa"/>
        <w:tblLayout w:type="fixed"/>
        <w:tblCellMar>
          <w:left w:w="62" w:type="dxa"/>
          <w:right w:w="62" w:type="dxa"/>
        </w:tblCellMar>
        <w:tblLook w:val="0000"/>
      </w:tblPr>
      <w:tblGrid>
        <w:gridCol w:w="9497"/>
      </w:tblGrid>
      <w:tr w:rsidTr="001A23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237F" w:rsidP="001A237F">
            <w:pPr>
              <w:pStyle w:val="BodyText"/>
            </w:pPr>
            <w:r w:rsidRPr="001A237F">
              <w:t>Range is restricted to essential operating conditions and any other variables essential to the work environment.</w:t>
            </w:r>
          </w:p>
          <w:p w:rsidR="00000000" w:rsidRPr="001A237F" w:rsidP="001A237F">
            <w:pPr>
              <w:pStyle w:val="BodyText"/>
            </w:pPr>
            <w:r w:rsidRPr="001A237F">
              <w:t>Non-essential conditions may be found in the Companion Volume Implementation Guide.</w:t>
            </w:r>
          </w:p>
        </w:tc>
      </w:tr>
    </w:tbl>
    <w:p w:rsidR="00E30728" w:rsidP="001A237F">
      <w:pPr>
        <w:pStyle w:val="NoPaddingFontSize1"/>
      </w:pPr>
    </w:p>
    <w:p w:rsidR="00E30728" w:rsidP="001A237F">
      <w:pPr>
        <w:pStyle w:val="NoPaddingFontSize1"/>
      </w:pPr>
    </w:p>
    <w:p w:rsidR="00000000" w:rsidRPr="001A237F" w:rsidP="001A237F">
      <w:pPr>
        <w:pStyle w:val="Heading1"/>
      </w:pPr>
      <w:bookmarkStart w:id="9" w:name="O_1095854"/>
      <w:bookmarkEnd w:id="9"/>
      <w:r w:rsidRPr="001A237F">
        <w:t>Unit Mapping Information</w:t>
      </w:r>
    </w:p>
    <w:tbl>
      <w:tblPr>
        <w:tblW w:w="9497" w:type="dxa"/>
        <w:tblLayout w:type="fixed"/>
        <w:tblCellMar>
          <w:left w:w="62" w:type="dxa"/>
          <w:right w:w="62" w:type="dxa"/>
        </w:tblCellMar>
        <w:tblLook w:val="0000"/>
      </w:tblPr>
      <w:tblGrid>
        <w:gridCol w:w="9497"/>
      </w:tblGrid>
      <w:tr w:rsidTr="001A23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237F" w:rsidP="001A237F">
            <w:pPr>
              <w:pStyle w:val="BodyText"/>
            </w:pPr>
            <w:r w:rsidRPr="001A237F">
              <w:t>This unit supersedes and is equivalent to DEFEO202D Establish and maintain the safety and security of explosive warehouses and workshops.</w:t>
            </w:r>
          </w:p>
        </w:tc>
      </w:tr>
    </w:tbl>
    <w:p w:rsidR="00E30728" w:rsidP="001A237F">
      <w:pPr>
        <w:pStyle w:val="NoPaddingFontSize1"/>
      </w:pPr>
    </w:p>
    <w:p w:rsidR="00E30728" w:rsidP="001A237F">
      <w:pPr>
        <w:pStyle w:val="NoPaddingFontSize1"/>
      </w:pPr>
    </w:p>
    <w:p w:rsidR="00000000" w:rsidRPr="001A237F" w:rsidP="001A237F">
      <w:pPr>
        <w:pStyle w:val="Heading1"/>
      </w:pPr>
      <w:bookmarkStart w:id="10" w:name="O_1095860"/>
      <w:bookmarkEnd w:id="10"/>
      <w:r w:rsidRPr="001A237F">
        <w:t>Links</w:t>
      </w:r>
    </w:p>
    <w:p w:rsidR="00000000" w:rsidRPr="001A237F" w:rsidP="00E30728">
      <w:pPr>
        <w:pStyle w:val="BodyText"/>
      </w:pPr>
      <w:r w:rsidRPr="001A237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212A2">
        <w:rPr>
          <w:rStyle w:val="Hyperlink"/>
        </w:rPr>
        <w:t>https://vetnet.gov.au/Pages/TrainingDocs.aspx?q=6bdbab1e-11ed-4bc9-9cba-9e1a55d4e4a9</w:t>
      </w:r>
      <w:r>
        <w:fldChar w:fldCharType="end"/>
      </w:r>
    </w:p>
    <w:p w:rsidR="00000000" w:rsidRPr="001A237F" w:rsidP="00E30728">
      <w:pPr>
        <w:pStyle w:val="BodyText"/>
        <w:sectPr w:rsidSect="001A237F">
          <w:headerReference w:type="default" r:id="rId10"/>
          <w:footerReference w:type="default" r:id="rId11"/>
          <w:pgSz w:w="11908" w:h="16833"/>
          <w:pgMar w:top="1702" w:right="1418" w:bottom="1702" w:left="1418" w:header="992" w:footer="992" w:gutter="0"/>
          <w:cols w:space="720"/>
          <w:noEndnote/>
          <w:docGrid w:linePitch="299"/>
        </w:sectPr>
      </w:pPr>
    </w:p>
    <w:p w:rsidR="00000000" w:rsidRPr="001A237F" w:rsidP="001A237F">
      <w:pPr>
        <w:pStyle w:val="SuperHeading"/>
      </w:pPr>
      <w:r w:rsidRPr="001A237F">
        <w:t>Assessment Requirements for DEFEXO003 Establish and maintain the safety and security of explosive warehouses and workshops</w:t>
      </w:r>
    </w:p>
    <w:p w:rsidR="00000000" w:rsidRPr="001A237F" w:rsidP="001A237F">
      <w:pPr>
        <w:pStyle w:val="Heading1"/>
      </w:pPr>
      <w:bookmarkStart w:id="11" w:name="O_1095852"/>
      <w:bookmarkEnd w:id="11"/>
      <w:r w:rsidRPr="001A237F">
        <w:t>Modification</w:t>
      </w:r>
      <w:r w:rsidRPr="001A237F">
        <w:t xml:space="preserve"> History</w:t>
      </w:r>
    </w:p>
    <w:tbl>
      <w:tblPr>
        <w:tblW w:w="9497" w:type="dxa"/>
        <w:tblLayout w:type="fixed"/>
        <w:tblCellMar>
          <w:left w:w="62" w:type="dxa"/>
          <w:right w:w="62" w:type="dxa"/>
        </w:tblCellMar>
        <w:tblLook w:val="0000"/>
      </w:tblPr>
      <w:tblGrid>
        <w:gridCol w:w="9497"/>
      </w:tblGrid>
      <w:tr w:rsidTr="001A23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A237F">
            <w:pPr>
              <w:pStyle w:val="BodyText"/>
              <w:rPr>
                <w:lang w:val="en-NZ"/>
              </w:rPr>
            </w:pPr>
            <w:r w:rsidRPr="001A237F">
              <w:t>Release 2. Modifications made to Foundation Skills and Assessment Conditions.</w:t>
            </w:r>
          </w:p>
        </w:tc>
      </w:tr>
      <w:tr w:rsidTr="001A23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237F" w:rsidP="001A237F">
            <w:pPr>
              <w:pStyle w:val="BodyText"/>
            </w:pPr>
            <w:r w:rsidRPr="001A237F">
              <w:t>Release 1. This unit was released in DEF Defence Training Package release 1.0 and meets the Standards for Training Packages.</w:t>
            </w:r>
          </w:p>
          <w:p w:rsidR="00000000" w:rsidRPr="001A237F" w:rsidP="001A237F">
            <w:pPr>
              <w:pStyle w:val="BodyText"/>
            </w:pPr>
            <w:r w:rsidRPr="001A237F">
              <w:t>This unit supersedes and is equivalent to DEFEO202D Establish and maintain the safety and security of explosive warehouses and workshops.</w:t>
            </w:r>
          </w:p>
          <w:p w:rsidR="00000000" w:rsidRPr="001A237F" w:rsidP="001A237F">
            <w:pPr>
              <w:pStyle w:val="ListBullet"/>
            </w:pPr>
            <w:r w:rsidRPr="001A237F">
              <w:t>Unit code updated</w:t>
            </w:r>
          </w:p>
          <w:p w:rsidR="00000000" w:rsidRPr="001A237F" w:rsidP="001A237F">
            <w:pPr>
              <w:pStyle w:val="ListBullet"/>
            </w:pPr>
            <w:r w:rsidRPr="001A237F">
              <w:t>Content and formatting updated to comply with the new standards</w:t>
            </w:r>
          </w:p>
          <w:p w:rsidR="00000000" w:rsidRPr="001A237F" w:rsidP="001A237F">
            <w:pPr>
              <w:pStyle w:val="ListBullet"/>
            </w:pPr>
            <w:r w:rsidRPr="001A237F">
              <w:t>All PC transitioned from passive to</w:t>
            </w:r>
            <w:r w:rsidRPr="001A237F">
              <w:t xml:space="preserve"> active voice</w:t>
            </w:r>
          </w:p>
          <w:p w:rsidR="00000000" w:rsidRPr="001A237F" w:rsidP="001A237F">
            <w:pPr>
              <w:pStyle w:val="ListBullet"/>
            </w:pPr>
            <w:r w:rsidRPr="001A237F">
              <w:t>Element 1 &amp; 2 merged</w:t>
            </w:r>
          </w:p>
          <w:p w:rsidR="00000000" w:rsidRPr="001A237F" w:rsidP="001A237F">
            <w:pPr>
              <w:pStyle w:val="ListBullet"/>
            </w:pPr>
            <w:r w:rsidRPr="001A237F">
              <w:t>PC 1.2 removed</w:t>
            </w:r>
          </w:p>
          <w:p w:rsidR="00000000" w:rsidRPr="001A237F" w:rsidP="001A237F">
            <w:pPr>
              <w:pStyle w:val="ListBullet"/>
            </w:pPr>
            <w:r w:rsidRPr="001A237F">
              <w:t>PC 2.1 &amp; 2.2 merged</w:t>
            </w:r>
          </w:p>
        </w:tc>
      </w:tr>
    </w:tbl>
    <w:p w:rsidR="00E30728" w:rsidP="001A237F">
      <w:pPr>
        <w:pStyle w:val="NoPaddingFontSize1"/>
      </w:pPr>
    </w:p>
    <w:p w:rsidR="00E30728" w:rsidP="001A237F">
      <w:pPr>
        <w:pStyle w:val="NoPaddingFontSize1"/>
      </w:pPr>
    </w:p>
    <w:p w:rsidR="00000000" w:rsidRPr="001A237F" w:rsidP="001A237F">
      <w:pPr>
        <w:pStyle w:val="Heading1"/>
      </w:pPr>
      <w:bookmarkStart w:id="12" w:name="O_1095851"/>
      <w:bookmarkEnd w:id="12"/>
      <w:r w:rsidRPr="001A237F">
        <w:t>Performance Evidence</w:t>
      </w:r>
    </w:p>
    <w:tbl>
      <w:tblPr>
        <w:tblW w:w="9497" w:type="dxa"/>
        <w:tblLayout w:type="fixed"/>
        <w:tblCellMar>
          <w:left w:w="62" w:type="dxa"/>
          <w:right w:w="62" w:type="dxa"/>
        </w:tblCellMar>
        <w:tblLook w:val="0000"/>
      </w:tblPr>
      <w:tblGrid>
        <w:gridCol w:w="9497"/>
      </w:tblGrid>
      <w:tr w:rsidTr="001A23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A237F">
            <w:pPr>
              <w:pStyle w:val="BodyText"/>
              <w:rPr>
                <w:lang w:val="en-NZ"/>
              </w:rPr>
            </w:pPr>
            <w:r w:rsidRPr="001A237F">
              <w:t>Evidence required to demonstrate competence in this unit must be relevant to and satisfy all of the requirements of the elements and performance criteria on at least one occasion and includes:</w:t>
            </w:r>
          </w:p>
        </w:tc>
      </w:tr>
      <w:tr w:rsidTr="001A23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237F" w:rsidP="001A237F">
            <w:pPr>
              <w:pStyle w:val="ListBullet"/>
            </w:pPr>
            <w:r w:rsidRPr="001A237F">
              <w:t>applying emergency/safety/security procedures</w:t>
            </w:r>
          </w:p>
          <w:p w:rsidR="00000000" w:rsidRPr="001A237F" w:rsidP="001A237F">
            <w:pPr>
              <w:pStyle w:val="ListBullet"/>
            </w:pPr>
            <w:r w:rsidRPr="001A237F">
              <w:t>adhering to rel</w:t>
            </w:r>
            <w:r w:rsidRPr="001A237F">
              <w:t>evant WHS requirements and operational safety procedures</w:t>
            </w:r>
          </w:p>
          <w:p w:rsidR="00000000" w:rsidRPr="001A237F" w:rsidP="001A237F">
            <w:pPr>
              <w:pStyle w:val="ListBullet"/>
            </w:pPr>
            <w:r w:rsidRPr="001A237F">
              <w:t>calculating net explosive quantities</w:t>
            </w:r>
          </w:p>
        </w:tc>
      </w:tr>
    </w:tbl>
    <w:p w:rsidR="00E30728" w:rsidP="001A237F">
      <w:pPr>
        <w:pStyle w:val="NoPaddingFontSize1"/>
      </w:pPr>
    </w:p>
    <w:p w:rsidR="00E30728" w:rsidP="001A237F">
      <w:pPr>
        <w:pStyle w:val="NoPaddingFontSize1"/>
      </w:pPr>
    </w:p>
    <w:p w:rsidR="00000000" w:rsidRPr="001A237F" w:rsidP="001A237F">
      <w:pPr>
        <w:pStyle w:val="Heading1"/>
      </w:pPr>
      <w:bookmarkStart w:id="13" w:name="O_1095850"/>
      <w:bookmarkEnd w:id="13"/>
      <w:r w:rsidRPr="001A237F">
        <w:t>Knowledge Evidence</w:t>
      </w:r>
    </w:p>
    <w:tbl>
      <w:tblPr>
        <w:tblW w:w="9497" w:type="dxa"/>
        <w:tblLayout w:type="fixed"/>
        <w:tblCellMar>
          <w:left w:w="62" w:type="dxa"/>
          <w:right w:w="62" w:type="dxa"/>
        </w:tblCellMar>
        <w:tblLook w:val="0000"/>
      </w:tblPr>
      <w:tblGrid>
        <w:gridCol w:w="9497"/>
      </w:tblGrid>
      <w:tr w:rsidTr="001A23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A237F">
            <w:pPr>
              <w:pStyle w:val="BodyText"/>
              <w:rPr>
                <w:lang w:val="en-NZ"/>
              </w:rPr>
            </w:pPr>
            <w:r w:rsidRPr="001A237F">
              <w:t>Evidence required to demonstrate competence in this unit must be relevant to and satisfy all of the requirements of the e</w:t>
            </w:r>
            <w:r w:rsidRPr="001A237F">
              <w:t>lements and performance criteria and includes:</w:t>
            </w:r>
          </w:p>
        </w:tc>
      </w:tr>
      <w:tr w:rsidTr="001A23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237F" w:rsidP="001A237F">
            <w:pPr>
              <w:pStyle w:val="ListBullet"/>
            </w:pPr>
            <w:r w:rsidRPr="001A237F">
              <w:t>basic knowledge of alarm systems</w:t>
            </w:r>
          </w:p>
          <w:p w:rsidR="00000000" w:rsidRPr="001A237F" w:rsidP="001A237F">
            <w:pPr>
              <w:pStyle w:val="ListBullet"/>
            </w:pPr>
            <w:r w:rsidRPr="001A237F">
              <w:t>basic static electricity</w:t>
            </w:r>
          </w:p>
          <w:p w:rsidR="00000000" w:rsidRPr="001A237F" w:rsidP="001A237F">
            <w:pPr>
              <w:pStyle w:val="ListBullet"/>
            </w:pPr>
            <w:r w:rsidRPr="001A237F">
              <w:t>building signs and symbols</w:t>
            </w:r>
          </w:p>
          <w:p w:rsidR="00000000" w:rsidRPr="001A237F" w:rsidP="001A237F">
            <w:pPr>
              <w:pStyle w:val="ListBullet"/>
            </w:pPr>
            <w:r w:rsidRPr="001A237F">
              <w:t>compatibility requirements</w:t>
            </w:r>
          </w:p>
          <w:p w:rsidR="00000000" w:rsidRPr="001A237F" w:rsidP="001A237F">
            <w:pPr>
              <w:pStyle w:val="ListBullet"/>
            </w:pPr>
            <w:r w:rsidRPr="001A237F">
              <w:t>earthing procedures</w:t>
            </w:r>
          </w:p>
          <w:p w:rsidR="00000000" w:rsidRPr="001A237F" w:rsidP="001A237F">
            <w:pPr>
              <w:pStyle w:val="ListBullet"/>
            </w:pPr>
            <w:r w:rsidRPr="001A237F">
              <w:t>emergency procedures</w:t>
            </w:r>
          </w:p>
          <w:p w:rsidR="00000000" w:rsidRPr="001A237F" w:rsidP="001A237F">
            <w:pPr>
              <w:pStyle w:val="ListBullet"/>
            </w:pPr>
            <w:r w:rsidRPr="001A237F">
              <w:t>fire fighting equipment</w:t>
            </w:r>
          </w:p>
          <w:p w:rsidR="00000000" w:rsidRPr="001A237F" w:rsidP="001A237F">
            <w:pPr>
              <w:pStyle w:val="ListBullet"/>
            </w:pPr>
            <w:r w:rsidRPr="001A237F">
              <w:t>licensing limitations</w:t>
            </w:r>
          </w:p>
          <w:p w:rsidR="00000000" w:rsidRPr="001A237F" w:rsidP="001A237F">
            <w:pPr>
              <w:pStyle w:val="ListBullet"/>
            </w:pPr>
            <w:r w:rsidRPr="001A237F">
              <w:t>personal protection equipment requirements</w:t>
            </w:r>
          </w:p>
          <w:p w:rsidR="00000000" w:rsidRPr="001A237F" w:rsidP="001A237F">
            <w:pPr>
              <w:pStyle w:val="ListBullet"/>
            </w:pPr>
            <w:r w:rsidRPr="001A237F">
              <w:t>security procedures</w:t>
            </w:r>
          </w:p>
        </w:tc>
      </w:tr>
    </w:tbl>
    <w:p w:rsidR="00E30728" w:rsidP="001A237F">
      <w:pPr>
        <w:pStyle w:val="NoPaddingFontSize1"/>
      </w:pPr>
    </w:p>
    <w:p w:rsidR="00E30728" w:rsidP="001A237F">
      <w:pPr>
        <w:pStyle w:val="NoPaddingFontSize1"/>
      </w:pPr>
    </w:p>
    <w:p w:rsidR="00000000" w:rsidRPr="001A237F" w:rsidP="001A237F">
      <w:pPr>
        <w:pStyle w:val="Heading1"/>
      </w:pPr>
      <w:bookmarkStart w:id="14" w:name="O_1095849"/>
      <w:bookmarkEnd w:id="14"/>
      <w:r w:rsidRPr="001A237F">
        <w:t>Assessment Conditions</w:t>
      </w:r>
    </w:p>
    <w:tbl>
      <w:tblPr>
        <w:tblW w:w="9497" w:type="dxa"/>
        <w:tblLayout w:type="fixed"/>
        <w:tblCellMar>
          <w:left w:w="62" w:type="dxa"/>
          <w:right w:w="62" w:type="dxa"/>
        </w:tblCellMar>
        <w:tblLook w:val="0000"/>
      </w:tblPr>
      <w:tblGrid>
        <w:gridCol w:w="9497"/>
      </w:tblGrid>
      <w:tr w:rsidTr="001A23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237F" w:rsidP="001A237F">
            <w:pPr>
              <w:pStyle w:val="BodyText"/>
            </w:pPr>
            <w:r w:rsidRPr="001A237F">
              <w:t>Assessors must hold credentials specified within the Standards for Registered Training Organisations current at the time of assessment.</w:t>
            </w:r>
          </w:p>
          <w:p w:rsidR="00000000" w:rsidRPr="001A237F" w:rsidP="001A237F">
            <w:pPr>
              <w:pStyle w:val="BodyText"/>
            </w:pPr>
            <w:r w:rsidRPr="001A237F">
              <w:t>Assessment must satisfy the Principles of Assessment and Rules of Evidence and all regulatory requirements included within the Standards for Registered Training Organisations current at the time of assessment.</w:t>
            </w:r>
          </w:p>
          <w:p w:rsidR="00000000" w:rsidRPr="001A237F" w:rsidP="001A237F">
            <w:pPr>
              <w:pStyle w:val="BodyText"/>
            </w:pPr>
            <w:r w:rsidRPr="001A237F">
              <w:t>Assessment must occur in workplace operational</w:t>
            </w:r>
            <w:r w:rsidRPr="001A237F">
              <w:t xml:space="preserve"> situations. Where this is not appropriate, assessment must occur in simulated workplace operational situations that reflect workplace conditions.</w:t>
            </w:r>
          </w:p>
          <w:p w:rsidR="00000000" w:rsidRPr="001A237F" w:rsidP="001A237F">
            <w:pPr>
              <w:pStyle w:val="BodyText"/>
            </w:pPr>
            <w:r w:rsidRPr="001A237F">
              <w:t>Assessment processes and techniques must be appropriate to the language, literacy and numeracy requirements o</w:t>
            </w:r>
            <w:r w:rsidRPr="001A237F">
              <w:t>f the work being performed and the needs of the candidate.</w:t>
            </w:r>
          </w:p>
          <w:p w:rsidR="00000000" w:rsidRPr="001A237F" w:rsidP="001A237F">
            <w:pPr>
              <w:pStyle w:val="BodyText"/>
            </w:pPr>
            <w:r w:rsidRPr="001A237F">
              <w:t>Resources for assessment must include access to:</w:t>
            </w:r>
          </w:p>
          <w:p w:rsidR="00000000" w:rsidRPr="001A237F" w:rsidP="001A237F">
            <w:pPr>
              <w:pStyle w:val="ListBullet"/>
            </w:pPr>
            <w:r w:rsidRPr="001A237F">
              <w:tab/>
              <w:t xml:space="preserve">a range of relevant exercises, case studies and/or simulations </w:t>
            </w:r>
          </w:p>
          <w:p w:rsidR="00000000" w:rsidRPr="001A237F" w:rsidP="001A237F">
            <w:pPr>
              <w:pStyle w:val="ListBullet"/>
            </w:pPr>
            <w:r w:rsidRPr="001A237F">
              <w:tab/>
              <w:t xml:space="preserve">acceptable means of simulation assessment </w:t>
            </w:r>
          </w:p>
          <w:p w:rsidR="00000000" w:rsidRPr="001A237F" w:rsidP="001A237F">
            <w:pPr>
              <w:pStyle w:val="ListBullet"/>
            </w:pPr>
            <w:r w:rsidRPr="001A237F">
              <w:tab/>
              <w:t>applicable documentation, including w</w:t>
            </w:r>
            <w:r w:rsidRPr="001A237F">
              <w:t>orkplace procedures, regulations, codes of practice and operation manuals</w:t>
            </w:r>
          </w:p>
          <w:p w:rsidR="00000000" w:rsidRPr="001A237F" w:rsidP="001A237F">
            <w:pPr>
              <w:pStyle w:val="ListBullet"/>
            </w:pPr>
            <w:r w:rsidRPr="001A237F">
              <w:t>relevant materials, tools, equipment and PPE currently used in industry.</w:t>
            </w:r>
          </w:p>
        </w:tc>
      </w:tr>
    </w:tbl>
    <w:p w:rsidR="00E30728" w:rsidP="001A237F">
      <w:pPr>
        <w:pStyle w:val="NoPaddingFontSize1"/>
      </w:pPr>
    </w:p>
    <w:p w:rsidR="00E30728" w:rsidP="001A237F">
      <w:pPr>
        <w:pStyle w:val="NoPaddingFontSize1"/>
      </w:pPr>
    </w:p>
    <w:p w:rsidR="00000000" w:rsidRPr="001A237F" w:rsidP="001A237F">
      <w:pPr>
        <w:pStyle w:val="Heading1"/>
      </w:pPr>
      <w:bookmarkStart w:id="15" w:name="O_1095861"/>
      <w:bookmarkEnd w:id="15"/>
      <w:r w:rsidRPr="001A237F">
        <w:t>Links</w:t>
      </w:r>
    </w:p>
    <w:p w:rsidR="00000000" w:rsidRPr="001A237F" w:rsidP="00E30728">
      <w:pPr>
        <w:pStyle w:val="BodyText"/>
      </w:pPr>
      <w:r w:rsidRPr="001A237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212A2">
        <w:rPr>
          <w:rStyle w:val="Hyperlink"/>
        </w:rPr>
        <w:t>https://vetnet.gov.au/Pages/TrainingDocs.aspx?q=6bdbab1e-11ed-4bc9-9cba-9e1a55d4e4a9</w:t>
      </w:r>
      <w:r>
        <w:fldChar w:fldCharType="end"/>
      </w:r>
    </w:p>
    <w:p w:rsidR="00000000" w:rsidRPr="001A237F" w:rsidP="001A237F"/>
    <w:sectPr w:rsidSect="001A237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3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37F" w:rsidRPr="00E30728" w:rsidP="00E307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3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728" w:rsidP="001A23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0728" w:rsidP="001A237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30728" w:rsidP="001A237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37F" w:rsidP="001A237F">
    <w:pPr>
      <w:pStyle w:val="Footer"/>
      <w:framePr w:wrap="around"/>
    </w:pPr>
    <w:r>
      <w:fldChar w:fldCharType="begin"/>
    </w:r>
    <w:r>
      <w:instrText xml:space="preserve"> DOCPROPERTY  Subject  \* MERGEFORMAT </w:instrText>
    </w:r>
    <w:r>
      <w:fldChar w:fldCharType="separate"/>
    </w:r>
    <w:r w:rsidR="00E30728">
      <w:t>Approved</w:t>
    </w:r>
    <w:r w:rsidR="00E30728">
      <w:fldChar w:fldCharType="end"/>
    </w:r>
    <w:r>
      <w:tab/>
      <w:t xml:space="preserve">Page </w:t>
    </w:r>
    <w:r>
      <w:fldChar w:fldCharType="begin"/>
    </w:r>
    <w:r>
      <w:instrText xml:space="preserve"> PAGE  \* Arabic  \* MERGEFORMAT </w:instrText>
    </w:r>
    <w:r>
      <w:fldChar w:fldCharType="separate"/>
    </w:r>
    <w:r w:rsidR="00E3072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0728">
      <w:rPr>
        <w:noProof/>
      </w:rPr>
      <w:t>4</w:t>
    </w:r>
    <w:r>
      <w:rPr>
        <w:noProof/>
      </w:rPr>
      <w:fldChar w:fldCharType="end"/>
    </w:r>
  </w:p>
  <w:p w:rsidR="001A237F" w:rsidP="001A237F">
    <w:pPr>
      <w:pStyle w:val="Footer"/>
      <w:framePr w:wrap="around"/>
    </w:pPr>
    <w:r>
      <w:t xml:space="preserve">© Commonwealth of Australia, </w:t>
    </w:r>
    <w:r>
      <w:fldChar w:fldCharType="begin"/>
    </w:r>
    <w:r>
      <w:instrText xml:space="preserve"> DATE  \@ "yyyy"  \* MERGEFORMAT </w:instrText>
    </w:r>
    <w:r>
      <w:fldChar w:fldCharType="separate"/>
    </w:r>
    <w:r w:rsidR="00E30728">
      <w:rPr>
        <w:noProof/>
      </w:rPr>
      <w:t>2025</w:t>
    </w:r>
    <w:r>
      <w:fldChar w:fldCharType="end"/>
    </w:r>
    <w:r>
      <w:tab/>
    </w:r>
    <w:r>
      <w:fldChar w:fldCharType="begin"/>
    </w:r>
    <w:r>
      <w:instrText xml:space="preserve"> DOCPROPERTY  Author  \* MERGEFORMAT </w:instrText>
    </w:r>
    <w:r>
      <w:fldChar w:fldCharType="separate"/>
    </w:r>
    <w:r w:rsidR="00E30728">
      <w:t>Public Skills Australia</w:t>
    </w:r>
    <w:r w:rsidR="00E30728">
      <w:fldChar w:fldCharType="end"/>
    </w:r>
  </w:p>
  <w:p w:rsidR="001A237F" w:rsidP="001A23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3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7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237F" w:rsidRPr="00E30728" w:rsidP="00E307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3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728" w:rsidRPr="002D2AF8" w:rsidP="001A237F">
    <w:pPr>
      <w:pStyle w:val="Header"/>
      <w:framePr w:wrap="around"/>
    </w:pPr>
    <w:r>
      <w:fldChar w:fldCharType="begin"/>
    </w:r>
    <w:r>
      <w:instrText xml:space="preserve"> TITLE   \* MERGEFORMAT </w:instrText>
    </w:r>
    <w:r>
      <w:fldChar w:fldCharType="separate"/>
    </w:r>
    <w:r>
      <w:t>DEFEXO003 Establish and maintain the safety and security of explosive warehouses and workshops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30728" w:rsidP="001A237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37F" w:rsidRPr="002D2AF8" w:rsidP="001A237F">
    <w:pPr>
      <w:pStyle w:val="Header"/>
      <w:framePr w:wrap="around"/>
    </w:pPr>
    <w:r>
      <w:fldChar w:fldCharType="begin"/>
    </w:r>
    <w:r>
      <w:instrText xml:space="preserve"> TITLE   \* MERGEFORMAT </w:instrText>
    </w:r>
    <w:r>
      <w:fldChar w:fldCharType="separate"/>
    </w:r>
    <w:r w:rsidR="00E30728">
      <w:t>DEFEXO003 Establish and maintain the safety and security of explosive warehouses and workshops</w:t>
    </w:r>
    <w:r w:rsidR="00E30728">
      <w:fldChar w:fldCharType="end"/>
    </w:r>
    <w:r>
      <w:tab/>
      <w:t xml:space="preserve">Date this document was generated: </w:t>
    </w:r>
    <w:r>
      <w:fldChar w:fldCharType="begin"/>
    </w:r>
    <w:r>
      <w:instrText xml:space="preserve"> CREATEDATE  \@ "d MMMM yyyy"  \* MERGEFORMAT </w:instrText>
    </w:r>
    <w:r>
      <w:fldChar w:fldCharType="separate"/>
    </w:r>
    <w:r w:rsidR="00E30728">
      <w:rPr>
        <w:noProof/>
      </w:rPr>
      <w:t>2 March 2025</w:t>
    </w:r>
    <w:r>
      <w:fldChar w:fldCharType="end"/>
    </w:r>
  </w:p>
  <w:p w:rsidR="001A237F" w:rsidP="001A23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E417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C070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3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237F"/>
    <w:pPr>
      <w:spacing w:before="360" w:after="60"/>
      <w:outlineLvl w:val="0"/>
    </w:pPr>
    <w:rPr>
      <w:sz w:val="32"/>
    </w:rPr>
  </w:style>
  <w:style w:type="paragraph" w:styleId="Heading2">
    <w:name w:val="heading 2"/>
    <w:basedOn w:val="HeadingBase"/>
    <w:next w:val="BodyText"/>
    <w:link w:val="Heading2Char"/>
    <w:qFormat/>
    <w:rsid w:val="001A237F"/>
    <w:pPr>
      <w:keepLines/>
      <w:spacing w:before="240" w:after="120"/>
      <w:outlineLvl w:val="1"/>
    </w:pPr>
    <w:rPr>
      <w:sz w:val="28"/>
      <w:szCs w:val="40"/>
    </w:rPr>
  </w:style>
  <w:style w:type="paragraph" w:styleId="Heading3">
    <w:name w:val="heading 3"/>
    <w:basedOn w:val="HeadingBase"/>
    <w:next w:val="BodyText"/>
    <w:link w:val="Heading3Char"/>
    <w:qFormat/>
    <w:rsid w:val="001A237F"/>
    <w:pPr>
      <w:spacing w:before="180" w:after="120"/>
      <w:outlineLvl w:val="2"/>
    </w:pPr>
    <w:rPr>
      <w:spacing w:val="-10"/>
      <w:kern w:val="32"/>
    </w:rPr>
  </w:style>
  <w:style w:type="paragraph" w:styleId="Heading4">
    <w:name w:val="heading 4"/>
    <w:basedOn w:val="HeadingBase"/>
    <w:next w:val="BodyText"/>
    <w:link w:val="Heading4Char"/>
    <w:qFormat/>
    <w:rsid w:val="001A237F"/>
    <w:pPr>
      <w:spacing w:before="160" w:after="120"/>
      <w:outlineLvl w:val="3"/>
    </w:pPr>
    <w:rPr>
      <w:sz w:val="22"/>
    </w:rPr>
  </w:style>
  <w:style w:type="paragraph" w:styleId="Heading5">
    <w:name w:val="heading 5"/>
    <w:basedOn w:val="HeadingBase"/>
    <w:next w:val="Normal"/>
    <w:link w:val="Heading5Char"/>
    <w:qFormat/>
    <w:rsid w:val="001A237F"/>
    <w:pPr>
      <w:spacing w:before="80"/>
      <w:outlineLvl w:val="4"/>
    </w:pPr>
    <w:rPr>
      <w:color w:val="918585"/>
      <w:sz w:val="20"/>
    </w:rPr>
  </w:style>
  <w:style w:type="paragraph" w:styleId="Heading6">
    <w:name w:val="heading 6"/>
    <w:basedOn w:val="HeadingBase"/>
    <w:next w:val="Normal"/>
    <w:link w:val="Heading6Char"/>
    <w:qFormat/>
    <w:rsid w:val="001A237F"/>
    <w:pPr>
      <w:spacing w:before="60"/>
      <w:outlineLvl w:val="5"/>
    </w:pPr>
    <w:rPr>
      <w:color w:val="918585"/>
      <w:sz w:val="20"/>
    </w:rPr>
  </w:style>
  <w:style w:type="paragraph" w:styleId="Heading7">
    <w:name w:val="heading 7"/>
    <w:basedOn w:val="Normal"/>
    <w:next w:val="Normal"/>
    <w:link w:val="Heading7Char"/>
    <w:qFormat/>
    <w:rsid w:val="001A237F"/>
    <w:pPr>
      <w:ind w:left="720"/>
      <w:outlineLvl w:val="6"/>
    </w:pPr>
    <w:rPr>
      <w:i/>
    </w:rPr>
  </w:style>
  <w:style w:type="paragraph" w:styleId="Heading8">
    <w:name w:val="heading 8"/>
    <w:basedOn w:val="Normal"/>
    <w:next w:val="Normal"/>
    <w:link w:val="Heading8Char"/>
    <w:qFormat/>
    <w:rsid w:val="001A237F"/>
    <w:pPr>
      <w:ind w:left="720"/>
      <w:outlineLvl w:val="7"/>
    </w:pPr>
    <w:rPr>
      <w:i/>
    </w:rPr>
  </w:style>
  <w:style w:type="paragraph" w:styleId="Heading9">
    <w:name w:val="heading 9"/>
    <w:basedOn w:val="Normal"/>
    <w:next w:val="Normal"/>
    <w:link w:val="Heading9Char"/>
    <w:qFormat/>
    <w:rsid w:val="001A237F"/>
    <w:pPr>
      <w:ind w:left="720"/>
      <w:outlineLvl w:val="8"/>
    </w:pPr>
    <w:rPr>
      <w:i/>
    </w:rPr>
  </w:style>
  <w:style w:type="character" w:default="1" w:styleId="DefaultParagraphFont">
    <w:name w:val="Default Paragraph Font"/>
    <w:uiPriority w:val="1"/>
    <w:unhideWhenUsed/>
    <w:rsid w:val="001A23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237F"/>
  </w:style>
  <w:style w:type="character" w:customStyle="1" w:styleId="Heading1Char">
    <w:name w:val="Heading 1 Char"/>
    <w:basedOn w:val="DefaultParagraphFont"/>
    <w:link w:val="Heading1"/>
    <w:rsid w:val="001A237F"/>
    <w:rPr>
      <w:rFonts w:ascii="Times New Roman" w:eastAsia="Times New Roman" w:hAnsi="Times New Roman" w:cs="Times New Roman"/>
      <w:b/>
      <w:sz w:val="32"/>
      <w:szCs w:val="20"/>
      <w:lang w:eastAsia="en-US"/>
    </w:rPr>
  </w:style>
  <w:style w:type="paragraph" w:styleId="BodyText">
    <w:name w:val="Body Text"/>
    <w:basedOn w:val="Normal"/>
    <w:link w:val="BodyTextChar"/>
    <w:rsid w:val="001A23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237F"/>
    <w:rPr>
      <w:rFonts w:ascii="Times New Roman" w:eastAsia="Times New Roman" w:hAnsi="Times New Roman" w:cs="Times New Roman"/>
      <w:sz w:val="24"/>
      <w:lang w:eastAsia="en-US"/>
    </w:rPr>
  </w:style>
  <w:style w:type="paragraph" w:styleId="ListBullet">
    <w:name w:val="List Bullet"/>
    <w:basedOn w:val="List"/>
    <w:rsid w:val="001A237F"/>
    <w:pPr>
      <w:numPr>
        <w:numId w:val="11"/>
      </w:numPr>
      <w:tabs>
        <w:tab w:val="clear" w:pos="340"/>
      </w:tabs>
      <w:spacing w:before="40" w:after="40"/>
    </w:pPr>
  </w:style>
  <w:style w:type="character" w:customStyle="1" w:styleId="SpecialBold">
    <w:name w:val="Special Bold"/>
    <w:basedOn w:val="DefaultParagraphFont"/>
    <w:rsid w:val="001A237F"/>
    <w:rPr>
      <w:b/>
      <w:spacing w:val="0"/>
    </w:rPr>
  </w:style>
  <w:style w:type="paragraph" w:customStyle="1" w:styleId="SuperHeading">
    <w:name w:val="SuperHeading"/>
    <w:basedOn w:val="Normal"/>
    <w:rsid w:val="001A237F"/>
    <w:pPr>
      <w:spacing w:before="240" w:after="120"/>
      <w:outlineLvl w:val="0"/>
    </w:pPr>
    <w:rPr>
      <w:rFonts w:ascii="Times New Roman" w:hAnsi="Times New Roman"/>
      <w:b/>
      <w:sz w:val="32"/>
    </w:rPr>
  </w:style>
  <w:style w:type="paragraph" w:customStyle="1" w:styleId="AllowPageBreak">
    <w:name w:val="AllowPageBreak"/>
    <w:rsid w:val="001A237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A23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23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23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23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23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23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23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237F"/>
    <w:rPr>
      <w:rFonts w:ascii="Courier New" w:eastAsia="Times New Roman" w:hAnsi="Courier New" w:cs="Times New Roman"/>
      <w:i/>
      <w:szCs w:val="20"/>
      <w:lang w:eastAsia="en-US"/>
    </w:rPr>
  </w:style>
  <w:style w:type="paragraph" w:customStyle="1" w:styleId="HeadingBase">
    <w:name w:val="Heading Base"/>
    <w:rsid w:val="001A23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237F"/>
    <w:pPr>
      <w:tabs>
        <w:tab w:val="right" w:leader="dot" w:pos="9072"/>
      </w:tabs>
      <w:ind w:left="567"/>
    </w:pPr>
    <w:rPr>
      <w:szCs w:val="22"/>
    </w:rPr>
  </w:style>
  <w:style w:type="paragraph" w:customStyle="1" w:styleId="TOCBase">
    <w:name w:val="TOC Base"/>
    <w:rsid w:val="001A23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237F"/>
    <w:pPr>
      <w:tabs>
        <w:tab w:val="right" w:leader="dot" w:pos="9072"/>
      </w:tabs>
      <w:spacing w:before="40" w:after="40"/>
      <w:ind w:left="284"/>
    </w:pPr>
    <w:rPr>
      <w:rFonts w:ascii="Times New Roman" w:hAnsi="Times New Roman"/>
    </w:rPr>
  </w:style>
  <w:style w:type="paragraph" w:styleId="TOC1">
    <w:name w:val="toc 1"/>
    <w:basedOn w:val="TOCBase"/>
    <w:next w:val="Normal"/>
    <w:rsid w:val="001A23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23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237F"/>
    <w:rPr>
      <w:rFonts w:ascii="Times New Roman" w:eastAsia="Times New Roman" w:hAnsi="Times New Roman" w:cs="Times New Roman"/>
      <w:sz w:val="16"/>
      <w:lang w:eastAsia="en-US"/>
    </w:rPr>
  </w:style>
  <w:style w:type="paragraph" w:styleId="Title">
    <w:name w:val="Title"/>
    <w:basedOn w:val="HeadingBase"/>
    <w:link w:val="TitleChar"/>
    <w:qFormat/>
    <w:rsid w:val="001A237F"/>
    <w:pPr>
      <w:spacing w:before="5040"/>
      <w:jc w:val="center"/>
    </w:pPr>
    <w:rPr>
      <w:sz w:val="48"/>
      <w:szCs w:val="72"/>
      <w:lang w:val="en-US"/>
    </w:rPr>
  </w:style>
  <w:style w:type="character" w:customStyle="1" w:styleId="TitleChar">
    <w:name w:val="Title Char"/>
    <w:basedOn w:val="DefaultParagraphFont"/>
    <w:link w:val="Title"/>
    <w:rsid w:val="001A23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237F"/>
    <w:pPr>
      <w:tabs>
        <w:tab w:val="left" w:pos="3600"/>
        <w:tab w:val="left" w:pos="3958"/>
      </w:tabs>
    </w:pPr>
  </w:style>
  <w:style w:type="paragraph" w:styleId="List">
    <w:name w:val="List"/>
    <w:basedOn w:val="BodyText"/>
    <w:next w:val="BodyText"/>
    <w:rsid w:val="001A237F"/>
    <w:pPr>
      <w:tabs>
        <w:tab w:val="left" w:pos="340"/>
      </w:tabs>
      <w:spacing w:before="60" w:after="60"/>
      <w:ind w:left="340" w:hanging="340"/>
    </w:pPr>
  </w:style>
  <w:style w:type="paragraph" w:customStyle="1" w:styleId="Note">
    <w:name w:val="Note"/>
    <w:basedOn w:val="BodyText"/>
    <w:rsid w:val="001A23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237F"/>
    <w:pPr>
      <w:framePr w:wrap="auto" w:hAnchor="text" w:y="6049"/>
    </w:pPr>
    <w:rPr>
      <w:color w:val="000000"/>
      <w:sz w:val="40"/>
    </w:rPr>
  </w:style>
  <w:style w:type="paragraph" w:customStyle="1" w:styleId="TOCTitle">
    <w:name w:val="TOCTitle"/>
    <w:basedOn w:val="Heading1"/>
    <w:rsid w:val="001A237F"/>
    <w:pPr>
      <w:spacing w:after="240"/>
      <w:jc w:val="center"/>
      <w:outlineLvl w:val="9"/>
    </w:pPr>
    <w:rPr>
      <w:caps/>
    </w:rPr>
  </w:style>
  <w:style w:type="paragraph" w:customStyle="1" w:styleId="Version">
    <w:name w:val="Version"/>
    <w:rsid w:val="001A23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237F"/>
    <w:pPr>
      <w:numPr>
        <w:numId w:val="12"/>
      </w:numPr>
      <w:tabs>
        <w:tab w:val="clear" w:pos="680"/>
      </w:tabs>
    </w:pPr>
  </w:style>
  <w:style w:type="paragraph" w:styleId="Index1">
    <w:name w:val="index 1"/>
    <w:basedOn w:val="Normal"/>
    <w:next w:val="Normal"/>
    <w:semiHidden/>
    <w:rsid w:val="001A237F"/>
    <w:pPr>
      <w:keepNext w:val="0"/>
      <w:tabs>
        <w:tab w:val="right" w:pos="4176"/>
      </w:tabs>
      <w:ind w:left="198" w:hanging="198"/>
    </w:pPr>
    <w:rPr>
      <w:rFonts w:ascii="Garamond" w:hAnsi="Garamond"/>
    </w:rPr>
  </w:style>
  <w:style w:type="paragraph" w:styleId="IndexHeading">
    <w:name w:val="index heading"/>
    <w:basedOn w:val="Normal"/>
    <w:next w:val="Index1"/>
    <w:semiHidden/>
    <w:rsid w:val="001A237F"/>
    <w:pPr>
      <w:spacing w:before="120" w:after="120"/>
    </w:pPr>
    <w:rPr>
      <w:rFonts w:ascii="Arial" w:hAnsi="Arial"/>
      <w:b/>
      <w:color w:val="918585"/>
      <w:sz w:val="24"/>
    </w:rPr>
  </w:style>
  <w:style w:type="paragraph" w:styleId="Header">
    <w:name w:val="header"/>
    <w:basedOn w:val="Normal"/>
    <w:link w:val="HeaderChar"/>
    <w:rsid w:val="001A23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237F"/>
    <w:rPr>
      <w:rFonts w:ascii="Times New Roman" w:eastAsia="Times New Roman" w:hAnsi="Times New Roman" w:cs="Times New Roman"/>
      <w:sz w:val="16"/>
      <w:szCs w:val="20"/>
      <w:lang w:val="en-GB" w:eastAsia="en-US"/>
    </w:rPr>
  </w:style>
  <w:style w:type="paragraph" w:customStyle="1" w:styleId="Chapter">
    <w:name w:val="Chapter"/>
    <w:basedOn w:val="Normal"/>
    <w:rsid w:val="001A237F"/>
    <w:pPr>
      <w:spacing w:before="240"/>
    </w:pPr>
    <w:rPr>
      <w:rFonts w:ascii="Times New Roman" w:hAnsi="Times New Roman"/>
      <w:smallCaps/>
      <w:spacing w:val="80"/>
      <w:sz w:val="28"/>
    </w:rPr>
  </w:style>
  <w:style w:type="paragraph" w:customStyle="1" w:styleId="InChapter">
    <w:name w:val="InChapter"/>
    <w:basedOn w:val="Heading3"/>
    <w:rsid w:val="001A237F"/>
    <w:pPr>
      <w:spacing w:after="240"/>
      <w:outlineLvl w:val="9"/>
    </w:pPr>
    <w:rPr>
      <w:noProof/>
    </w:rPr>
  </w:style>
  <w:style w:type="paragraph" w:styleId="Index2">
    <w:name w:val="index 2"/>
    <w:basedOn w:val="Normal"/>
    <w:next w:val="Normal"/>
    <w:semiHidden/>
    <w:rsid w:val="001A237F"/>
    <w:pPr>
      <w:tabs>
        <w:tab w:val="right" w:pos="4176"/>
      </w:tabs>
      <w:ind w:left="568" w:hanging="284"/>
    </w:pPr>
    <w:rPr>
      <w:rFonts w:ascii="Garamond" w:hAnsi="Garamond"/>
    </w:rPr>
  </w:style>
  <w:style w:type="paragraph" w:customStyle="1" w:styleId="Byline">
    <w:name w:val="Byline"/>
    <w:rsid w:val="001A23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237F"/>
    <w:pPr>
      <w:tabs>
        <w:tab w:val="clear" w:pos="3600"/>
        <w:tab w:val="clear" w:pos="3958"/>
      </w:tabs>
      <w:jc w:val="right"/>
    </w:pPr>
  </w:style>
  <w:style w:type="character" w:styleId="Emphasis">
    <w:name w:val="Emphasis"/>
    <w:basedOn w:val="DefaultParagraphFont"/>
    <w:qFormat/>
    <w:rsid w:val="001A237F"/>
    <w:rPr>
      <w:i/>
    </w:rPr>
  </w:style>
  <w:style w:type="paragraph" w:styleId="Caption">
    <w:name w:val="caption"/>
    <w:basedOn w:val="BodyText"/>
    <w:next w:val="Normal"/>
    <w:qFormat/>
    <w:rsid w:val="001A237F"/>
    <w:pPr>
      <w:framePr w:w="2268" w:hSpace="181" w:vSpace="181" w:wrap="around" w:vAnchor="text" w:hAnchor="page" w:x="1135" w:y="285" w:anchorLock="1"/>
    </w:pPr>
    <w:rPr>
      <w:i/>
    </w:rPr>
  </w:style>
  <w:style w:type="paragraph" w:customStyle="1" w:styleId="MiniTOCTitle">
    <w:name w:val="MiniTOCTitle"/>
    <w:basedOn w:val="Heading4"/>
    <w:rsid w:val="001A237F"/>
    <w:pPr>
      <w:spacing w:before="240"/>
      <w:outlineLvl w:val="9"/>
    </w:pPr>
    <w:rPr>
      <w:noProof/>
      <w:sz w:val="24"/>
    </w:rPr>
  </w:style>
  <w:style w:type="paragraph" w:customStyle="1" w:styleId="MiniTOCItem">
    <w:name w:val="MiniTOCItem"/>
    <w:basedOn w:val="ListBullet"/>
    <w:rsid w:val="001A237F"/>
    <w:pPr>
      <w:numPr>
        <w:numId w:val="0"/>
      </w:numPr>
      <w:tabs>
        <w:tab w:val="right" w:leader="dot" w:pos="6521"/>
      </w:tabs>
      <w:spacing w:before="0" w:after="0"/>
    </w:pPr>
  </w:style>
  <w:style w:type="paragraph" w:customStyle="1" w:styleId="TOFTitle">
    <w:name w:val="TOFTitle"/>
    <w:basedOn w:val="TOCTitle"/>
    <w:rsid w:val="001A237F"/>
  </w:style>
  <w:style w:type="paragraph" w:styleId="TableofFigures">
    <w:name w:val="table of figures"/>
    <w:basedOn w:val="Normal"/>
    <w:next w:val="Normal"/>
    <w:semiHidden/>
    <w:rsid w:val="001A237F"/>
    <w:pPr>
      <w:tabs>
        <w:tab w:val="right" w:leader="dot" w:pos="9072"/>
      </w:tabs>
      <w:ind w:left="970" w:hanging="403"/>
    </w:pPr>
    <w:rPr>
      <w:rFonts w:ascii="Times New Roman" w:hAnsi="Times New Roman"/>
      <w:b/>
    </w:rPr>
  </w:style>
  <w:style w:type="paragraph" w:styleId="ListNumber">
    <w:name w:val="List Number"/>
    <w:basedOn w:val="List"/>
    <w:rsid w:val="001A237F"/>
    <w:pPr>
      <w:numPr>
        <w:numId w:val="14"/>
      </w:numPr>
      <w:tabs>
        <w:tab w:val="clear" w:pos="340"/>
      </w:tabs>
    </w:pPr>
  </w:style>
  <w:style w:type="character" w:customStyle="1" w:styleId="WingdingSymbols">
    <w:name w:val="Wingding Symbols"/>
    <w:rsid w:val="001A237F"/>
    <w:rPr>
      <w:rFonts w:ascii="Wingdings" w:hAnsi="Wingdings"/>
    </w:rPr>
  </w:style>
  <w:style w:type="paragraph" w:customStyle="1" w:styleId="TableHeading">
    <w:name w:val="Table Heading"/>
    <w:basedOn w:val="HeadingBase"/>
    <w:rsid w:val="001A237F"/>
    <w:pPr>
      <w:keepLines/>
      <w:pBdr>
        <w:bottom w:val="single" w:sz="6" w:space="1" w:color="918585"/>
      </w:pBdr>
      <w:spacing w:before="240"/>
    </w:pPr>
  </w:style>
  <w:style w:type="character" w:customStyle="1" w:styleId="HotSpot">
    <w:name w:val="HotSpot"/>
    <w:rsid w:val="001A237F"/>
    <w:rPr>
      <w:color w:val="0033CC"/>
      <w:u w:val="none"/>
    </w:rPr>
  </w:style>
  <w:style w:type="paragraph" w:customStyle="1" w:styleId="BodyTextRight">
    <w:name w:val="Body Text Right"/>
    <w:basedOn w:val="BodyText"/>
    <w:rsid w:val="001A237F"/>
    <w:pPr>
      <w:spacing w:before="0" w:after="0"/>
      <w:jc w:val="right"/>
    </w:pPr>
  </w:style>
  <w:style w:type="paragraph" w:styleId="Index3">
    <w:name w:val="index 3"/>
    <w:basedOn w:val="ListNumber2"/>
    <w:next w:val="Normal"/>
    <w:semiHidden/>
    <w:rsid w:val="001A237F"/>
    <w:pPr>
      <w:numPr>
        <w:numId w:val="0"/>
      </w:numPr>
      <w:tabs>
        <w:tab w:val="right" w:leader="dot" w:pos="4176"/>
      </w:tabs>
    </w:pPr>
  </w:style>
  <w:style w:type="paragraph" w:styleId="ListNumber2">
    <w:name w:val="List Number 2"/>
    <w:basedOn w:val="List2"/>
    <w:rsid w:val="001A237F"/>
    <w:pPr>
      <w:numPr>
        <w:numId w:val="9"/>
      </w:numPr>
      <w:tabs>
        <w:tab w:val="clear" w:pos="1060"/>
      </w:tabs>
    </w:pPr>
  </w:style>
  <w:style w:type="paragraph" w:customStyle="1" w:styleId="MarginNote">
    <w:name w:val="Margin Note"/>
    <w:basedOn w:val="BodyText"/>
    <w:rsid w:val="001A23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23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23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237F"/>
    <w:rPr>
      <w:sz w:val="32"/>
    </w:rPr>
  </w:style>
  <w:style w:type="paragraph" w:customStyle="1" w:styleId="HeadingProcedure">
    <w:name w:val="Heading Procedure"/>
    <w:basedOn w:val="HeadingBase"/>
    <w:next w:val="Normal"/>
    <w:rsid w:val="001A237F"/>
    <w:pPr>
      <w:tabs>
        <w:tab w:val="left" w:pos="0"/>
      </w:tabs>
      <w:spacing w:before="120" w:after="60"/>
    </w:pPr>
    <w:rPr>
      <w:i/>
      <w:color w:val="918585"/>
      <w:sz w:val="22"/>
    </w:rPr>
  </w:style>
  <w:style w:type="paragraph" w:customStyle="1" w:styleId="TableBodyText">
    <w:name w:val="Table Body Text"/>
    <w:basedOn w:val="BodyText"/>
    <w:rsid w:val="001A237F"/>
    <w:pPr>
      <w:spacing w:before="60" w:after="60"/>
    </w:pPr>
  </w:style>
  <w:style w:type="paragraph" w:styleId="ListContinue">
    <w:name w:val="List Continue"/>
    <w:basedOn w:val="List"/>
    <w:rsid w:val="001A237F"/>
    <w:pPr>
      <w:ind w:firstLine="0"/>
    </w:pPr>
  </w:style>
  <w:style w:type="paragraph" w:customStyle="1" w:styleId="ListNote">
    <w:name w:val="List Note"/>
    <w:basedOn w:val="List"/>
    <w:rsid w:val="001A237F"/>
    <w:pPr>
      <w:pBdr>
        <w:top w:val="single" w:sz="6" w:space="2" w:color="918585"/>
        <w:bottom w:val="single" w:sz="6" w:space="2" w:color="918585"/>
      </w:pBdr>
      <w:tabs>
        <w:tab w:val="left" w:pos="1021"/>
      </w:tabs>
      <w:ind w:firstLine="0"/>
    </w:pPr>
  </w:style>
  <w:style w:type="paragraph" w:customStyle="1" w:styleId="Warning">
    <w:name w:val="Warning"/>
    <w:basedOn w:val="BodyText"/>
    <w:rsid w:val="001A237F"/>
    <w:pPr>
      <w:shd w:val="clear" w:color="auto" w:fill="D9D9D9"/>
      <w:tabs>
        <w:tab w:val="left" w:pos="992"/>
      </w:tabs>
      <w:ind w:left="119" w:right="119"/>
    </w:pPr>
    <w:rPr>
      <w:sz w:val="20"/>
    </w:rPr>
  </w:style>
  <w:style w:type="paragraph" w:customStyle="1" w:styleId="MarginIcons">
    <w:name w:val="Margin Icons"/>
    <w:basedOn w:val="BodyText"/>
    <w:rsid w:val="001A23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237F"/>
    <w:rPr>
      <w:rFonts w:ascii="Courier New" w:hAnsi="Courier New"/>
    </w:rPr>
  </w:style>
  <w:style w:type="paragraph" w:customStyle="1" w:styleId="NoteBullet">
    <w:name w:val="Note Bullet"/>
    <w:basedOn w:val="Note"/>
    <w:rsid w:val="001A237F"/>
    <w:pPr>
      <w:tabs>
        <w:tab w:val="clear" w:pos="680"/>
      </w:tabs>
      <w:spacing w:before="60" w:after="60"/>
    </w:pPr>
  </w:style>
  <w:style w:type="paragraph" w:customStyle="1" w:styleId="SubHeading2">
    <w:name w:val="SubHeading2"/>
    <w:basedOn w:val="HeadingBase"/>
    <w:rsid w:val="001A237F"/>
    <w:pPr>
      <w:spacing w:before="240" w:after="60"/>
    </w:pPr>
    <w:rPr>
      <w:sz w:val="20"/>
    </w:rPr>
  </w:style>
  <w:style w:type="paragraph" w:customStyle="1" w:styleId="SubHeading1">
    <w:name w:val="SubHeading1"/>
    <w:basedOn w:val="HeadingBase"/>
    <w:rsid w:val="001A237F"/>
    <w:pPr>
      <w:spacing w:before="240" w:after="60"/>
    </w:pPr>
    <w:rPr>
      <w:color w:val="918585"/>
      <w:sz w:val="22"/>
    </w:rPr>
  </w:style>
  <w:style w:type="paragraph" w:customStyle="1" w:styleId="SideHeading">
    <w:name w:val="Side Heading"/>
    <w:basedOn w:val="HeadingBase"/>
    <w:rsid w:val="001A23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237F"/>
    <w:pPr>
      <w:numPr>
        <w:numId w:val="10"/>
      </w:numPr>
    </w:pPr>
  </w:style>
  <w:style w:type="paragraph" w:styleId="PlainText">
    <w:name w:val="Plain Text"/>
    <w:basedOn w:val="Normal"/>
    <w:link w:val="PlainTextChar"/>
    <w:rsid w:val="001A237F"/>
    <w:rPr>
      <w:sz w:val="20"/>
    </w:rPr>
  </w:style>
  <w:style w:type="character" w:customStyle="1" w:styleId="PlainTextChar">
    <w:name w:val="Plain Text Char"/>
    <w:basedOn w:val="DefaultParagraphFont"/>
    <w:link w:val="PlainText"/>
    <w:rsid w:val="001A237F"/>
    <w:rPr>
      <w:rFonts w:ascii="Courier New" w:eastAsia="Times New Roman" w:hAnsi="Courier New" w:cs="Times New Roman"/>
      <w:sz w:val="20"/>
      <w:szCs w:val="20"/>
      <w:lang w:eastAsia="en-US"/>
    </w:rPr>
  </w:style>
  <w:style w:type="character" w:customStyle="1" w:styleId="MenuOption">
    <w:name w:val="Menu Option"/>
    <w:basedOn w:val="DefaultParagraphFont"/>
    <w:rsid w:val="001A237F"/>
    <w:rPr>
      <w:b/>
      <w:smallCaps/>
    </w:rPr>
  </w:style>
  <w:style w:type="paragraph" w:customStyle="1" w:styleId="TableListNumber">
    <w:name w:val="Table List Number"/>
    <w:basedOn w:val="ListNumber"/>
    <w:rsid w:val="001A237F"/>
    <w:pPr>
      <w:numPr>
        <w:numId w:val="0"/>
      </w:numPr>
    </w:pPr>
  </w:style>
  <w:style w:type="paragraph" w:styleId="TOC4">
    <w:name w:val="toc 4"/>
    <w:basedOn w:val="TOCBase"/>
    <w:next w:val="Normal"/>
    <w:semiHidden/>
    <w:rsid w:val="001A237F"/>
    <w:pPr>
      <w:tabs>
        <w:tab w:val="right" w:leader="dot" w:pos="9071"/>
      </w:tabs>
      <w:ind w:left="1701"/>
    </w:pPr>
  </w:style>
  <w:style w:type="paragraph" w:customStyle="1" w:styleId="ListAlpha">
    <w:name w:val="List Alpha"/>
    <w:basedOn w:val="List"/>
    <w:rsid w:val="001A237F"/>
    <w:pPr>
      <w:numPr>
        <w:numId w:val="8"/>
      </w:numPr>
    </w:pPr>
  </w:style>
  <w:style w:type="paragraph" w:customStyle="1" w:styleId="ListAlpha2">
    <w:name w:val="List Alpha 2"/>
    <w:basedOn w:val="List2"/>
    <w:rsid w:val="001A237F"/>
    <w:pPr>
      <w:numPr>
        <w:numId w:val="7"/>
      </w:numPr>
    </w:pPr>
  </w:style>
  <w:style w:type="paragraph" w:styleId="List2">
    <w:name w:val="List 2"/>
    <w:basedOn w:val="BodyText"/>
    <w:rsid w:val="001A237F"/>
    <w:pPr>
      <w:tabs>
        <w:tab w:val="left" w:pos="680"/>
      </w:tabs>
      <w:spacing w:before="60" w:after="60"/>
      <w:ind w:left="680" w:hanging="340"/>
    </w:pPr>
  </w:style>
  <w:style w:type="paragraph" w:styleId="List3">
    <w:name w:val="List 3"/>
    <w:basedOn w:val="BodyText"/>
    <w:rsid w:val="001A237F"/>
    <w:pPr>
      <w:tabs>
        <w:tab w:val="left" w:pos="1021"/>
      </w:tabs>
      <w:spacing w:before="60" w:after="60"/>
      <w:ind w:left="1020" w:hanging="340"/>
    </w:pPr>
  </w:style>
  <w:style w:type="paragraph" w:styleId="List4">
    <w:name w:val="List 4"/>
    <w:basedOn w:val="BodyText"/>
    <w:rsid w:val="001A237F"/>
    <w:pPr>
      <w:tabs>
        <w:tab w:val="left" w:pos="1361"/>
      </w:tabs>
      <w:spacing w:before="60" w:after="60"/>
      <w:ind w:left="1361" w:hanging="340"/>
    </w:pPr>
  </w:style>
  <w:style w:type="paragraph" w:styleId="List5">
    <w:name w:val="List 5"/>
    <w:basedOn w:val="BodyText"/>
    <w:rsid w:val="001A237F"/>
    <w:pPr>
      <w:tabs>
        <w:tab w:val="left" w:pos="1701"/>
      </w:tabs>
      <w:spacing w:before="60" w:after="60"/>
      <w:ind w:left="1701" w:hanging="340"/>
    </w:pPr>
  </w:style>
  <w:style w:type="paragraph" w:styleId="ListBullet3">
    <w:name w:val="List Bullet 3"/>
    <w:basedOn w:val="List3"/>
    <w:rsid w:val="001A237F"/>
    <w:pPr>
      <w:numPr>
        <w:numId w:val="13"/>
      </w:numPr>
      <w:tabs>
        <w:tab w:val="clear" w:pos="1021"/>
      </w:tabs>
      <w:ind w:left="1037" w:hanging="357"/>
    </w:pPr>
  </w:style>
  <w:style w:type="paragraph" w:styleId="ListBullet4">
    <w:name w:val="List Bullet 4"/>
    <w:basedOn w:val="List4"/>
    <w:rsid w:val="001A237F"/>
    <w:pPr>
      <w:numPr>
        <w:numId w:val="2"/>
      </w:numPr>
      <w:tabs>
        <w:tab w:val="clear" w:pos="1361"/>
      </w:tabs>
    </w:pPr>
  </w:style>
  <w:style w:type="paragraph" w:styleId="ListBullet5">
    <w:name w:val="List Bullet 5"/>
    <w:basedOn w:val="List5"/>
    <w:rsid w:val="001A237F"/>
    <w:pPr>
      <w:numPr>
        <w:numId w:val="3"/>
      </w:numPr>
    </w:pPr>
  </w:style>
  <w:style w:type="paragraph" w:styleId="ListContinue2">
    <w:name w:val="List Continue 2"/>
    <w:basedOn w:val="List2"/>
    <w:rsid w:val="001A237F"/>
    <w:pPr>
      <w:ind w:firstLine="0"/>
    </w:pPr>
  </w:style>
  <w:style w:type="paragraph" w:styleId="ListContinue3">
    <w:name w:val="List Continue 3"/>
    <w:basedOn w:val="List3"/>
    <w:rsid w:val="001A237F"/>
    <w:pPr>
      <w:ind w:left="1021" w:firstLine="0"/>
    </w:pPr>
  </w:style>
  <w:style w:type="paragraph" w:styleId="ListContinue4">
    <w:name w:val="List Continue 4"/>
    <w:basedOn w:val="List4"/>
    <w:rsid w:val="001A237F"/>
    <w:pPr>
      <w:ind w:firstLine="0"/>
    </w:pPr>
  </w:style>
  <w:style w:type="paragraph" w:styleId="ListContinue5">
    <w:name w:val="List Continue 5"/>
    <w:basedOn w:val="List5"/>
    <w:rsid w:val="001A237F"/>
    <w:pPr>
      <w:ind w:firstLine="0"/>
    </w:pPr>
  </w:style>
  <w:style w:type="paragraph" w:styleId="ListNumber3">
    <w:name w:val="List Number 3"/>
    <w:basedOn w:val="List3"/>
    <w:rsid w:val="001A237F"/>
    <w:pPr>
      <w:numPr>
        <w:numId w:val="4"/>
      </w:numPr>
    </w:pPr>
  </w:style>
  <w:style w:type="paragraph" w:styleId="ListNumber4">
    <w:name w:val="List Number 4"/>
    <w:basedOn w:val="List4"/>
    <w:rsid w:val="001A237F"/>
    <w:pPr>
      <w:numPr>
        <w:numId w:val="5"/>
      </w:numPr>
    </w:pPr>
  </w:style>
  <w:style w:type="paragraph" w:styleId="ListNumber5">
    <w:name w:val="List Number 5"/>
    <w:basedOn w:val="List5"/>
    <w:rsid w:val="001A237F"/>
    <w:pPr>
      <w:numPr>
        <w:numId w:val="6"/>
      </w:numPr>
    </w:pPr>
  </w:style>
  <w:style w:type="paragraph" w:styleId="BlockText">
    <w:name w:val="Block Text"/>
    <w:basedOn w:val="Normal"/>
    <w:rsid w:val="001A237F"/>
    <w:pPr>
      <w:spacing w:after="120"/>
      <w:ind w:left="1440" w:right="1440"/>
    </w:pPr>
  </w:style>
  <w:style w:type="character" w:customStyle="1" w:styleId="Subscript">
    <w:name w:val="Subscript"/>
    <w:basedOn w:val="DefaultParagraphFont"/>
    <w:rsid w:val="001A237F"/>
    <w:rPr>
      <w:sz w:val="16"/>
      <w:vertAlign w:val="subscript"/>
    </w:rPr>
  </w:style>
  <w:style w:type="character" w:customStyle="1" w:styleId="Superscript">
    <w:name w:val="Superscript"/>
    <w:basedOn w:val="DefaultParagraphFont"/>
    <w:rsid w:val="001A237F"/>
    <w:rPr>
      <w:sz w:val="16"/>
      <w:vertAlign w:val="superscript"/>
    </w:rPr>
  </w:style>
  <w:style w:type="character" w:customStyle="1" w:styleId="Symbols">
    <w:name w:val="Symbols"/>
    <w:basedOn w:val="DefaultParagraphFont"/>
    <w:rsid w:val="001A237F"/>
    <w:rPr>
      <w:rFonts w:ascii="Symbol" w:hAnsi="Symbol"/>
    </w:rPr>
  </w:style>
  <w:style w:type="character" w:customStyle="1" w:styleId="MenuOptions">
    <w:name w:val="Menu Options"/>
    <w:basedOn w:val="DefaultParagraphFont"/>
    <w:rsid w:val="001A237F"/>
    <w:rPr>
      <w:rFonts w:ascii="Arial Narrow" w:hAnsi="Arial Narrow"/>
      <w:smallCaps/>
    </w:rPr>
  </w:style>
  <w:style w:type="character" w:customStyle="1" w:styleId="Buttons">
    <w:name w:val="Buttons"/>
    <w:basedOn w:val="DefaultParagraphFont"/>
    <w:rsid w:val="001A237F"/>
    <w:rPr>
      <w:b/>
    </w:rPr>
  </w:style>
  <w:style w:type="character" w:customStyle="1" w:styleId="Underlined">
    <w:name w:val="Underlined"/>
    <w:basedOn w:val="DefaultParagraphFont"/>
    <w:rsid w:val="001A237F"/>
    <w:rPr>
      <w:u w:val="single"/>
    </w:rPr>
  </w:style>
  <w:style w:type="paragraph" w:customStyle="1" w:styleId="TableBodyTextRight">
    <w:name w:val="Table Body Text Right"/>
    <w:basedOn w:val="TableBodyText"/>
    <w:rsid w:val="001A237F"/>
    <w:pPr>
      <w:widowControl w:val="0"/>
      <w:autoSpaceDE w:val="0"/>
      <w:autoSpaceDN w:val="0"/>
      <w:adjustRightInd w:val="0"/>
      <w:jc w:val="right"/>
    </w:pPr>
    <w:rPr>
      <w:rFonts w:cs="Arial"/>
      <w:szCs w:val="18"/>
    </w:rPr>
  </w:style>
  <w:style w:type="paragraph" w:customStyle="1" w:styleId="CopyrightText">
    <w:name w:val="Copyright Text"/>
    <w:basedOn w:val="BodyText"/>
    <w:rsid w:val="001A237F"/>
    <w:rPr>
      <w:sz w:val="18"/>
    </w:rPr>
  </w:style>
  <w:style w:type="paragraph" w:customStyle="1" w:styleId="BodySmallRight">
    <w:name w:val="Body Small Right"/>
    <w:basedOn w:val="BodyTextRight"/>
    <w:rsid w:val="001A237F"/>
    <w:rPr>
      <w:sz w:val="18"/>
      <w:szCs w:val="18"/>
    </w:rPr>
  </w:style>
  <w:style w:type="paragraph" w:customStyle="1" w:styleId="MarginEdition">
    <w:name w:val="Margin Edition"/>
    <w:basedOn w:val="MarginNote"/>
    <w:rsid w:val="001A237F"/>
    <w:pPr>
      <w:spacing w:before="0" w:after="0"/>
    </w:pPr>
    <w:rPr>
      <w:rFonts w:ascii="Times New Roman" w:hAnsi="Times New Roman"/>
      <w:color w:val="999999"/>
    </w:rPr>
  </w:style>
  <w:style w:type="paragraph" w:customStyle="1" w:styleId="Spacer">
    <w:name w:val="Spacer"/>
    <w:basedOn w:val="Normal"/>
    <w:rsid w:val="001A237F"/>
    <w:rPr>
      <w:sz w:val="2"/>
      <w:szCs w:val="2"/>
    </w:rPr>
  </w:style>
  <w:style w:type="character" w:customStyle="1" w:styleId="Small">
    <w:name w:val="Small"/>
    <w:basedOn w:val="DefaultParagraphFont"/>
    <w:rsid w:val="001A237F"/>
    <w:rPr>
      <w:sz w:val="16"/>
    </w:rPr>
  </w:style>
  <w:style w:type="paragraph" w:customStyle="1" w:styleId="WideTable">
    <w:name w:val="Wide Table"/>
    <w:basedOn w:val="Normal"/>
    <w:rsid w:val="001A237F"/>
    <w:pPr>
      <w:ind w:left="-1418"/>
    </w:pPr>
    <w:rPr>
      <w:sz w:val="2"/>
      <w:szCs w:val="2"/>
    </w:rPr>
  </w:style>
  <w:style w:type="character" w:styleId="PageNumber">
    <w:name w:val="page number"/>
    <w:basedOn w:val="DefaultParagraphFont"/>
    <w:rsid w:val="001A237F"/>
  </w:style>
  <w:style w:type="paragraph" w:styleId="Quote">
    <w:name w:val="Quote"/>
    <w:basedOn w:val="Heading1"/>
    <w:link w:val="QuoteChar"/>
    <w:qFormat/>
    <w:rsid w:val="001A237F"/>
    <w:rPr>
      <w:b w:val="0"/>
      <w:sz w:val="72"/>
      <w:szCs w:val="72"/>
      <w:lang w:val="en-NZ"/>
    </w:rPr>
  </w:style>
  <w:style w:type="character" w:customStyle="1" w:styleId="QuoteChar">
    <w:name w:val="Quote Char"/>
    <w:basedOn w:val="DefaultParagraphFont"/>
    <w:link w:val="Quote"/>
    <w:rsid w:val="001A23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237F"/>
    <w:pPr>
      <w:pageBreakBefore/>
    </w:pPr>
  </w:style>
  <w:style w:type="paragraph" w:customStyle="1" w:styleId="Border">
    <w:name w:val="Border"/>
    <w:basedOn w:val="Normal"/>
    <w:qFormat/>
    <w:rsid w:val="001A23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237F"/>
    <w:rPr>
      <w:b/>
      <w:bCs/>
      <w:i/>
      <w:iCs/>
      <w:color w:val="auto"/>
    </w:rPr>
  </w:style>
  <w:style w:type="paragraph" w:styleId="IntenseQuote">
    <w:name w:val="Intense Quote"/>
    <w:basedOn w:val="Normal"/>
    <w:next w:val="Normal"/>
    <w:link w:val="IntenseQuoteChar"/>
    <w:uiPriority w:val="30"/>
    <w:qFormat/>
    <w:rsid w:val="001A23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23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237F"/>
    <w:rPr>
      <w:smallCaps/>
      <w:color w:val="auto"/>
      <w:u w:val="single"/>
    </w:rPr>
  </w:style>
  <w:style w:type="character" w:styleId="IntenseReference">
    <w:name w:val="Intense Reference"/>
    <w:basedOn w:val="DefaultParagraphFont"/>
    <w:uiPriority w:val="32"/>
    <w:qFormat/>
    <w:rsid w:val="001A237F"/>
    <w:rPr>
      <w:b/>
      <w:bCs/>
      <w:smallCaps/>
      <w:color w:val="auto"/>
      <w:spacing w:val="5"/>
      <w:u w:val="single"/>
    </w:rPr>
  </w:style>
  <w:style w:type="paragraph" w:customStyle="1" w:styleId="2ColumnHeading">
    <w:name w:val="2Column Heading"/>
    <w:basedOn w:val="BodyText"/>
    <w:qFormat/>
    <w:rsid w:val="001A237F"/>
    <w:pPr>
      <w:spacing w:after="60"/>
      <w:ind w:left="-2268"/>
    </w:pPr>
    <w:rPr>
      <w:b/>
    </w:rPr>
  </w:style>
  <w:style w:type="paragraph" w:customStyle="1" w:styleId="Heading1TOC">
    <w:name w:val="Heading1 TOC"/>
    <w:basedOn w:val="Normal"/>
    <w:qFormat/>
    <w:rsid w:val="001A237F"/>
    <w:pPr>
      <w:spacing w:before="240" w:after="120"/>
    </w:pPr>
    <w:rPr>
      <w:rFonts w:ascii="Times New Roman" w:hAnsi="Times New Roman"/>
      <w:b/>
      <w:sz w:val="32"/>
    </w:rPr>
  </w:style>
  <w:style w:type="paragraph" w:customStyle="1" w:styleId="Heading2TOC">
    <w:name w:val="Heading2 TOC"/>
    <w:basedOn w:val="Normal"/>
    <w:qFormat/>
    <w:rsid w:val="001A237F"/>
    <w:pPr>
      <w:spacing w:before="240" w:after="60"/>
    </w:pPr>
    <w:rPr>
      <w:rFonts w:ascii="Times New Roman" w:hAnsi="Times New Roman"/>
      <w:b/>
      <w:sz w:val="28"/>
    </w:rPr>
  </w:style>
  <w:style w:type="character" w:customStyle="1" w:styleId="Underline">
    <w:name w:val="Underline"/>
    <w:basedOn w:val="DefaultParagraphFont"/>
    <w:qFormat/>
    <w:rsid w:val="001A237F"/>
    <w:rPr>
      <w:u w:val="single"/>
    </w:rPr>
  </w:style>
  <w:style w:type="character" w:customStyle="1" w:styleId="BoldandItalics">
    <w:name w:val="Bold and Italics"/>
    <w:qFormat/>
    <w:rsid w:val="001A237F"/>
    <w:rPr>
      <w:b/>
      <w:i/>
      <w:u w:val="none"/>
    </w:rPr>
  </w:style>
  <w:style w:type="paragraph" w:styleId="BalloonText">
    <w:name w:val="Balloon Text"/>
    <w:basedOn w:val="Normal"/>
    <w:link w:val="BalloonTextChar"/>
    <w:rsid w:val="001A237F"/>
    <w:rPr>
      <w:rFonts w:ascii="Tahoma" w:hAnsi="Tahoma" w:cs="Tahoma"/>
      <w:sz w:val="16"/>
      <w:szCs w:val="16"/>
    </w:rPr>
  </w:style>
  <w:style w:type="character" w:customStyle="1" w:styleId="BalloonTextChar">
    <w:name w:val="Balloon Text Char"/>
    <w:basedOn w:val="DefaultParagraphFont"/>
    <w:link w:val="BalloonText"/>
    <w:rsid w:val="001A23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23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23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237F"/>
    <w:rPr>
      <w:b/>
      <w:color w:val="660033"/>
      <w:spacing w:val="0"/>
    </w:rPr>
  </w:style>
  <w:style w:type="paragraph" w:customStyle="1" w:styleId="Nameditemlist">
    <w:name w:val="Named item list"/>
    <w:basedOn w:val="BodyText"/>
    <w:qFormat/>
    <w:rsid w:val="001A237F"/>
    <w:pPr>
      <w:tabs>
        <w:tab w:val="left" w:pos="2835"/>
      </w:tabs>
      <w:ind w:left="2835" w:hanging="2835"/>
    </w:pPr>
  </w:style>
  <w:style w:type="paragraph" w:customStyle="1" w:styleId="BodyTextnopadding">
    <w:name w:val="Body Text no padding"/>
    <w:basedOn w:val="BodyText"/>
    <w:qFormat/>
    <w:rsid w:val="001A237F"/>
    <w:pPr>
      <w:spacing w:before="0" w:after="0"/>
    </w:pPr>
  </w:style>
  <w:style w:type="paragraph" w:customStyle="1" w:styleId="BodyTextBold">
    <w:name w:val="Body Text Bold"/>
    <w:basedOn w:val="BodyText"/>
    <w:qFormat/>
    <w:rsid w:val="001A237F"/>
    <w:rPr>
      <w:b/>
    </w:rPr>
  </w:style>
  <w:style w:type="character" w:styleId="Hyperlink">
    <w:name w:val="Hyperlink"/>
    <w:basedOn w:val="DefaultParagraphFont"/>
    <w:uiPriority w:val="99"/>
    <w:unhideWhenUsed/>
    <w:rsid w:val="00E307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890</Words>
  <Characters>5530</Characters>
  <Application>Microsoft Office Word</Application>
  <DocSecurity>0</DocSecurity>
  <Lines>184</Lines>
  <Paragraphs>116</Paragraphs>
  <ScaleCrop>false</ScaleCrop>
  <Company>Author-it Software Corporation Ltd.</Company>
  <LinksUpToDate>false</LinksUpToDate>
  <CharactersWithSpaces>6304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DEFEXO003 Establish and maintain the safety and security of explosive warehouses and workshops</dc:title>
  <dc:subject>Approved</dc:subject>
  <dc:creator>Public Skills Australia</dc:creator>
  <cp:keywords>Release: 2</cp:keywords>
  <dc:description>Review Date: 12 April 2008</dc:description>
  <cp:lastModifiedBy>HSD_TPCMSd.prod</cp:lastModifiedBy>
  <cp:revision>3</cp:revision>
  <dcterms:created xsi:type="dcterms:W3CDTF">2025-03-01T13:41:00Z</dcterms:created>
  <dcterms:modified xsi:type="dcterms:W3CDTF">2025-03-01T13:41:00Z</dcterms:modified>
</cp:coreProperties>
</file>