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F46" w:rsidP="00816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DEFEXO002 Respond to fire</w:t>
      </w:r>
      <w:r>
        <w:fldChar w:fldCharType="end"/>
      </w:r>
    </w:p>
    <w:p w:rsidR="00816F46" w:rsidP="00816F46">
      <w:pPr>
        <w:pStyle w:val="Version"/>
        <w:sectPr w:rsidSect="00BB7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775F" w:rsidP="00BB775F">
      <w:pPr>
        <w:pStyle w:val="SuperHeading"/>
      </w:pPr>
      <w:r w:rsidRPr="00BB775F">
        <w:t>DEFEXO002 Respond to fire</w:t>
      </w:r>
    </w:p>
    <w:p w:rsidR="00000000" w:rsidRPr="00BB775F" w:rsidP="00BB775F">
      <w:pPr>
        <w:pStyle w:val="Heading1"/>
      </w:pPr>
      <w:bookmarkStart w:id="1" w:name="O_1095844"/>
      <w:bookmarkEnd w:id="1"/>
      <w:r w:rsidRPr="00BB77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Release 2. Modifications made to the Foundation Skills and Assessment Conditions.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Release 1. This unit was released in DEF Defence Training Package release 1.0 and meets the Standards for Training Packages.</w:t>
            </w:r>
          </w:p>
          <w:p w:rsidR="00000000" w:rsidRPr="00BB775F" w:rsidP="00BB775F">
            <w:pPr>
              <w:pStyle w:val="BodyText"/>
            </w:pPr>
            <w:r w:rsidRPr="00BB775F">
              <w:t>This unit supersedes and is</w:t>
            </w:r>
            <w:r w:rsidRPr="00BB775F">
              <w:t xml:space="preserve"> equivalent to DEFEO201C Respond to fire.</w:t>
            </w:r>
          </w:p>
          <w:p w:rsidR="00000000" w:rsidRPr="00BB775F" w:rsidP="00BB775F">
            <w:pPr>
              <w:pStyle w:val="ListBullet"/>
            </w:pPr>
            <w:r w:rsidRPr="00BB775F">
              <w:t>Unit code updated</w:t>
            </w:r>
          </w:p>
          <w:p w:rsidR="00000000" w:rsidRPr="00BB775F" w:rsidP="00BB775F">
            <w:pPr>
              <w:pStyle w:val="ListBullet"/>
            </w:pPr>
            <w:r w:rsidRPr="00BB775F">
              <w:t>Content and formatting updated to comply with the new standards</w:t>
            </w:r>
          </w:p>
          <w:p w:rsidR="00000000" w:rsidRPr="00BB775F" w:rsidP="00BB775F">
            <w:pPr>
              <w:pStyle w:val="ListBullet"/>
            </w:pPr>
            <w:r w:rsidRPr="00BB775F">
              <w:t>All PC transitioned from passive to active voice</w:t>
            </w:r>
          </w:p>
          <w:p w:rsidR="00000000" w:rsidRPr="00BB775F" w:rsidP="00BB775F">
            <w:pPr>
              <w:pStyle w:val="ListBullet"/>
            </w:pPr>
            <w:r w:rsidRPr="00BB775F">
              <w:t>PC 3.2 &amp; 3.3 merged</w:t>
            </w:r>
          </w:p>
          <w:p w:rsidR="00000000" w:rsidRPr="00BB775F" w:rsidP="00BB775F">
            <w:pPr>
              <w:pStyle w:val="ListBullet"/>
            </w:pPr>
            <w:r w:rsidRPr="00BB775F">
              <w:t>PC 3.4 removed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2" w:name="O_1095843"/>
      <w:bookmarkEnd w:id="2"/>
      <w:r w:rsidRPr="00BB77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This unit describes the skills required to carry out initial response to suppress a fire that may occur in an open field, building or storage area; and may be located on land, on board a ship at sea or in harbour, in the air; and may occur in the day or ni</w:t>
            </w:r>
            <w:r w:rsidRPr="00BB775F">
              <w:t>ght and under any weather conditions. It also includes the ability to identify the nature and classification of the fire, report the fire and carry out evacuation procedures.</w:t>
            </w:r>
          </w:p>
          <w:p w:rsidR="00000000" w:rsidRPr="00BB775F" w:rsidP="00BB775F">
            <w:pPr>
              <w:pStyle w:val="BodyText"/>
            </w:pPr>
            <w:r w:rsidRPr="00BB775F">
              <w:t>This unit applies to those who may be required to provide the initial response to</w:t>
            </w:r>
            <w:r w:rsidRPr="00BB775F">
              <w:t xml:space="preserve"> fire. The unit does not cover the competencies needed to become a professional or volunteer firefighter.</w:t>
            </w:r>
          </w:p>
          <w:p w:rsidR="00000000" w:rsidRPr="00BB775F" w:rsidP="00BB775F">
            <w:pPr>
              <w:pStyle w:val="BodyText"/>
            </w:pPr>
            <w:r w:rsidRPr="00BB775F">
              <w:t>The skills and knowledge described in this unit must be applied within the legislative, regulatory and policy environment in which they are carried ou</w:t>
            </w:r>
            <w:r w:rsidRPr="00BB775F">
              <w:t>t. Organisational policies and procedures must be consulted and adhered to.</w:t>
            </w:r>
          </w:p>
          <w:p w:rsidR="00000000" w:rsidRPr="00BB775F" w:rsidP="00BB775F">
            <w:pPr>
              <w:pStyle w:val="BodyText"/>
            </w:pPr>
            <w:r w:rsidRPr="00BB775F">
              <w:t xml:space="preserve">Those undertaking this unit would work independently and as part of a team, under direct and/or indirect supervision, use discretion and judgement, and take responsibility for the </w:t>
            </w:r>
            <w:r w:rsidRPr="00BB775F">
              <w:t>quality of their output. They would perform specific tasks in a defined range of contexts.</w:t>
            </w:r>
          </w:p>
          <w:p w:rsidR="00000000" w:rsidRPr="00BB775F" w:rsidP="00BB775F">
            <w:pPr>
              <w:pStyle w:val="BodyText"/>
            </w:pPr>
            <w:r w:rsidRPr="00BB775F">
              <w:t>No licensing, legislative or certification requirements apply to unit at the time of publication.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3" w:name="O_1100658"/>
      <w:bookmarkEnd w:id="3"/>
      <w:r w:rsidRPr="00BB77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Not applicable.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4" w:name="O_1095842"/>
      <w:bookmarkEnd w:id="4"/>
      <w:r w:rsidRPr="00BB775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Explosive Ordnance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5" w:name="O_1100659"/>
      <w:bookmarkEnd w:id="5"/>
      <w:r w:rsidRPr="00BB77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Not applicable.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6" w:name="O_1095841"/>
      <w:bookmarkEnd w:id="6"/>
      <w:r w:rsidRPr="00BB775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PERFORMANCE CRITERIA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Performance criteria describe the performance needed to demonstrate achievement of the element.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rPr>
                <w:rStyle w:val="SpecialBold"/>
              </w:rPr>
              <w:t>Prepare for fire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Access, interpret and apply procedures related to a fire emergency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Locate and check fire fighting equipment and refer for maintenance/replacement as required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rPr>
                <w:rStyle w:val="SpecialBold"/>
              </w:rPr>
              <w:t>Carry out initial notification and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Identify and confirm nature and scope of the fire and report to appropriate personnel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Assess fire situation and determine appropriate course of action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Notify relevant personnel of fire threat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Apply emergency evacuation procedures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rPr>
                <w:rStyle w:val="SpecialBold"/>
              </w:rPr>
              <w:t>Extinguish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t>Select appropriate fire extinguishing apparatus and or agent</w:t>
            </w:r>
          </w:p>
        </w:tc>
      </w:tr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5F">
            <w:pPr>
              <w:pStyle w:val="BodyText"/>
              <w:rPr>
                <w:lang w:val="en-NZ"/>
              </w:rPr>
            </w:pPr>
            <w:r w:rsidRPr="00BB775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Ensure fast knock down of fire using extinguisher at the appropriate range and time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7" w:name="O_1095840"/>
      <w:bookmarkEnd w:id="7"/>
      <w:r w:rsidRPr="00BB77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Foundation skills essential to performance are explicit in the performance criteria of this unit of competency.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8" w:name="O_1100660"/>
      <w:bookmarkEnd w:id="8"/>
      <w:r w:rsidRPr="00BB775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Range is restricted to essential operating conditions and any other variables essential to the work environment.</w:t>
            </w:r>
          </w:p>
          <w:p w:rsidR="00000000" w:rsidRPr="00BB775F" w:rsidP="00BB775F">
            <w:pPr>
              <w:pStyle w:val="BodyText"/>
            </w:pPr>
            <w:r w:rsidRPr="00BB775F">
              <w:t>Non-essential conditions may be found in the Companion Volume Implementation Guide.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9" w:name="O_1095839"/>
      <w:bookmarkEnd w:id="9"/>
      <w:r w:rsidRPr="00BB775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7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5F" w:rsidP="00BB775F">
            <w:pPr>
              <w:pStyle w:val="BodyText"/>
            </w:pPr>
            <w:r w:rsidRPr="00BB775F">
              <w:t>This unit supersedes and is equivalent to DEFEO201C Respond to fire.</w:t>
            </w:r>
          </w:p>
        </w:tc>
      </w:tr>
    </w:tbl>
    <w:p w:rsidR="00816F46" w:rsidP="00BB775F">
      <w:pPr>
        <w:pStyle w:val="NoPaddingFontSize1"/>
      </w:pPr>
    </w:p>
    <w:p w:rsidR="00816F46" w:rsidP="00BB775F">
      <w:pPr>
        <w:pStyle w:val="NoPaddingFontSize1"/>
      </w:pPr>
    </w:p>
    <w:p w:rsidR="00000000" w:rsidRPr="00BB775F" w:rsidP="00BB775F">
      <w:pPr>
        <w:pStyle w:val="Heading1"/>
      </w:pPr>
      <w:bookmarkStart w:id="10" w:name="O_1095845"/>
      <w:bookmarkEnd w:id="10"/>
      <w:r w:rsidRPr="00BB775F">
        <w:t>Links</w:t>
      </w:r>
    </w:p>
    <w:p w:rsidR="00000000" w:rsidRPr="00BB775F" w:rsidP="00816F46">
      <w:pPr>
        <w:pStyle w:val="BodyText"/>
      </w:pPr>
      <w:r w:rsidRPr="00BB77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725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B775F" w:rsidP="00BB775F"/>
    <w:sectPr w:rsidSect="00BB77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5F" w:rsidRPr="00816F46" w:rsidP="00816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6" w:rsidP="00BB7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F46" w:rsidP="00BB7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6F46" w:rsidP="00BB7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75F" w:rsidRPr="00816F46" w:rsidP="00816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6" w:rsidRPr="002D2AF8" w:rsidP="00BB7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DEFEXO002 Respond to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16F46" w:rsidP="00BB7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3E4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C5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75F"/>
  </w:style>
  <w:style w:type="character" w:customStyle="1" w:styleId="Heading1Char">
    <w:name w:val="Heading 1 Char"/>
    <w:basedOn w:val="DefaultParagraphFont"/>
    <w:link w:val="Heading1"/>
    <w:rsid w:val="00BB7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7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75F"/>
    <w:rPr>
      <w:b/>
      <w:spacing w:val="0"/>
    </w:rPr>
  </w:style>
  <w:style w:type="paragraph" w:customStyle="1" w:styleId="SuperHeading">
    <w:name w:val="SuperHeading"/>
    <w:basedOn w:val="Normal"/>
    <w:rsid w:val="00BB7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7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7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7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75F"/>
    <w:rPr>
      <w:i/>
    </w:rPr>
  </w:style>
  <w:style w:type="paragraph" w:styleId="Caption">
    <w:name w:val="caption"/>
    <w:basedOn w:val="BodyText"/>
    <w:next w:val="Normal"/>
    <w:qFormat/>
    <w:rsid w:val="00BB7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75F"/>
  </w:style>
  <w:style w:type="paragraph" w:styleId="TableofFigures">
    <w:name w:val="table of figures"/>
    <w:basedOn w:val="Normal"/>
    <w:next w:val="Normal"/>
    <w:semiHidden/>
    <w:rsid w:val="00BB7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7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75F"/>
    <w:rPr>
      <w:rFonts w:ascii="Wingdings" w:hAnsi="Wingdings"/>
    </w:rPr>
  </w:style>
  <w:style w:type="paragraph" w:customStyle="1" w:styleId="TableHeading">
    <w:name w:val="Table Heading"/>
    <w:basedOn w:val="HeadingBase"/>
    <w:rsid w:val="00BB7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75F"/>
    <w:rPr>
      <w:color w:val="0033CC"/>
      <w:u w:val="none"/>
    </w:rPr>
  </w:style>
  <w:style w:type="paragraph" w:customStyle="1" w:styleId="BodyTextRight">
    <w:name w:val="Body Text Right"/>
    <w:basedOn w:val="BodyText"/>
    <w:rsid w:val="00BB7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75F"/>
    <w:rPr>
      <w:sz w:val="32"/>
    </w:rPr>
  </w:style>
  <w:style w:type="paragraph" w:customStyle="1" w:styleId="HeadingProcedure">
    <w:name w:val="Heading Procedure"/>
    <w:basedOn w:val="HeadingBase"/>
    <w:next w:val="Normal"/>
    <w:rsid w:val="00BB7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75F"/>
    <w:pPr>
      <w:spacing w:before="60" w:after="60"/>
    </w:pPr>
  </w:style>
  <w:style w:type="paragraph" w:styleId="ListContinue">
    <w:name w:val="List Continue"/>
    <w:basedOn w:val="List"/>
    <w:rsid w:val="00BB775F"/>
    <w:pPr>
      <w:ind w:firstLine="0"/>
    </w:pPr>
  </w:style>
  <w:style w:type="paragraph" w:customStyle="1" w:styleId="ListNote">
    <w:name w:val="List Note"/>
    <w:basedOn w:val="List"/>
    <w:rsid w:val="00BB7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75F"/>
    <w:rPr>
      <w:rFonts w:ascii="Courier New" w:hAnsi="Courier New"/>
    </w:rPr>
  </w:style>
  <w:style w:type="paragraph" w:customStyle="1" w:styleId="NoteBullet">
    <w:name w:val="Note Bullet"/>
    <w:basedOn w:val="Note"/>
    <w:rsid w:val="00BB7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7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75F"/>
    <w:rPr>
      <w:b/>
      <w:smallCaps/>
    </w:rPr>
  </w:style>
  <w:style w:type="paragraph" w:customStyle="1" w:styleId="TableListNumber">
    <w:name w:val="Table List Number"/>
    <w:basedOn w:val="ListNumber"/>
    <w:rsid w:val="00BB7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75F"/>
    <w:pPr>
      <w:numPr>
        <w:numId w:val="8"/>
      </w:numPr>
    </w:pPr>
  </w:style>
  <w:style w:type="paragraph" w:customStyle="1" w:styleId="ListAlpha2">
    <w:name w:val="List Alpha 2"/>
    <w:basedOn w:val="List2"/>
    <w:rsid w:val="00BB775F"/>
    <w:pPr>
      <w:numPr>
        <w:numId w:val="7"/>
      </w:numPr>
    </w:pPr>
  </w:style>
  <w:style w:type="paragraph" w:styleId="List2">
    <w:name w:val="List 2"/>
    <w:basedOn w:val="BodyText"/>
    <w:rsid w:val="00BB7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7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7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75F"/>
    <w:pPr>
      <w:numPr>
        <w:numId w:val="3"/>
      </w:numPr>
    </w:pPr>
  </w:style>
  <w:style w:type="paragraph" w:styleId="ListContinue2">
    <w:name w:val="List Continue 2"/>
    <w:basedOn w:val="List2"/>
    <w:rsid w:val="00BB775F"/>
    <w:pPr>
      <w:ind w:firstLine="0"/>
    </w:pPr>
  </w:style>
  <w:style w:type="paragraph" w:styleId="ListContinue3">
    <w:name w:val="List Continue 3"/>
    <w:basedOn w:val="List3"/>
    <w:rsid w:val="00BB775F"/>
    <w:pPr>
      <w:ind w:left="1021" w:firstLine="0"/>
    </w:pPr>
  </w:style>
  <w:style w:type="paragraph" w:styleId="ListContinue4">
    <w:name w:val="List Continue 4"/>
    <w:basedOn w:val="List4"/>
    <w:rsid w:val="00BB775F"/>
    <w:pPr>
      <w:ind w:firstLine="0"/>
    </w:pPr>
  </w:style>
  <w:style w:type="paragraph" w:styleId="ListContinue5">
    <w:name w:val="List Continue 5"/>
    <w:basedOn w:val="List5"/>
    <w:rsid w:val="00BB775F"/>
    <w:pPr>
      <w:ind w:firstLine="0"/>
    </w:pPr>
  </w:style>
  <w:style w:type="paragraph" w:styleId="ListNumber3">
    <w:name w:val="List Number 3"/>
    <w:basedOn w:val="List3"/>
    <w:rsid w:val="00BB775F"/>
    <w:pPr>
      <w:numPr>
        <w:numId w:val="4"/>
      </w:numPr>
    </w:pPr>
  </w:style>
  <w:style w:type="paragraph" w:styleId="ListNumber4">
    <w:name w:val="List Number 4"/>
    <w:basedOn w:val="List4"/>
    <w:rsid w:val="00BB775F"/>
    <w:pPr>
      <w:numPr>
        <w:numId w:val="5"/>
      </w:numPr>
    </w:pPr>
  </w:style>
  <w:style w:type="paragraph" w:styleId="ListNumber5">
    <w:name w:val="List Number 5"/>
    <w:basedOn w:val="List5"/>
    <w:rsid w:val="00BB775F"/>
    <w:pPr>
      <w:numPr>
        <w:numId w:val="6"/>
      </w:numPr>
    </w:pPr>
  </w:style>
  <w:style w:type="paragraph" w:styleId="BlockText">
    <w:name w:val="Block Text"/>
    <w:basedOn w:val="Normal"/>
    <w:rsid w:val="00BB7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75F"/>
    <w:rPr>
      <w:sz w:val="16"/>
      <w:vertAlign w:val="superscript"/>
    </w:rPr>
  </w:style>
  <w:style w:type="character" w:customStyle="1" w:styleId="Symbols">
    <w:name w:val="Symbols"/>
    <w:basedOn w:val="DefaultParagraphFont"/>
    <w:rsid w:val="00BB775F"/>
    <w:rPr>
      <w:rFonts w:ascii="Symbol" w:hAnsi="Symbol"/>
    </w:rPr>
  </w:style>
  <w:style w:type="character" w:customStyle="1" w:styleId="MenuOptions">
    <w:name w:val="Menu Options"/>
    <w:basedOn w:val="DefaultParagraphFont"/>
    <w:rsid w:val="00BB7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75F"/>
    <w:rPr>
      <w:b/>
    </w:rPr>
  </w:style>
  <w:style w:type="character" w:customStyle="1" w:styleId="Underlined">
    <w:name w:val="Underlined"/>
    <w:basedOn w:val="DefaultParagraphFont"/>
    <w:rsid w:val="00BB775F"/>
    <w:rPr>
      <w:u w:val="single"/>
    </w:rPr>
  </w:style>
  <w:style w:type="paragraph" w:customStyle="1" w:styleId="TableBodyTextRight">
    <w:name w:val="Table Body Text Right"/>
    <w:basedOn w:val="TableBodyText"/>
    <w:rsid w:val="00BB7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75F"/>
    <w:rPr>
      <w:sz w:val="18"/>
    </w:rPr>
  </w:style>
  <w:style w:type="paragraph" w:customStyle="1" w:styleId="BodySmallRight">
    <w:name w:val="Body Small Right"/>
    <w:basedOn w:val="BodyTextRight"/>
    <w:rsid w:val="00BB775F"/>
    <w:rPr>
      <w:sz w:val="18"/>
      <w:szCs w:val="18"/>
    </w:rPr>
  </w:style>
  <w:style w:type="paragraph" w:customStyle="1" w:styleId="MarginEdition">
    <w:name w:val="Margin Edition"/>
    <w:basedOn w:val="MarginNote"/>
    <w:rsid w:val="00BB7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75F"/>
    <w:rPr>
      <w:sz w:val="2"/>
      <w:szCs w:val="2"/>
    </w:rPr>
  </w:style>
  <w:style w:type="character" w:customStyle="1" w:styleId="Small">
    <w:name w:val="Small"/>
    <w:basedOn w:val="DefaultParagraphFont"/>
    <w:rsid w:val="00BB775F"/>
    <w:rPr>
      <w:sz w:val="16"/>
    </w:rPr>
  </w:style>
  <w:style w:type="paragraph" w:customStyle="1" w:styleId="WideTable">
    <w:name w:val="Wide Table"/>
    <w:basedOn w:val="Normal"/>
    <w:rsid w:val="00BB7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75F"/>
  </w:style>
  <w:style w:type="paragraph" w:styleId="Quote">
    <w:name w:val="Quote"/>
    <w:basedOn w:val="Heading1"/>
    <w:link w:val="QuoteChar"/>
    <w:qFormat/>
    <w:rsid w:val="00BB7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75F"/>
    <w:pPr>
      <w:pageBreakBefore/>
    </w:pPr>
  </w:style>
  <w:style w:type="paragraph" w:customStyle="1" w:styleId="Border">
    <w:name w:val="Border"/>
    <w:basedOn w:val="Normal"/>
    <w:qFormat/>
    <w:rsid w:val="00BB7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75F"/>
    <w:rPr>
      <w:u w:val="single"/>
    </w:rPr>
  </w:style>
  <w:style w:type="character" w:customStyle="1" w:styleId="BoldandItalics">
    <w:name w:val="Bold and Italics"/>
    <w:qFormat/>
    <w:rsid w:val="00BB775F"/>
    <w:rPr>
      <w:b/>
      <w:i/>
      <w:u w:val="none"/>
    </w:rPr>
  </w:style>
  <w:style w:type="paragraph" w:styleId="BalloonText">
    <w:name w:val="Balloon Text"/>
    <w:basedOn w:val="Normal"/>
    <w:link w:val="BalloonTextChar"/>
    <w:rsid w:val="00BB7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75F"/>
    <w:pPr>
      <w:spacing w:before="0" w:after="0"/>
    </w:pPr>
  </w:style>
  <w:style w:type="paragraph" w:customStyle="1" w:styleId="BodyTextBold">
    <w:name w:val="Body Text Bold"/>
    <w:basedOn w:val="BodyText"/>
    <w:qFormat/>
    <w:rsid w:val="00BB775F"/>
    <w:rPr>
      <w:b/>
    </w:rPr>
  </w:style>
  <w:style w:type="character" w:styleId="Hyperlink">
    <w:name w:val="Hyperlink"/>
    <w:basedOn w:val="DefaultParagraphFont"/>
    <w:uiPriority w:val="99"/>
    <w:unhideWhenUsed/>
    <w:rsid w:val="00816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2998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DEFEXO002 Respond to fire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