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98A" w:rsidP="003779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DEFEVL006 Evaluate business performance</w:t>
      </w:r>
      <w:r>
        <w:fldChar w:fldCharType="end"/>
      </w:r>
    </w:p>
    <w:p w:rsidR="0037798A" w:rsidP="0037798A">
      <w:pPr>
        <w:pStyle w:val="Version"/>
        <w:sectPr w:rsidSect="007E12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E128C" w:rsidP="007E128C">
      <w:pPr>
        <w:pStyle w:val="SuperHeading"/>
      </w:pPr>
      <w:r w:rsidRPr="007E128C">
        <w:t>Assessment Requirements for DEFEVL006 Evaluate business performance</w:t>
      </w:r>
    </w:p>
    <w:p w:rsidR="00000000" w:rsidRPr="007E128C" w:rsidP="007E128C">
      <w:pPr>
        <w:pStyle w:val="Heading1"/>
      </w:pPr>
      <w:bookmarkStart w:id="1" w:name="O_1144385"/>
      <w:bookmarkEnd w:id="1"/>
      <w:r w:rsidRPr="007E128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1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28C">
            <w:pPr>
              <w:pStyle w:val="BodyText"/>
              <w:rPr>
                <w:lang w:val="en-NZ"/>
              </w:rPr>
            </w:pPr>
            <w:r w:rsidRPr="007E128C">
              <w:t xml:space="preserve">Release 2.0. This is the second release of this unit of competency in the DEF Defence Training Package Release 4.0. Modifications have been made </w:t>
            </w:r>
            <w:r w:rsidRPr="007E128C">
              <w:t>to Foundation Skills and Assessment Conditions.</w:t>
            </w:r>
          </w:p>
        </w:tc>
      </w:tr>
      <w:tr w:rsidTr="007E1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28C" w:rsidP="007E128C">
            <w:pPr>
              <w:pStyle w:val="BodyText"/>
            </w:pPr>
            <w:r w:rsidRPr="007E128C">
              <w:t>Release 1.0. These Assessment Requirements were released in DEF Defence Training Package release 1.0 and meet the Standards for Training Packages.</w:t>
            </w:r>
          </w:p>
        </w:tc>
      </w:tr>
    </w:tbl>
    <w:p w:rsidR="00000000" w:rsidRPr="007E128C" w:rsidP="007E128C">
      <w:pPr>
        <w:pStyle w:val="NoPaddingFontSize1"/>
      </w:pPr>
    </w:p>
    <w:p w:rsidR="00000000" w:rsidRPr="007E128C" w:rsidP="007E128C">
      <w:pPr>
        <w:pStyle w:val="AllowPageBreak"/>
      </w:pPr>
    </w:p>
    <w:p w:rsidR="00000000" w:rsidRPr="007E128C" w:rsidP="007E128C">
      <w:pPr>
        <w:pStyle w:val="Heading1"/>
      </w:pPr>
      <w:bookmarkStart w:id="2" w:name="O_1144384"/>
      <w:bookmarkEnd w:id="2"/>
      <w:r w:rsidRPr="007E128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1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28C">
            <w:pPr>
              <w:pStyle w:val="BodyText"/>
              <w:rPr>
                <w:lang w:val="en-NZ"/>
              </w:rPr>
            </w:pPr>
            <w:r w:rsidRPr="007E128C">
              <w:t xml:space="preserve">Evidence required </w:t>
            </w:r>
            <w:r w:rsidRPr="007E128C">
              <w:t>to demonstrate competence in this unit must be relevant to and satisfy all of the requirements of the elements and performance criteria on at least one occasion and includes:</w:t>
            </w:r>
          </w:p>
        </w:tc>
      </w:tr>
      <w:tr w:rsidTr="007E1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28C" w:rsidP="007E128C">
            <w:pPr>
              <w:pStyle w:val="ListBullet"/>
            </w:pPr>
            <w:r w:rsidRPr="007E128C">
              <w:t>evaluating information management systems, policies and procedures of an organi</w:t>
            </w:r>
            <w:r w:rsidRPr="007E128C">
              <w:t>sation</w:t>
            </w:r>
          </w:p>
          <w:p w:rsidR="00000000" w:rsidRPr="007E128C" w:rsidP="007E128C">
            <w:pPr>
              <w:pStyle w:val="ListBullet"/>
            </w:pPr>
            <w:r w:rsidRPr="007E128C">
              <w:t>accessing and interpreting the organisation</w:t>
            </w:r>
            <w:r>
              <w:t>’</w:t>
            </w:r>
            <w:r w:rsidRPr="007E128C">
              <w:t>s standards, missions, values and objectives</w:t>
            </w:r>
          </w:p>
          <w:p w:rsidR="00000000" w:rsidRPr="007E128C" w:rsidP="007E128C">
            <w:pPr>
              <w:pStyle w:val="ListBullet"/>
            </w:pPr>
            <w:r w:rsidRPr="007E128C">
              <w:t>seeking information relevant to the evaluation</w:t>
            </w:r>
          </w:p>
          <w:p w:rsidR="00000000" w:rsidRPr="007E128C" w:rsidP="007E128C">
            <w:pPr>
              <w:pStyle w:val="ListBullet"/>
            </w:pPr>
            <w:r w:rsidRPr="007E128C">
              <w:t>developing resources to support the evaluation process</w:t>
            </w:r>
          </w:p>
          <w:p w:rsidR="00000000" w:rsidRPr="007E128C" w:rsidP="007E128C">
            <w:pPr>
              <w:pStyle w:val="ListBullet"/>
            </w:pPr>
            <w:r w:rsidRPr="007E128C">
              <w:t>communicating with key sta</w:t>
            </w:r>
            <w:r w:rsidRPr="007E128C">
              <w:t>keholders in a clear and precise manner</w:t>
            </w:r>
          </w:p>
          <w:p w:rsidR="00000000" w:rsidRPr="007E128C" w:rsidP="007E128C">
            <w:pPr>
              <w:pStyle w:val="ListBullet"/>
            </w:pPr>
            <w:r w:rsidRPr="007E128C">
              <w:t>investigating training and workforce data</w:t>
            </w:r>
          </w:p>
          <w:p w:rsidR="00000000" w:rsidRPr="007E128C" w:rsidP="007E128C">
            <w:pPr>
              <w:pStyle w:val="ListBullet"/>
            </w:pPr>
            <w:r w:rsidRPr="007E128C">
              <w:t>determining and implementing improvement</w:t>
            </w:r>
          </w:p>
          <w:p w:rsidR="00000000" w:rsidRPr="007E128C" w:rsidP="007E128C">
            <w:pPr>
              <w:pStyle w:val="ListBullet"/>
            </w:pPr>
            <w:r w:rsidRPr="007E128C">
              <w:t>creating performance indicators</w:t>
            </w:r>
          </w:p>
          <w:p w:rsidR="00000000" w:rsidRPr="007E128C" w:rsidP="007E128C">
            <w:pPr>
              <w:pStyle w:val="ListBullet"/>
            </w:pPr>
            <w:r w:rsidRPr="007E128C">
              <w:t>developing a valid evaluation plan that includes:</w:t>
            </w:r>
          </w:p>
          <w:p w:rsidR="00000000" w:rsidRPr="007E128C" w:rsidP="007E128C">
            <w:pPr>
              <w:pStyle w:val="ListBullet2"/>
            </w:pPr>
            <w:r w:rsidRPr="007E128C">
              <w:t>methodology</w:t>
            </w:r>
          </w:p>
          <w:p w:rsidR="00000000" w:rsidRPr="007E128C" w:rsidP="007E128C">
            <w:pPr>
              <w:pStyle w:val="ListBullet2"/>
            </w:pPr>
            <w:r w:rsidRPr="007E128C">
              <w:t>responsibility of appropriate personne</w:t>
            </w:r>
            <w:r w:rsidRPr="007E128C">
              <w:t>l for conducting and participating in evaluations</w:t>
            </w:r>
          </w:p>
          <w:p w:rsidR="00000000" w:rsidRPr="007E128C" w:rsidP="007E128C">
            <w:pPr>
              <w:pStyle w:val="ListBullet2"/>
            </w:pPr>
            <w:r w:rsidRPr="007E128C">
              <w:t>performance indicators</w:t>
            </w:r>
          </w:p>
          <w:p w:rsidR="00000000" w:rsidRPr="007E128C" w:rsidP="007E128C">
            <w:pPr>
              <w:pStyle w:val="ListBullet2"/>
            </w:pPr>
            <w:r w:rsidRPr="007E128C">
              <w:t>agreement for data collection, storage and retrieval</w:t>
            </w:r>
          </w:p>
          <w:p w:rsidR="00000000" w:rsidRPr="007E128C" w:rsidP="007E128C">
            <w:pPr>
              <w:pStyle w:val="ListBullet2"/>
            </w:pPr>
            <w:r w:rsidRPr="007E128C">
              <w:t>procedures for editing and disseminating reports</w:t>
            </w:r>
          </w:p>
          <w:p w:rsidR="00000000" w:rsidRPr="007E128C" w:rsidP="007E128C">
            <w:pPr>
              <w:pStyle w:val="ListBullet2"/>
            </w:pPr>
            <w:r w:rsidRPr="007E128C">
              <w:t>agreement of the financing.</w:t>
            </w:r>
          </w:p>
        </w:tc>
      </w:tr>
    </w:tbl>
    <w:p w:rsidR="00000000" w:rsidRPr="007E128C" w:rsidP="007E128C">
      <w:pPr>
        <w:pStyle w:val="NoPaddingFontSize1"/>
      </w:pPr>
    </w:p>
    <w:p w:rsidR="00000000" w:rsidRPr="007E128C" w:rsidP="007E128C">
      <w:pPr>
        <w:pStyle w:val="AllowPageBreak"/>
      </w:pPr>
    </w:p>
    <w:p w:rsidR="00000000" w:rsidRPr="007E128C" w:rsidP="007E128C">
      <w:pPr>
        <w:pStyle w:val="Heading1"/>
      </w:pPr>
      <w:bookmarkStart w:id="3" w:name="O_1144383"/>
      <w:bookmarkEnd w:id="3"/>
      <w:r w:rsidRPr="007E128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1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28C">
            <w:pPr>
              <w:pStyle w:val="BodyText"/>
              <w:rPr>
                <w:lang w:val="en-NZ"/>
              </w:rPr>
            </w:pPr>
            <w:r w:rsidRPr="007E128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E1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28C" w:rsidP="007E128C">
            <w:pPr>
              <w:pStyle w:val="BodyText"/>
            </w:pPr>
            <w:r w:rsidRPr="007E128C">
              <w:t>Evidence required to demonstrate competence must satisfy all of the require</w:t>
            </w:r>
            <w:r w:rsidRPr="007E128C">
              <w:t>ments of the elements and performance criteria. If not otherwise specified the depth of knowledge demonstrated must be appropriate to the job context of the candidate.</w:t>
            </w:r>
          </w:p>
          <w:p w:rsidR="00000000" w:rsidRPr="007E128C" w:rsidP="007E128C">
            <w:pPr>
              <w:pStyle w:val="ListBullet"/>
            </w:pPr>
            <w:r w:rsidRPr="007E128C">
              <w:t>program design considerations (cost, equality, technically valid, ethics)</w:t>
            </w:r>
          </w:p>
          <w:p w:rsidR="00000000" w:rsidRPr="007E128C" w:rsidP="007E128C">
            <w:pPr>
              <w:pStyle w:val="ListBullet"/>
            </w:pPr>
            <w:r w:rsidRPr="007E128C">
              <w:t xml:space="preserve">quantitative </w:t>
            </w:r>
            <w:r w:rsidRPr="007E128C">
              <w:t>and qualitative methods for monitoring and evaluation</w:t>
            </w:r>
          </w:p>
          <w:p w:rsidR="00000000" w:rsidRPr="007E128C" w:rsidP="007E128C">
            <w:pPr>
              <w:pStyle w:val="ListBullet"/>
            </w:pPr>
            <w:r w:rsidRPr="007E128C">
              <w:t>data management</w:t>
            </w:r>
          </w:p>
          <w:p w:rsidR="00000000" w:rsidRPr="007E128C" w:rsidP="007E128C">
            <w:pPr>
              <w:pStyle w:val="ListBullet"/>
            </w:pPr>
            <w:r w:rsidRPr="007E128C">
              <w:t>ethical considerations</w:t>
            </w:r>
          </w:p>
          <w:p w:rsidR="00000000" w:rsidRPr="007E128C" w:rsidP="007E128C">
            <w:pPr>
              <w:pStyle w:val="ListBullet"/>
            </w:pPr>
            <w:r w:rsidRPr="007E128C">
              <w:t>organisational structures and lines of management authority</w:t>
            </w:r>
          </w:p>
          <w:p w:rsidR="00000000" w:rsidRPr="007E128C" w:rsidP="007E128C">
            <w:pPr>
              <w:pStyle w:val="ListBullet"/>
            </w:pPr>
            <w:r w:rsidRPr="007E128C">
              <w:t>terminology relating to quality evaluation processes</w:t>
            </w:r>
          </w:p>
          <w:p w:rsidR="00000000" w:rsidRPr="007E128C" w:rsidP="007E128C">
            <w:pPr>
              <w:pStyle w:val="ListBullet"/>
            </w:pPr>
            <w:r w:rsidRPr="007E128C">
              <w:t>evaluation models/methods</w:t>
            </w:r>
          </w:p>
          <w:p w:rsidR="00000000" w:rsidRPr="007E128C" w:rsidP="007E128C">
            <w:pPr>
              <w:pStyle w:val="ListBullet"/>
            </w:pPr>
            <w:r w:rsidRPr="007E128C">
              <w:t>records management syste</w:t>
            </w:r>
            <w:r w:rsidRPr="007E128C">
              <w:t>ms of the organisation</w:t>
            </w:r>
          </w:p>
          <w:p w:rsidR="00000000" w:rsidRPr="007E128C" w:rsidP="007E128C">
            <w:pPr>
              <w:pStyle w:val="ListBullet"/>
            </w:pPr>
            <w:r w:rsidRPr="007E128C">
              <w:t>relevant policy, legislation, codes of practice and national standards, including Commonwealth and state/territory legislation</w:t>
            </w:r>
          </w:p>
          <w:p w:rsidR="00000000" w:rsidRPr="007E128C" w:rsidP="007E128C">
            <w:pPr>
              <w:pStyle w:val="ListBullet"/>
            </w:pPr>
            <w:r w:rsidRPr="007E128C">
              <w:t>business and Human Resource models</w:t>
            </w:r>
          </w:p>
          <w:p w:rsidR="00000000" w:rsidRPr="007E128C" w:rsidP="007E128C">
            <w:pPr>
              <w:pStyle w:val="ListBullet"/>
            </w:pPr>
            <w:r w:rsidRPr="007E128C">
              <w:t>WHS relating to planning and conducting an evaluation.</w:t>
            </w:r>
          </w:p>
        </w:tc>
      </w:tr>
    </w:tbl>
    <w:p w:rsidR="00000000" w:rsidRPr="007E128C" w:rsidP="007E128C">
      <w:pPr>
        <w:pStyle w:val="NoPaddingFontSize1"/>
      </w:pPr>
    </w:p>
    <w:p w:rsidR="00000000" w:rsidRPr="007E128C" w:rsidP="007E128C">
      <w:pPr>
        <w:pStyle w:val="AllowPageBreak"/>
      </w:pPr>
    </w:p>
    <w:p w:rsidR="00000000" w:rsidRPr="007E128C" w:rsidP="007E128C">
      <w:pPr>
        <w:pStyle w:val="Heading1"/>
      </w:pPr>
      <w:bookmarkStart w:id="4" w:name="O_1144382"/>
      <w:bookmarkEnd w:id="4"/>
      <w:r w:rsidRPr="007E128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E12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28C" w:rsidP="007E128C">
            <w:pPr>
              <w:pStyle w:val="BodyText"/>
            </w:pPr>
            <w:r w:rsidRPr="007E128C">
              <w:t>Assessors must hold credentials specified within the Standards for Registered Training Organisations current at the time of assessment.</w:t>
            </w:r>
          </w:p>
          <w:p w:rsidR="00000000" w:rsidRPr="007E128C" w:rsidP="007E128C">
            <w:pPr>
              <w:pStyle w:val="BodyText"/>
            </w:pPr>
            <w:r w:rsidRPr="007E128C">
              <w:t>Assessment must satisfy the Principles of Assessment and Rules of Evidence and all regula</w:t>
            </w:r>
            <w:r w:rsidRPr="007E128C">
              <w:t>tory requirements included within the Standards for Registered Training Organisations current at the time of assessment.</w:t>
            </w:r>
          </w:p>
          <w:p w:rsidR="00000000" w:rsidRPr="007E128C" w:rsidP="007E128C">
            <w:pPr>
              <w:pStyle w:val="BodyText"/>
            </w:pPr>
            <w:r w:rsidRPr="007E128C">
              <w:t xml:space="preserve">Assessment must occur in workplace operational situations. Where this is not appropriate, assessment must occur in simulated workplace </w:t>
            </w:r>
            <w:r w:rsidRPr="007E128C">
              <w:t>operational situations that reflect workplace conditions.</w:t>
            </w:r>
          </w:p>
          <w:p w:rsidR="00000000" w:rsidRPr="007E128C" w:rsidP="007E128C">
            <w:pPr>
              <w:pStyle w:val="BodyText"/>
            </w:pPr>
            <w:r w:rsidRPr="007E128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E128C" w:rsidP="007E128C">
            <w:pPr>
              <w:pStyle w:val="BodyText"/>
            </w:pPr>
            <w:r w:rsidRPr="007E128C">
              <w:t xml:space="preserve">Resources for assessment must </w:t>
            </w:r>
            <w:r w:rsidRPr="007E128C">
              <w:t>include access to:</w:t>
            </w:r>
          </w:p>
          <w:p w:rsidR="00000000" w:rsidRPr="007E128C" w:rsidP="007E128C">
            <w:pPr>
              <w:pStyle w:val="ListBullet"/>
            </w:pPr>
            <w:r w:rsidRPr="007E128C">
              <w:t xml:space="preserve">a range of relevant exercises, case studies and/or simulations </w:t>
            </w:r>
          </w:p>
          <w:p w:rsidR="00000000" w:rsidRPr="007E128C" w:rsidP="007E128C">
            <w:pPr>
              <w:pStyle w:val="ListBullet"/>
            </w:pPr>
            <w:r w:rsidRPr="007E128C">
              <w:t xml:space="preserve">acceptable means of simulation assessment </w:t>
            </w:r>
          </w:p>
          <w:p w:rsidR="00000000" w:rsidRPr="007E128C" w:rsidP="007E128C">
            <w:pPr>
              <w:pStyle w:val="ListBullet"/>
            </w:pPr>
            <w:r w:rsidRPr="007E128C">
              <w:t xml:space="preserve">applicable documentation, including workplace procedures, regulations, codes of practice and operation manuals </w:t>
            </w:r>
          </w:p>
          <w:p w:rsidR="00000000" w:rsidRPr="007E128C" w:rsidP="007E128C">
            <w:pPr>
              <w:pStyle w:val="ListBullet"/>
            </w:pPr>
            <w:r w:rsidRPr="007E128C">
              <w:t>relevant material</w:t>
            </w:r>
            <w:r w:rsidRPr="007E128C">
              <w:t>s, tools, equipment and PPE currently used in industry.</w:t>
            </w:r>
          </w:p>
        </w:tc>
      </w:tr>
    </w:tbl>
    <w:p w:rsidR="00000000" w:rsidRPr="007E128C" w:rsidP="007E128C">
      <w:pPr>
        <w:pStyle w:val="NoPaddingFontSize1"/>
      </w:pPr>
    </w:p>
    <w:p w:rsidR="00000000" w:rsidRPr="007E128C" w:rsidP="007E128C">
      <w:pPr>
        <w:pStyle w:val="AllowPageBreak"/>
      </w:pPr>
    </w:p>
    <w:p w:rsidR="00000000" w:rsidRPr="007E128C" w:rsidP="007E128C">
      <w:pPr>
        <w:pStyle w:val="Heading1"/>
      </w:pPr>
      <w:bookmarkStart w:id="5" w:name="O_1144394"/>
      <w:bookmarkEnd w:id="5"/>
      <w:r w:rsidRPr="007E128C">
        <w:t>Links</w:t>
      </w:r>
    </w:p>
    <w:p w:rsidR="00000000" w:rsidRPr="007E128C" w:rsidP="0037798A">
      <w:pPr>
        <w:pStyle w:val="BodyText"/>
      </w:pPr>
      <w:r w:rsidRPr="007E128C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4631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E128C" w:rsidP="007E128C"/>
    <w:sectPr w:rsidSect="007E12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2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28C" w:rsidRPr="0037798A" w:rsidP="003779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2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8A" w:rsidP="007E12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798A" w:rsidP="007E12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7798A" w:rsidP="007E12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2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128C" w:rsidRPr="0037798A" w:rsidP="003779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2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8A" w:rsidRPr="002D2AF8" w:rsidP="007E12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DEFEVL006 Evaluate business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7798A" w:rsidP="007E12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862A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38E5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6671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2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12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12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12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12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12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12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12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12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12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12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128C"/>
  </w:style>
  <w:style w:type="character" w:customStyle="1" w:styleId="Heading1Char">
    <w:name w:val="Heading 1 Char"/>
    <w:basedOn w:val="DefaultParagraphFont"/>
    <w:link w:val="Heading1"/>
    <w:rsid w:val="007E12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12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12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128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12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12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12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E12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12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12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1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1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1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1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12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12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12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12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12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12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12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12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12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12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12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12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12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128C"/>
    <w:rPr>
      <w:b/>
      <w:spacing w:val="0"/>
    </w:rPr>
  </w:style>
  <w:style w:type="paragraph" w:customStyle="1" w:styleId="SuperTitle">
    <w:name w:val="SuperTitle"/>
    <w:basedOn w:val="Title"/>
    <w:rsid w:val="007E12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12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12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12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12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12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12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12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12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12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12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12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128C"/>
    <w:rPr>
      <w:i/>
    </w:rPr>
  </w:style>
  <w:style w:type="paragraph" w:styleId="Caption">
    <w:name w:val="caption"/>
    <w:basedOn w:val="BodyText"/>
    <w:next w:val="Normal"/>
    <w:qFormat/>
    <w:rsid w:val="007E12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12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12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128C"/>
  </w:style>
  <w:style w:type="paragraph" w:styleId="TableofFigures">
    <w:name w:val="table of figures"/>
    <w:basedOn w:val="Normal"/>
    <w:next w:val="Normal"/>
    <w:semiHidden/>
    <w:rsid w:val="007E12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12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128C"/>
    <w:rPr>
      <w:rFonts w:ascii="Wingdings" w:hAnsi="Wingdings"/>
    </w:rPr>
  </w:style>
  <w:style w:type="paragraph" w:customStyle="1" w:styleId="TableHeading">
    <w:name w:val="Table Heading"/>
    <w:basedOn w:val="HeadingBase"/>
    <w:rsid w:val="007E12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128C"/>
    <w:rPr>
      <w:color w:val="0033CC"/>
      <w:u w:val="none"/>
    </w:rPr>
  </w:style>
  <w:style w:type="paragraph" w:customStyle="1" w:styleId="BodyTextRight">
    <w:name w:val="Body Text Right"/>
    <w:basedOn w:val="BodyText"/>
    <w:rsid w:val="007E12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12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12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12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12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12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128C"/>
    <w:rPr>
      <w:sz w:val="32"/>
    </w:rPr>
  </w:style>
  <w:style w:type="paragraph" w:customStyle="1" w:styleId="HeadingProcedure">
    <w:name w:val="Heading Procedure"/>
    <w:basedOn w:val="HeadingBase"/>
    <w:next w:val="Normal"/>
    <w:rsid w:val="007E12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128C"/>
    <w:pPr>
      <w:spacing w:before="60" w:after="60"/>
    </w:pPr>
  </w:style>
  <w:style w:type="paragraph" w:styleId="ListContinue">
    <w:name w:val="List Continue"/>
    <w:basedOn w:val="List"/>
    <w:rsid w:val="007E128C"/>
    <w:pPr>
      <w:ind w:firstLine="0"/>
    </w:pPr>
  </w:style>
  <w:style w:type="paragraph" w:customStyle="1" w:styleId="ListNote">
    <w:name w:val="List Note"/>
    <w:basedOn w:val="List"/>
    <w:rsid w:val="007E12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12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12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128C"/>
    <w:rPr>
      <w:rFonts w:ascii="Courier New" w:hAnsi="Courier New"/>
    </w:rPr>
  </w:style>
  <w:style w:type="paragraph" w:customStyle="1" w:styleId="NoteBullet">
    <w:name w:val="Note Bullet"/>
    <w:basedOn w:val="Note"/>
    <w:rsid w:val="007E12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12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12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12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12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12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12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128C"/>
    <w:rPr>
      <w:b/>
      <w:smallCaps/>
    </w:rPr>
  </w:style>
  <w:style w:type="paragraph" w:customStyle="1" w:styleId="TableListNumber">
    <w:name w:val="Table List Number"/>
    <w:basedOn w:val="ListNumber"/>
    <w:rsid w:val="007E12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12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128C"/>
    <w:pPr>
      <w:numPr>
        <w:numId w:val="9"/>
      </w:numPr>
    </w:pPr>
  </w:style>
  <w:style w:type="paragraph" w:customStyle="1" w:styleId="ListAlpha2">
    <w:name w:val="List Alpha 2"/>
    <w:basedOn w:val="List2"/>
    <w:rsid w:val="007E128C"/>
    <w:pPr>
      <w:numPr>
        <w:numId w:val="8"/>
      </w:numPr>
    </w:pPr>
  </w:style>
  <w:style w:type="paragraph" w:styleId="List2">
    <w:name w:val="List 2"/>
    <w:basedOn w:val="BodyText"/>
    <w:rsid w:val="007E12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12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12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12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12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12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128C"/>
    <w:pPr>
      <w:numPr>
        <w:numId w:val="4"/>
      </w:numPr>
    </w:pPr>
  </w:style>
  <w:style w:type="paragraph" w:styleId="ListContinue2">
    <w:name w:val="List Continue 2"/>
    <w:basedOn w:val="List2"/>
    <w:rsid w:val="007E128C"/>
    <w:pPr>
      <w:ind w:firstLine="0"/>
    </w:pPr>
  </w:style>
  <w:style w:type="paragraph" w:styleId="ListContinue3">
    <w:name w:val="List Continue 3"/>
    <w:basedOn w:val="List3"/>
    <w:rsid w:val="007E128C"/>
    <w:pPr>
      <w:ind w:left="1021" w:firstLine="0"/>
    </w:pPr>
  </w:style>
  <w:style w:type="paragraph" w:styleId="ListContinue4">
    <w:name w:val="List Continue 4"/>
    <w:basedOn w:val="List4"/>
    <w:rsid w:val="007E128C"/>
    <w:pPr>
      <w:ind w:firstLine="0"/>
    </w:pPr>
  </w:style>
  <w:style w:type="paragraph" w:styleId="ListContinue5">
    <w:name w:val="List Continue 5"/>
    <w:basedOn w:val="List5"/>
    <w:rsid w:val="007E128C"/>
    <w:pPr>
      <w:ind w:firstLine="0"/>
    </w:pPr>
  </w:style>
  <w:style w:type="paragraph" w:styleId="ListNumber3">
    <w:name w:val="List Number 3"/>
    <w:basedOn w:val="List3"/>
    <w:rsid w:val="007E128C"/>
    <w:pPr>
      <w:numPr>
        <w:numId w:val="5"/>
      </w:numPr>
    </w:pPr>
  </w:style>
  <w:style w:type="paragraph" w:styleId="ListNumber4">
    <w:name w:val="List Number 4"/>
    <w:basedOn w:val="List4"/>
    <w:rsid w:val="007E128C"/>
    <w:pPr>
      <w:numPr>
        <w:numId w:val="6"/>
      </w:numPr>
    </w:pPr>
  </w:style>
  <w:style w:type="paragraph" w:styleId="ListNumber5">
    <w:name w:val="List Number 5"/>
    <w:basedOn w:val="List5"/>
    <w:rsid w:val="007E128C"/>
    <w:pPr>
      <w:numPr>
        <w:numId w:val="7"/>
      </w:numPr>
    </w:pPr>
  </w:style>
  <w:style w:type="paragraph" w:styleId="BlockText">
    <w:name w:val="Block Text"/>
    <w:basedOn w:val="Normal"/>
    <w:rsid w:val="007E12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12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128C"/>
    <w:rPr>
      <w:sz w:val="16"/>
      <w:vertAlign w:val="superscript"/>
    </w:rPr>
  </w:style>
  <w:style w:type="character" w:customStyle="1" w:styleId="Symbols">
    <w:name w:val="Symbols"/>
    <w:basedOn w:val="DefaultParagraphFont"/>
    <w:rsid w:val="007E128C"/>
    <w:rPr>
      <w:rFonts w:ascii="Symbol" w:hAnsi="Symbol"/>
    </w:rPr>
  </w:style>
  <w:style w:type="character" w:customStyle="1" w:styleId="MenuOptions">
    <w:name w:val="Menu Options"/>
    <w:basedOn w:val="DefaultParagraphFont"/>
    <w:rsid w:val="007E12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128C"/>
    <w:rPr>
      <w:b/>
    </w:rPr>
  </w:style>
  <w:style w:type="character" w:customStyle="1" w:styleId="Underlined">
    <w:name w:val="Underlined"/>
    <w:basedOn w:val="DefaultParagraphFont"/>
    <w:rsid w:val="007E128C"/>
    <w:rPr>
      <w:u w:val="single"/>
    </w:rPr>
  </w:style>
  <w:style w:type="paragraph" w:customStyle="1" w:styleId="TableBodyTextRight">
    <w:name w:val="Table Body Text Right"/>
    <w:basedOn w:val="TableBodyText"/>
    <w:rsid w:val="007E12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128C"/>
    <w:rPr>
      <w:sz w:val="18"/>
    </w:rPr>
  </w:style>
  <w:style w:type="paragraph" w:customStyle="1" w:styleId="BodySmallRight">
    <w:name w:val="Body Small Right"/>
    <w:basedOn w:val="BodyTextRight"/>
    <w:rsid w:val="007E128C"/>
    <w:rPr>
      <w:sz w:val="18"/>
      <w:szCs w:val="18"/>
    </w:rPr>
  </w:style>
  <w:style w:type="paragraph" w:customStyle="1" w:styleId="MarginEdition">
    <w:name w:val="Margin Edition"/>
    <w:basedOn w:val="MarginNote"/>
    <w:rsid w:val="007E12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128C"/>
    <w:rPr>
      <w:sz w:val="2"/>
      <w:szCs w:val="2"/>
    </w:rPr>
  </w:style>
  <w:style w:type="character" w:customStyle="1" w:styleId="Small">
    <w:name w:val="Small"/>
    <w:basedOn w:val="DefaultParagraphFont"/>
    <w:rsid w:val="007E128C"/>
    <w:rPr>
      <w:sz w:val="16"/>
    </w:rPr>
  </w:style>
  <w:style w:type="paragraph" w:customStyle="1" w:styleId="WideTable">
    <w:name w:val="Wide Table"/>
    <w:basedOn w:val="Normal"/>
    <w:rsid w:val="007E12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128C"/>
  </w:style>
  <w:style w:type="paragraph" w:styleId="Quote">
    <w:name w:val="Quote"/>
    <w:basedOn w:val="Heading1"/>
    <w:link w:val="QuoteChar"/>
    <w:qFormat/>
    <w:rsid w:val="007E12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12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128C"/>
    <w:pPr>
      <w:pageBreakBefore/>
    </w:pPr>
  </w:style>
  <w:style w:type="paragraph" w:customStyle="1" w:styleId="Border">
    <w:name w:val="Border"/>
    <w:basedOn w:val="Normal"/>
    <w:qFormat/>
    <w:rsid w:val="007E12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12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2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2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12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12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12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12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12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128C"/>
    <w:rPr>
      <w:u w:val="single"/>
    </w:rPr>
  </w:style>
  <w:style w:type="character" w:customStyle="1" w:styleId="BoldandItalics">
    <w:name w:val="Bold and Italics"/>
    <w:qFormat/>
    <w:rsid w:val="007E128C"/>
    <w:rPr>
      <w:b/>
      <w:i/>
      <w:u w:val="none"/>
    </w:rPr>
  </w:style>
  <w:style w:type="paragraph" w:styleId="BalloonText">
    <w:name w:val="Balloon Text"/>
    <w:basedOn w:val="Normal"/>
    <w:link w:val="BalloonTextChar"/>
    <w:rsid w:val="007E12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12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12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12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12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12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128C"/>
    <w:pPr>
      <w:spacing w:before="0" w:after="0"/>
    </w:pPr>
  </w:style>
  <w:style w:type="paragraph" w:customStyle="1" w:styleId="BodyTextBold">
    <w:name w:val="Body Text Bold"/>
    <w:basedOn w:val="BodyText"/>
    <w:qFormat/>
    <w:rsid w:val="007E128C"/>
    <w:rPr>
      <w:b/>
    </w:rPr>
  </w:style>
  <w:style w:type="character" w:styleId="Hyperlink">
    <w:name w:val="Hyperlink"/>
    <w:basedOn w:val="DefaultParagraphFont"/>
    <w:uiPriority w:val="99"/>
    <w:unhideWhenUsed/>
    <w:rsid w:val="003779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500</Words>
  <Characters>3416</Characters>
  <Application>Microsoft Office Word</Application>
  <DocSecurity>0</DocSecurity>
  <Lines>79</Lines>
  <Paragraphs>58</Paragraphs>
  <ScaleCrop>false</ScaleCrop>
  <Company>Author-it Software Corporation Ltd.</Company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DEFEVL006 Evaluate business performance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2024-11-07T12:08:00Z</dcterms:created>
  <dcterms:modified xsi:type="dcterms:W3CDTF">2024-11-07T12:08:00Z</dcterms:modified>
</cp:coreProperties>
</file>