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744" w:rsidP="00915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DEFEAP003 Use enterprise architecture tools</w:t>
      </w:r>
      <w:r>
        <w:fldChar w:fldCharType="end"/>
      </w:r>
    </w:p>
    <w:p w:rsidR="00915744" w:rsidP="00915744">
      <w:pPr>
        <w:pStyle w:val="Version"/>
        <w:sectPr w:rsidSect="00C90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25D" w:rsidP="00C9025D">
      <w:pPr>
        <w:pStyle w:val="SuperHeading"/>
      </w:pPr>
      <w:r w:rsidRPr="00C9025D">
        <w:t>DEFEAP003 Use enterprise architecture tools</w:t>
      </w:r>
    </w:p>
    <w:p w:rsidR="00000000" w:rsidRPr="00C9025D" w:rsidP="00C9025D">
      <w:pPr>
        <w:pStyle w:val="Heading1"/>
      </w:pPr>
      <w:bookmarkStart w:id="1" w:name="O_957242"/>
      <w:bookmarkEnd w:id="1"/>
      <w:r w:rsidRPr="00C902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t>Release 1. This is the first release of this unit of competency in the DEF Defence Training Package.</w:t>
            </w:r>
          </w:p>
        </w:tc>
      </w:tr>
    </w:tbl>
    <w:p w:rsidR="00000000" w:rsidRPr="00C9025D" w:rsidP="00C9025D">
      <w:pPr>
        <w:pStyle w:val="NoPaddingFontSize1"/>
      </w:pPr>
    </w:p>
    <w:p w:rsidR="00000000" w:rsidRPr="00C9025D" w:rsidP="00C9025D">
      <w:pPr>
        <w:pStyle w:val="AllowPageBreak"/>
      </w:pPr>
    </w:p>
    <w:p w:rsidR="00000000" w:rsidRPr="00C9025D" w:rsidP="00C9025D">
      <w:pPr>
        <w:pStyle w:val="Heading1"/>
      </w:pPr>
      <w:bookmarkStart w:id="2" w:name="O_957243"/>
      <w:bookmarkEnd w:id="2"/>
      <w:r w:rsidRPr="00C902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t>This unit specifies the skills and knowledge required to use agreed organisational enterprise architect</w:t>
            </w:r>
            <w:r w:rsidRPr="00C9025D">
              <w:t>ure tools to permit the implementation of the enterprise architecture by various elements of the organisation.</w:t>
            </w:r>
          </w:p>
          <w:p w:rsidR="00000000" w:rsidRPr="00C9025D" w:rsidP="00C9025D">
            <w:pPr>
              <w:pStyle w:val="BodyText"/>
            </w:pPr>
            <w:r w:rsidRPr="00C9025D">
              <w:t>It includes operating software to use operational, systems and technical tools.</w:t>
            </w:r>
          </w:p>
          <w:p w:rsidR="00000000" w:rsidRPr="00C9025D" w:rsidP="00C9025D">
            <w:pPr>
              <w:pStyle w:val="BodyText"/>
            </w:pPr>
            <w:r w:rsidRPr="00C9025D">
              <w:t xml:space="preserve">This unit applies to those working in an enterprise architecture </w:t>
            </w:r>
            <w:r w:rsidRPr="00C9025D">
              <w:t>practice for Defence but may be applicable to anyone in this field.</w:t>
            </w:r>
          </w:p>
          <w:p w:rsidR="00000000" w:rsidRPr="00C9025D" w:rsidP="00C9025D">
            <w:pPr>
              <w:pStyle w:val="BodyText"/>
            </w:pPr>
            <w:r w:rsidRPr="00C9025D">
              <w:t>The skills and knowledge described in this unit must be applied within the legislative, regulatory and policy environment in which they are carried out. Organisational policies and procedu</w:t>
            </w:r>
            <w:r w:rsidRPr="00C9025D">
              <w:t>res must be consulted and adhered to.</w:t>
            </w:r>
          </w:p>
          <w:p w:rsidR="00000000" w:rsidRPr="00C9025D" w:rsidP="00C9025D">
            <w:pPr>
              <w:pStyle w:val="BodyText"/>
            </w:pPr>
            <w:r w:rsidRPr="00C9025D">
              <w:t>Persons undertaking this unit work autonomously and perform sophisticated tasks in familiar contexts.</w:t>
            </w:r>
          </w:p>
          <w:p w:rsidR="00000000" w:rsidRPr="00C9025D" w:rsidP="00C9025D">
            <w:pPr>
              <w:pStyle w:val="BodyText"/>
            </w:pPr>
            <w:r w:rsidRPr="00C9025D">
              <w:t>No licensing, legislative or certification requirements apply to this unit at the time of publication.</w:t>
            </w:r>
          </w:p>
        </w:tc>
      </w:tr>
    </w:tbl>
    <w:p w:rsidR="00000000" w:rsidRPr="00C9025D" w:rsidP="00C9025D">
      <w:pPr>
        <w:pStyle w:val="NoPaddingFontSize1"/>
      </w:pPr>
    </w:p>
    <w:p w:rsidR="00000000" w:rsidRPr="00C9025D" w:rsidP="00C9025D">
      <w:pPr>
        <w:pStyle w:val="AllowPageBreak"/>
      </w:pPr>
    </w:p>
    <w:p w:rsidR="00000000" w:rsidRPr="00C9025D" w:rsidP="00C9025D">
      <w:pPr>
        <w:pStyle w:val="Heading1"/>
      </w:pPr>
      <w:bookmarkStart w:id="3" w:name="O_957244"/>
      <w:bookmarkEnd w:id="3"/>
      <w:r w:rsidRPr="00C902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t>Not applicable</w:t>
            </w:r>
          </w:p>
        </w:tc>
      </w:tr>
    </w:tbl>
    <w:p w:rsidR="00000000" w:rsidRPr="00C9025D" w:rsidP="00C9025D">
      <w:pPr>
        <w:pStyle w:val="NoPaddingFontSize1"/>
      </w:pPr>
    </w:p>
    <w:p w:rsidR="00000000" w:rsidRPr="00C9025D" w:rsidP="00C9025D">
      <w:pPr>
        <w:pStyle w:val="AllowPageBreak"/>
      </w:pPr>
    </w:p>
    <w:p w:rsidR="00000000" w:rsidRPr="00C9025D" w:rsidP="00C9025D">
      <w:pPr>
        <w:pStyle w:val="Heading1"/>
      </w:pPr>
      <w:bookmarkStart w:id="4" w:name="O_957245"/>
      <w:bookmarkEnd w:id="4"/>
      <w:r w:rsidRPr="00C902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t>Enterprise Architecture Practice</w:t>
            </w:r>
          </w:p>
        </w:tc>
      </w:tr>
    </w:tbl>
    <w:p w:rsidR="00000000" w:rsidRPr="00C9025D" w:rsidP="00C9025D">
      <w:pPr>
        <w:pStyle w:val="NoPaddingFontSize1"/>
      </w:pPr>
    </w:p>
    <w:p w:rsidR="00000000" w:rsidRPr="00C9025D" w:rsidP="00C9025D">
      <w:pPr>
        <w:pStyle w:val="AllowPageBreak"/>
      </w:pPr>
    </w:p>
    <w:p w:rsidR="00000000" w:rsidRPr="00C9025D" w:rsidP="00C9025D">
      <w:pPr>
        <w:pStyle w:val="Heading1"/>
      </w:pPr>
      <w:bookmarkStart w:id="5" w:name="O_957246"/>
      <w:bookmarkEnd w:id="5"/>
      <w:r w:rsidRPr="00C902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t>Not applicable.</w:t>
            </w:r>
          </w:p>
        </w:tc>
      </w:tr>
    </w:tbl>
    <w:p w:rsidR="00000000" w:rsidRPr="00C9025D" w:rsidP="00C9025D">
      <w:pPr>
        <w:pStyle w:val="NoPaddingFontSize1"/>
      </w:pPr>
    </w:p>
    <w:p w:rsidR="00000000" w:rsidRPr="00C9025D" w:rsidP="00C9025D">
      <w:pPr>
        <w:pStyle w:val="AllowPageBreak"/>
      </w:pPr>
    </w:p>
    <w:p w:rsidR="00000000" w:rsidRPr="00C9025D" w:rsidP="00C9025D">
      <w:pPr>
        <w:pStyle w:val="Heading1"/>
      </w:pPr>
      <w:bookmarkStart w:id="6" w:name="O_957247"/>
      <w:bookmarkEnd w:id="6"/>
      <w:r w:rsidRPr="00C9025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PERFORMANCE CRITERIA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Performance criteria describe the performance needed to demonstrate achievement of the element.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rPr>
                <w:rStyle w:val="SpecialBold"/>
              </w:rPr>
              <w:t>Operate enterprise architecture software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Select and use enterprise architecture software tools in accordance with organisational procedures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Use enterprise information technology support system, as required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rPr>
                <w:rStyle w:val="SpecialBold"/>
              </w:rPr>
              <w:t>Use enterprise architecture operational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Prepare descriptio</w:t>
            </w:r>
            <w:r w:rsidRPr="00C9025D">
              <w:t>ns for high-level operational concepts and operational node connectivity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Prepare operational information exchange matrices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Prepare and seek agreement about command relationship chart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Model business activities, relationships between act</w:t>
            </w:r>
            <w:r w:rsidRPr="00C9025D">
              <w:t>ivities, inputs and outputs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Prepare business activity sequences and timings in accordance with organisational business rules, business activity reforms and critical sequences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Prepare a logical data model of business activity for stakeholder submission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rPr>
                <w:rStyle w:val="SpecialBold"/>
              </w:rPr>
              <w:t>Use enterprise architecture systems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Prepare systems descriptions and systems technology forecast, and obtain agreement from stakeholders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Develop systems matrices to meet project requirements and obtain agreement from stakeholders, as required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Model systems rules for the business architecture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Implement the logical data model of the business activity and undertake demonstrations to capture systems requirements, as required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rPr>
                <w:rStyle w:val="SpecialBold"/>
              </w:rPr>
              <w:t>Use enterprise architecture technical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Create a technical systems profile, and gauge support levels required for</w:t>
            </w:r>
            <w:r w:rsidRPr="00C9025D">
              <w:t xml:space="preserve"> the development of the intended system in consultation with stakeholders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Develop an information technology strategy for intended systems development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t>Derive enterprise information technology performance requirements to allow standards, config</w:t>
            </w:r>
            <w:r w:rsidRPr="00C9025D">
              <w:t>urations and products relevant to the intended systems development</w:t>
            </w:r>
          </w:p>
        </w:tc>
      </w:tr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5D">
            <w:pPr>
              <w:pStyle w:val="BodyText"/>
              <w:rPr>
                <w:lang w:val="en-NZ"/>
              </w:rPr>
            </w:pPr>
            <w:r w:rsidRPr="00C9025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t>Create a technology standards report in accordance with operational procedures</w:t>
            </w:r>
          </w:p>
        </w:tc>
      </w:tr>
    </w:tbl>
    <w:p w:rsidR="00000000" w:rsidRPr="00C9025D" w:rsidP="00C9025D">
      <w:pPr>
        <w:pStyle w:val="NoPaddingFontSize1"/>
      </w:pPr>
    </w:p>
    <w:p w:rsidR="00000000" w:rsidRPr="00C9025D" w:rsidP="00C9025D">
      <w:pPr>
        <w:pStyle w:val="AllowPageBreak"/>
      </w:pPr>
    </w:p>
    <w:p w:rsidR="00000000" w:rsidRPr="00C9025D" w:rsidP="00C9025D">
      <w:pPr>
        <w:pStyle w:val="Heading1"/>
      </w:pPr>
      <w:bookmarkStart w:id="7" w:name="O_957248"/>
      <w:bookmarkEnd w:id="7"/>
      <w:r w:rsidRPr="00C902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t>Foundation skills essential to performance are explicit in the performance criteria of this unit of competency.</w:t>
            </w:r>
          </w:p>
        </w:tc>
      </w:tr>
    </w:tbl>
    <w:p w:rsidR="00000000" w:rsidRPr="00C9025D" w:rsidP="00C9025D">
      <w:pPr>
        <w:pStyle w:val="NoPaddingFontSize1"/>
      </w:pPr>
    </w:p>
    <w:p w:rsidR="00000000" w:rsidRPr="00C9025D" w:rsidP="00C9025D">
      <w:pPr>
        <w:pStyle w:val="AllowPageBreak"/>
      </w:pPr>
    </w:p>
    <w:p w:rsidR="00000000" w:rsidRPr="00C9025D" w:rsidP="00C9025D">
      <w:pPr>
        <w:pStyle w:val="Heading1"/>
      </w:pPr>
      <w:bookmarkStart w:id="8" w:name="O_957249"/>
      <w:bookmarkEnd w:id="8"/>
      <w:r w:rsidRPr="00C902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t>Range is restricted to essential operating conditions and any other variables essential to the work envir</w:t>
            </w:r>
            <w:r w:rsidRPr="00C9025D">
              <w:t>onment.</w:t>
            </w:r>
          </w:p>
          <w:p w:rsidR="00000000" w:rsidRPr="00C9025D" w:rsidP="00C9025D">
            <w:pPr>
              <w:pStyle w:val="BodyText"/>
            </w:pPr>
            <w:r w:rsidRPr="00C9025D">
              <w:t>Non-essential conditions may be found in the Companion Volume Implementation Guide.</w:t>
            </w:r>
          </w:p>
        </w:tc>
      </w:tr>
    </w:tbl>
    <w:p w:rsidR="00000000" w:rsidRPr="00C9025D" w:rsidP="00C9025D">
      <w:pPr>
        <w:pStyle w:val="NoPaddingFontSize1"/>
      </w:pPr>
    </w:p>
    <w:p w:rsidR="00000000" w:rsidRPr="00C9025D" w:rsidP="00C9025D">
      <w:pPr>
        <w:pStyle w:val="AllowPageBreak"/>
      </w:pPr>
    </w:p>
    <w:p w:rsidR="00000000" w:rsidRPr="00C9025D" w:rsidP="00C9025D">
      <w:pPr>
        <w:pStyle w:val="Heading1"/>
      </w:pPr>
      <w:bookmarkStart w:id="9" w:name="O_957250"/>
      <w:bookmarkEnd w:id="9"/>
      <w:r w:rsidRPr="00C902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0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5D" w:rsidP="00C9025D">
            <w:pPr>
              <w:pStyle w:val="BodyText"/>
            </w:pPr>
            <w:r w:rsidRPr="00C9025D">
              <w:t>This unit replaces and is equivalent to DEFEA003 Use enterprise architecture tools.</w:t>
            </w:r>
          </w:p>
        </w:tc>
      </w:tr>
    </w:tbl>
    <w:p w:rsidR="00000000" w:rsidRPr="00C9025D" w:rsidP="00C9025D">
      <w:pPr>
        <w:pStyle w:val="NoPaddingFontSize1"/>
      </w:pPr>
    </w:p>
    <w:p w:rsidR="00000000" w:rsidRPr="00C9025D" w:rsidP="00C9025D">
      <w:pPr>
        <w:pStyle w:val="AllowPageBreak"/>
      </w:pPr>
    </w:p>
    <w:p w:rsidR="00000000" w:rsidRPr="00C9025D" w:rsidP="00C9025D">
      <w:pPr>
        <w:pStyle w:val="Heading1"/>
      </w:pPr>
      <w:bookmarkStart w:id="10" w:name="O_957257"/>
      <w:bookmarkEnd w:id="10"/>
      <w:r w:rsidRPr="00C9025D">
        <w:t>Links</w:t>
      </w:r>
    </w:p>
    <w:p w:rsidR="00000000" w:rsidRPr="00C9025D" w:rsidP="00915744">
      <w:pPr>
        <w:pStyle w:val="BodyText"/>
      </w:pPr>
      <w:r w:rsidRPr="00C902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209A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9025D" w:rsidP="00C9025D"/>
    <w:sectPr w:rsidSect="00C902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5D" w:rsidRPr="00915744" w:rsidP="00915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44" w:rsidP="00C90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744" w:rsidP="00C90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15744" w:rsidP="00C90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25D" w:rsidRPr="00915744" w:rsidP="009157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44" w:rsidRPr="002D2AF8" w:rsidP="00C90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DEFEAP003 Use enterprise architecture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15744" w:rsidP="00C90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25D"/>
  </w:style>
  <w:style w:type="character" w:customStyle="1" w:styleId="Heading1Char">
    <w:name w:val="Heading 1 Char"/>
    <w:basedOn w:val="DefaultParagraphFont"/>
    <w:link w:val="Heading1"/>
    <w:rsid w:val="00C90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2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025D"/>
    <w:rPr>
      <w:b/>
      <w:spacing w:val="0"/>
    </w:rPr>
  </w:style>
  <w:style w:type="paragraph" w:customStyle="1" w:styleId="SuperHeading">
    <w:name w:val="SuperHeading"/>
    <w:basedOn w:val="Normal"/>
    <w:rsid w:val="00C90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0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2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2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02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0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02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0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2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25D"/>
    <w:rPr>
      <w:i/>
    </w:rPr>
  </w:style>
  <w:style w:type="paragraph" w:styleId="Caption">
    <w:name w:val="caption"/>
    <w:basedOn w:val="BodyText"/>
    <w:next w:val="Normal"/>
    <w:qFormat/>
    <w:rsid w:val="00C90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25D"/>
  </w:style>
  <w:style w:type="paragraph" w:styleId="TableofFigures">
    <w:name w:val="table of figures"/>
    <w:basedOn w:val="Normal"/>
    <w:next w:val="Normal"/>
    <w:semiHidden/>
    <w:rsid w:val="00C90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2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025D"/>
    <w:rPr>
      <w:rFonts w:ascii="Wingdings" w:hAnsi="Wingdings"/>
    </w:rPr>
  </w:style>
  <w:style w:type="paragraph" w:customStyle="1" w:styleId="TableHeading">
    <w:name w:val="Table Heading"/>
    <w:basedOn w:val="HeadingBase"/>
    <w:rsid w:val="00C90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25D"/>
    <w:rPr>
      <w:color w:val="0033CC"/>
      <w:u w:val="none"/>
    </w:rPr>
  </w:style>
  <w:style w:type="paragraph" w:customStyle="1" w:styleId="BodyTextRight">
    <w:name w:val="Body Text Right"/>
    <w:basedOn w:val="BodyText"/>
    <w:rsid w:val="00C90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2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25D"/>
    <w:rPr>
      <w:sz w:val="32"/>
    </w:rPr>
  </w:style>
  <w:style w:type="paragraph" w:customStyle="1" w:styleId="HeadingProcedure">
    <w:name w:val="Heading Procedure"/>
    <w:basedOn w:val="HeadingBase"/>
    <w:next w:val="Normal"/>
    <w:rsid w:val="00C90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25D"/>
    <w:pPr>
      <w:spacing w:before="60" w:after="60"/>
    </w:pPr>
  </w:style>
  <w:style w:type="paragraph" w:styleId="ListContinue">
    <w:name w:val="List Continue"/>
    <w:basedOn w:val="List"/>
    <w:rsid w:val="00C9025D"/>
    <w:pPr>
      <w:ind w:firstLine="0"/>
    </w:pPr>
  </w:style>
  <w:style w:type="paragraph" w:customStyle="1" w:styleId="ListNote">
    <w:name w:val="List Note"/>
    <w:basedOn w:val="List"/>
    <w:rsid w:val="00C90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25D"/>
    <w:rPr>
      <w:rFonts w:ascii="Courier New" w:hAnsi="Courier New"/>
    </w:rPr>
  </w:style>
  <w:style w:type="paragraph" w:customStyle="1" w:styleId="NoteBullet">
    <w:name w:val="Note Bullet"/>
    <w:basedOn w:val="Note"/>
    <w:rsid w:val="00C90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2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0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25D"/>
    <w:rPr>
      <w:b/>
      <w:smallCaps/>
    </w:rPr>
  </w:style>
  <w:style w:type="paragraph" w:customStyle="1" w:styleId="TableListNumber">
    <w:name w:val="Table List Number"/>
    <w:basedOn w:val="ListNumber"/>
    <w:rsid w:val="00C90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25D"/>
    <w:pPr>
      <w:numPr>
        <w:numId w:val="7"/>
      </w:numPr>
    </w:pPr>
  </w:style>
  <w:style w:type="paragraph" w:customStyle="1" w:styleId="ListAlpha2">
    <w:name w:val="List Alpha 2"/>
    <w:basedOn w:val="List2"/>
    <w:rsid w:val="00C9025D"/>
    <w:pPr>
      <w:numPr>
        <w:numId w:val="6"/>
      </w:numPr>
    </w:pPr>
  </w:style>
  <w:style w:type="paragraph" w:styleId="List2">
    <w:name w:val="List 2"/>
    <w:basedOn w:val="BodyText"/>
    <w:rsid w:val="00C90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2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2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025D"/>
    <w:pPr>
      <w:numPr>
        <w:numId w:val="2"/>
      </w:numPr>
    </w:pPr>
  </w:style>
  <w:style w:type="paragraph" w:styleId="ListContinue2">
    <w:name w:val="List Continue 2"/>
    <w:basedOn w:val="List2"/>
    <w:rsid w:val="00C9025D"/>
    <w:pPr>
      <w:ind w:firstLine="0"/>
    </w:pPr>
  </w:style>
  <w:style w:type="paragraph" w:styleId="ListContinue3">
    <w:name w:val="List Continue 3"/>
    <w:basedOn w:val="List3"/>
    <w:rsid w:val="00C9025D"/>
    <w:pPr>
      <w:ind w:left="1021" w:firstLine="0"/>
    </w:pPr>
  </w:style>
  <w:style w:type="paragraph" w:styleId="ListContinue4">
    <w:name w:val="List Continue 4"/>
    <w:basedOn w:val="List4"/>
    <w:rsid w:val="00C9025D"/>
    <w:pPr>
      <w:ind w:firstLine="0"/>
    </w:pPr>
  </w:style>
  <w:style w:type="paragraph" w:styleId="ListContinue5">
    <w:name w:val="List Continue 5"/>
    <w:basedOn w:val="List5"/>
    <w:rsid w:val="00C9025D"/>
    <w:pPr>
      <w:ind w:firstLine="0"/>
    </w:pPr>
  </w:style>
  <w:style w:type="paragraph" w:styleId="ListNumber3">
    <w:name w:val="List Number 3"/>
    <w:basedOn w:val="List3"/>
    <w:rsid w:val="00C9025D"/>
    <w:pPr>
      <w:numPr>
        <w:numId w:val="3"/>
      </w:numPr>
    </w:pPr>
  </w:style>
  <w:style w:type="paragraph" w:styleId="ListNumber4">
    <w:name w:val="List Number 4"/>
    <w:basedOn w:val="List4"/>
    <w:rsid w:val="00C9025D"/>
    <w:pPr>
      <w:numPr>
        <w:numId w:val="4"/>
      </w:numPr>
    </w:pPr>
  </w:style>
  <w:style w:type="paragraph" w:styleId="ListNumber5">
    <w:name w:val="List Number 5"/>
    <w:basedOn w:val="List5"/>
    <w:rsid w:val="00C9025D"/>
    <w:pPr>
      <w:numPr>
        <w:numId w:val="5"/>
      </w:numPr>
    </w:pPr>
  </w:style>
  <w:style w:type="paragraph" w:styleId="BlockText">
    <w:name w:val="Block Text"/>
    <w:basedOn w:val="Normal"/>
    <w:rsid w:val="00C90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25D"/>
    <w:rPr>
      <w:sz w:val="16"/>
      <w:vertAlign w:val="superscript"/>
    </w:rPr>
  </w:style>
  <w:style w:type="character" w:customStyle="1" w:styleId="Symbols">
    <w:name w:val="Symbols"/>
    <w:basedOn w:val="DefaultParagraphFont"/>
    <w:rsid w:val="00C9025D"/>
    <w:rPr>
      <w:rFonts w:ascii="Symbol" w:hAnsi="Symbol"/>
    </w:rPr>
  </w:style>
  <w:style w:type="character" w:customStyle="1" w:styleId="MenuOptions">
    <w:name w:val="Menu Options"/>
    <w:basedOn w:val="DefaultParagraphFont"/>
    <w:rsid w:val="00C90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25D"/>
    <w:rPr>
      <w:b/>
    </w:rPr>
  </w:style>
  <w:style w:type="character" w:customStyle="1" w:styleId="Underlined">
    <w:name w:val="Underlined"/>
    <w:basedOn w:val="DefaultParagraphFont"/>
    <w:rsid w:val="00C9025D"/>
    <w:rPr>
      <w:u w:val="single"/>
    </w:rPr>
  </w:style>
  <w:style w:type="paragraph" w:customStyle="1" w:styleId="TableBodyTextRight">
    <w:name w:val="Table Body Text Right"/>
    <w:basedOn w:val="TableBodyText"/>
    <w:rsid w:val="00C90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25D"/>
    <w:rPr>
      <w:sz w:val="18"/>
    </w:rPr>
  </w:style>
  <w:style w:type="paragraph" w:customStyle="1" w:styleId="BodySmallRight">
    <w:name w:val="Body Small Right"/>
    <w:basedOn w:val="BodyTextRight"/>
    <w:rsid w:val="00C9025D"/>
    <w:rPr>
      <w:sz w:val="18"/>
      <w:szCs w:val="18"/>
    </w:rPr>
  </w:style>
  <w:style w:type="paragraph" w:customStyle="1" w:styleId="MarginEdition">
    <w:name w:val="Margin Edition"/>
    <w:basedOn w:val="MarginNote"/>
    <w:rsid w:val="00C90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25D"/>
    <w:rPr>
      <w:sz w:val="2"/>
      <w:szCs w:val="2"/>
    </w:rPr>
  </w:style>
  <w:style w:type="character" w:customStyle="1" w:styleId="Small">
    <w:name w:val="Small"/>
    <w:basedOn w:val="DefaultParagraphFont"/>
    <w:rsid w:val="00C9025D"/>
    <w:rPr>
      <w:sz w:val="16"/>
    </w:rPr>
  </w:style>
  <w:style w:type="paragraph" w:customStyle="1" w:styleId="WideTable">
    <w:name w:val="Wide Table"/>
    <w:basedOn w:val="Normal"/>
    <w:rsid w:val="00C90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25D"/>
  </w:style>
  <w:style w:type="paragraph" w:styleId="Quote">
    <w:name w:val="Quote"/>
    <w:basedOn w:val="Heading1"/>
    <w:link w:val="QuoteChar"/>
    <w:qFormat/>
    <w:rsid w:val="00C90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25D"/>
    <w:pPr>
      <w:pageBreakBefore/>
    </w:pPr>
  </w:style>
  <w:style w:type="paragraph" w:customStyle="1" w:styleId="Border">
    <w:name w:val="Border"/>
    <w:basedOn w:val="Normal"/>
    <w:qFormat/>
    <w:rsid w:val="00C90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25D"/>
    <w:rPr>
      <w:u w:val="single"/>
    </w:rPr>
  </w:style>
  <w:style w:type="character" w:customStyle="1" w:styleId="BoldandItalics">
    <w:name w:val="Bold and Italics"/>
    <w:qFormat/>
    <w:rsid w:val="00C9025D"/>
    <w:rPr>
      <w:b/>
      <w:i/>
      <w:u w:val="none"/>
    </w:rPr>
  </w:style>
  <w:style w:type="paragraph" w:styleId="BalloonText">
    <w:name w:val="Balloon Text"/>
    <w:basedOn w:val="Normal"/>
    <w:link w:val="BalloonTextChar"/>
    <w:rsid w:val="00C90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25D"/>
    <w:pPr>
      <w:spacing w:before="0" w:after="0"/>
    </w:pPr>
  </w:style>
  <w:style w:type="paragraph" w:customStyle="1" w:styleId="BodyTextBold">
    <w:name w:val="Body Text Bold"/>
    <w:basedOn w:val="BodyText"/>
    <w:qFormat/>
    <w:rsid w:val="00C9025D"/>
    <w:rPr>
      <w:b/>
    </w:rPr>
  </w:style>
  <w:style w:type="character" w:styleId="Hyperlink">
    <w:name w:val="Hyperlink"/>
    <w:basedOn w:val="DefaultParagraphFont"/>
    <w:uiPriority w:val="99"/>
    <w:unhideWhenUsed/>
    <w:rsid w:val="00915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3494</Characters>
  <Application>Microsoft Office Word</Application>
  <DocSecurity>0</DocSecurity>
  <Lines>166</Lines>
  <Paragraphs>87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DEFEAP003 Use enterprise architecture tools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