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16C" w:rsidP="00DE1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DEFEAP002 Demonstrate compliance with an enterprise architecture framework</w:t>
      </w:r>
      <w:r>
        <w:fldChar w:fldCharType="end"/>
      </w:r>
    </w:p>
    <w:p w:rsidR="00DE116C" w:rsidP="00DE116C">
      <w:pPr>
        <w:pStyle w:val="Version"/>
        <w:sectPr w:rsidSect="00AB0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01B" w:rsidP="00AB001B">
      <w:pPr>
        <w:pStyle w:val="SuperHeading"/>
      </w:pPr>
      <w:r w:rsidRPr="00AB001B">
        <w:t>DEFEAP002 Demonstrate compliance with an enterprise architecture framework</w:t>
      </w:r>
    </w:p>
    <w:p w:rsidR="00000000" w:rsidRPr="00AB001B" w:rsidP="00AB001B">
      <w:pPr>
        <w:pStyle w:val="Heading1"/>
      </w:pPr>
      <w:bookmarkStart w:id="1" w:name="O_957223"/>
      <w:bookmarkEnd w:id="1"/>
      <w:r w:rsidRPr="00AB00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Release 1. This is the first release of this unit of competency in the DEF Defence Training Package.</w:t>
            </w:r>
          </w:p>
        </w:tc>
      </w:tr>
    </w:tbl>
    <w:p w:rsidR="00000000" w:rsidRPr="00AB001B" w:rsidP="00AB001B">
      <w:pPr>
        <w:pStyle w:val="NoPaddingFontSize1"/>
      </w:pPr>
    </w:p>
    <w:p w:rsidR="00000000" w:rsidRPr="00AB001B" w:rsidP="00AB001B">
      <w:pPr>
        <w:pStyle w:val="AllowPageBreak"/>
      </w:pPr>
    </w:p>
    <w:p w:rsidR="00000000" w:rsidRPr="00AB001B" w:rsidP="00AB001B">
      <w:pPr>
        <w:pStyle w:val="Heading1"/>
      </w:pPr>
      <w:bookmarkStart w:id="2" w:name="O_957224"/>
      <w:bookmarkEnd w:id="2"/>
      <w:r w:rsidRPr="00AB00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This unit specifies the skills and knowledge required to use a compliance matrix to demonstrate that an organisation is operating within an established enterprise architecture framework.</w:t>
            </w:r>
          </w:p>
          <w:p w:rsidR="00000000" w:rsidRPr="00AB001B" w:rsidP="00AB001B">
            <w:pPr>
              <w:pStyle w:val="BodyText"/>
            </w:pPr>
            <w:r w:rsidRPr="00AB001B">
              <w:t>It includes measuring conformity with the framework, verifying compli</w:t>
            </w:r>
            <w:r w:rsidRPr="00AB001B">
              <w:t>ance, and acting on compliance results.</w:t>
            </w:r>
          </w:p>
          <w:p w:rsidR="00000000" w:rsidRPr="00AB001B" w:rsidP="00AB001B">
            <w:pPr>
              <w:pStyle w:val="BodyText"/>
            </w:pPr>
            <w:r w:rsidRPr="00AB001B">
              <w:t>This unit applies to those working in an enterprise architecture practice for Defence but may be applicable to anyone in this field.</w:t>
            </w:r>
          </w:p>
          <w:p w:rsidR="00000000" w:rsidRPr="00AB001B" w:rsidP="00AB001B">
            <w:pPr>
              <w:pStyle w:val="BodyText"/>
            </w:pPr>
            <w:r w:rsidRPr="00AB001B">
              <w:t>The skills and knowledge described in this unit must be applied within the legislat</w:t>
            </w:r>
            <w:r w:rsidRPr="00AB001B">
              <w:t>ive, regulatory and policy environment in which they are carried out. Organisational policies and procedures must be consulted and adhered to.</w:t>
            </w:r>
          </w:p>
          <w:p w:rsidR="00000000" w:rsidRPr="00AB001B" w:rsidP="00AB001B">
            <w:pPr>
              <w:pStyle w:val="BodyText"/>
            </w:pPr>
            <w:r w:rsidRPr="00AB001B">
              <w:t>Persons undertaking this unit work autonomously and perform sophisticated tasks in familiar contexts.</w:t>
            </w:r>
          </w:p>
          <w:p w:rsidR="00000000" w:rsidRPr="00AB001B" w:rsidP="00AB001B">
            <w:pPr>
              <w:pStyle w:val="BodyText"/>
            </w:pPr>
            <w:r w:rsidRPr="00AB001B">
              <w:t>No licensin</w:t>
            </w:r>
            <w:r w:rsidRPr="00AB001B">
              <w:t>g, legislative or certification requirements apply to this unit at the time of publication.</w:t>
            </w:r>
          </w:p>
        </w:tc>
      </w:tr>
    </w:tbl>
    <w:p w:rsidR="00000000" w:rsidRPr="00AB001B" w:rsidP="00AB001B">
      <w:pPr>
        <w:pStyle w:val="NoPaddingFontSize1"/>
      </w:pPr>
    </w:p>
    <w:p w:rsidR="00000000" w:rsidRPr="00AB001B" w:rsidP="00AB001B">
      <w:pPr>
        <w:pStyle w:val="AllowPageBreak"/>
      </w:pPr>
    </w:p>
    <w:p w:rsidR="00000000" w:rsidRPr="00AB001B" w:rsidP="00AB001B">
      <w:pPr>
        <w:pStyle w:val="Heading1"/>
      </w:pPr>
      <w:bookmarkStart w:id="3" w:name="O_957225"/>
      <w:bookmarkEnd w:id="3"/>
      <w:r w:rsidRPr="00AB00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Not applicable</w:t>
            </w:r>
          </w:p>
        </w:tc>
      </w:tr>
    </w:tbl>
    <w:p w:rsidR="00000000" w:rsidRPr="00AB001B" w:rsidP="00AB001B">
      <w:pPr>
        <w:pStyle w:val="NoPaddingFontSize1"/>
      </w:pPr>
    </w:p>
    <w:p w:rsidR="00000000" w:rsidRPr="00AB001B" w:rsidP="00AB001B">
      <w:pPr>
        <w:pStyle w:val="AllowPageBreak"/>
      </w:pPr>
    </w:p>
    <w:p w:rsidR="00000000" w:rsidRPr="00AB001B" w:rsidP="00AB001B">
      <w:pPr>
        <w:pStyle w:val="Heading1"/>
      </w:pPr>
      <w:bookmarkStart w:id="4" w:name="O_957226"/>
      <w:bookmarkEnd w:id="4"/>
      <w:r w:rsidRPr="00AB00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Enterprise Architecture Practice</w:t>
            </w:r>
          </w:p>
        </w:tc>
      </w:tr>
    </w:tbl>
    <w:p w:rsidR="00000000" w:rsidRPr="00AB001B" w:rsidP="00AB001B">
      <w:pPr>
        <w:pStyle w:val="NoPaddingFontSize1"/>
      </w:pPr>
    </w:p>
    <w:p w:rsidR="00000000" w:rsidRPr="00AB001B" w:rsidP="00AB001B">
      <w:pPr>
        <w:pStyle w:val="AllowPageBreak"/>
      </w:pPr>
    </w:p>
    <w:p w:rsidR="00000000" w:rsidRPr="00AB001B" w:rsidP="00AB001B">
      <w:pPr>
        <w:pStyle w:val="Heading1"/>
      </w:pPr>
      <w:bookmarkStart w:id="5" w:name="O_957227"/>
      <w:bookmarkEnd w:id="5"/>
      <w:r w:rsidRPr="00AB00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Not applicable.</w:t>
            </w:r>
          </w:p>
        </w:tc>
      </w:tr>
    </w:tbl>
    <w:p w:rsidR="00DE116C" w:rsidP="00AB001B">
      <w:pPr>
        <w:pStyle w:val="NoPaddingFontSize1"/>
      </w:pPr>
    </w:p>
    <w:p w:rsidR="00DE116C" w:rsidP="00AB001B">
      <w:pPr>
        <w:pStyle w:val="NoPaddingFontSize1"/>
      </w:pPr>
    </w:p>
    <w:p w:rsidR="00000000" w:rsidRPr="00AB001B" w:rsidP="00AB001B">
      <w:pPr>
        <w:pStyle w:val="Heading1"/>
      </w:pPr>
      <w:bookmarkStart w:id="6" w:name="O_957228"/>
      <w:bookmarkEnd w:id="6"/>
      <w:r w:rsidRPr="00AB001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PERFORMANCE CRITERIA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 xml:space="preserve">Elements describe the essential </w:t>
            </w:r>
            <w:r w:rsidRPr="00AB001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 xml:space="preserve">Performance criteria describe the performance needed to </w:t>
            </w:r>
            <w:r w:rsidRPr="00AB001B">
              <w:t>demonstrate achievement of the element.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rPr>
                <w:rStyle w:val="SpecialBold"/>
              </w:rPr>
              <w:t>Measure conformity with enterprise architecture framework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Apply compliance business process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Use compliance matrix to measure conformity with established enterprise architecture framework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Assist staff to complete matrix in accordance with operational requirements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Resolve emerging difficulties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rPr>
                <w:rStyle w:val="SpecialBold"/>
              </w:rPr>
              <w:t>Verify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Map compliance matrix results against enterprise architecture framework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Analyse and verify degree of compliance</w:t>
            </w:r>
            <w:r w:rsidRPr="00AB001B">
              <w:t xml:space="preserve"> with enterprise architecture framework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Identify and document areas of non-compliance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rPr>
                <w:rStyle w:val="SpecialBold"/>
              </w:rPr>
              <w:t>Act on compliance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Prepare compliance documentation in accordance with organisational procedures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t>Report results of compliance matrix audit</w:t>
            </w:r>
          </w:p>
        </w:tc>
      </w:tr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01B">
            <w:pPr>
              <w:pStyle w:val="BodyText"/>
              <w:rPr>
                <w:lang w:val="en-NZ"/>
              </w:rPr>
            </w:pPr>
            <w:r w:rsidRPr="00AB001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Prepare and present recommendations to improve compliance</w:t>
            </w:r>
          </w:p>
        </w:tc>
      </w:tr>
    </w:tbl>
    <w:p w:rsidR="00000000" w:rsidRPr="00AB001B" w:rsidP="00AB001B">
      <w:pPr>
        <w:pStyle w:val="NoPaddingFontSize1"/>
      </w:pPr>
    </w:p>
    <w:p w:rsidR="00000000" w:rsidRPr="00AB001B" w:rsidP="00AB001B">
      <w:pPr>
        <w:pStyle w:val="AllowPageBreak"/>
      </w:pPr>
    </w:p>
    <w:p w:rsidR="00000000" w:rsidRPr="00AB001B" w:rsidP="00AB001B">
      <w:pPr>
        <w:pStyle w:val="Heading1"/>
      </w:pPr>
      <w:bookmarkStart w:id="7" w:name="O_957229"/>
      <w:bookmarkEnd w:id="7"/>
      <w:r w:rsidRPr="00AB00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Foundation skills essential to performance are explicit in the performance criteria of this unit of competency.</w:t>
            </w:r>
          </w:p>
        </w:tc>
      </w:tr>
    </w:tbl>
    <w:p w:rsidR="00000000" w:rsidRPr="00AB001B" w:rsidP="00AB001B">
      <w:pPr>
        <w:pStyle w:val="NoPaddingFontSize1"/>
      </w:pPr>
    </w:p>
    <w:p w:rsidR="00000000" w:rsidRPr="00AB001B" w:rsidP="00AB001B">
      <w:pPr>
        <w:pStyle w:val="AllowPageBreak"/>
      </w:pPr>
    </w:p>
    <w:p w:rsidR="00000000" w:rsidRPr="00AB001B" w:rsidP="00AB001B">
      <w:pPr>
        <w:pStyle w:val="Heading1"/>
      </w:pPr>
      <w:bookmarkStart w:id="8" w:name="O_957230"/>
      <w:bookmarkEnd w:id="8"/>
      <w:r w:rsidRPr="00AB00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Range is restricted to essential operating conditions and any other variables essential to the work environment.</w:t>
            </w:r>
          </w:p>
          <w:p w:rsidR="00000000" w:rsidRPr="00AB001B" w:rsidP="00AB001B">
            <w:pPr>
              <w:pStyle w:val="BodyText"/>
            </w:pPr>
            <w:r w:rsidRPr="00AB001B">
              <w:t>Non-essential conditions may be found in the Companion Volume Implementation Guide.</w:t>
            </w:r>
          </w:p>
        </w:tc>
      </w:tr>
    </w:tbl>
    <w:p w:rsidR="00000000" w:rsidRPr="00AB001B" w:rsidP="00AB001B">
      <w:pPr>
        <w:pStyle w:val="NoPaddingFontSize1"/>
      </w:pPr>
    </w:p>
    <w:p w:rsidR="00000000" w:rsidRPr="00AB001B" w:rsidP="00AB001B">
      <w:pPr>
        <w:pStyle w:val="AllowPageBreak"/>
      </w:pPr>
    </w:p>
    <w:p w:rsidR="00000000" w:rsidRPr="00AB001B" w:rsidP="00AB001B">
      <w:pPr>
        <w:pStyle w:val="Heading1"/>
      </w:pPr>
      <w:bookmarkStart w:id="9" w:name="O_957231"/>
      <w:bookmarkEnd w:id="9"/>
      <w:r w:rsidRPr="00AB00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01B" w:rsidP="00AB001B">
            <w:pPr>
              <w:pStyle w:val="BodyText"/>
            </w:pPr>
            <w:r w:rsidRPr="00AB001B">
              <w:t>This unit repla</w:t>
            </w:r>
            <w:r w:rsidRPr="00AB001B">
              <w:t>ces and is equivalent to DEFEA002 Demonstrate compliance with an enterprise architecture framework.</w:t>
            </w:r>
          </w:p>
        </w:tc>
      </w:tr>
    </w:tbl>
    <w:p w:rsidR="00000000" w:rsidRPr="00AB001B" w:rsidP="00AB001B">
      <w:pPr>
        <w:pStyle w:val="NoPaddingFontSize1"/>
      </w:pPr>
    </w:p>
    <w:p w:rsidR="00000000" w:rsidRPr="00AB001B" w:rsidP="00AB001B">
      <w:pPr>
        <w:pStyle w:val="AllowPageBreak"/>
      </w:pPr>
    </w:p>
    <w:p w:rsidR="00000000" w:rsidRPr="00AB001B" w:rsidP="00AB001B">
      <w:pPr>
        <w:pStyle w:val="Heading1"/>
      </w:pPr>
      <w:bookmarkStart w:id="10" w:name="O_957238"/>
      <w:bookmarkEnd w:id="10"/>
      <w:r w:rsidRPr="00AB001B">
        <w:t>Links</w:t>
      </w:r>
    </w:p>
    <w:p w:rsidR="00000000" w:rsidRPr="00AB001B" w:rsidP="00DE116C">
      <w:pPr>
        <w:pStyle w:val="BodyText"/>
      </w:pPr>
      <w:r w:rsidRPr="00AB00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186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B001B" w:rsidP="00AB001B"/>
    <w:sectPr w:rsidSect="00AB00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1B" w:rsidRPr="00DE116C" w:rsidP="00DE1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6C" w:rsidP="00AB0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16C" w:rsidP="00AB0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E116C" w:rsidP="00AB0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01B" w:rsidRPr="00DE116C" w:rsidP="00DE1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6C" w:rsidRPr="002D2AF8" w:rsidP="00AB0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DEFEAP002 Demonstrate compliance with an enterprise architecture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E116C" w:rsidP="00AB0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01B"/>
  </w:style>
  <w:style w:type="character" w:customStyle="1" w:styleId="Heading1Char">
    <w:name w:val="Heading 1 Char"/>
    <w:basedOn w:val="DefaultParagraphFont"/>
    <w:link w:val="Heading1"/>
    <w:rsid w:val="00AB0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0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001B"/>
    <w:rPr>
      <w:b/>
      <w:spacing w:val="0"/>
    </w:rPr>
  </w:style>
  <w:style w:type="paragraph" w:customStyle="1" w:styleId="SuperHeading">
    <w:name w:val="SuperHeading"/>
    <w:basedOn w:val="Normal"/>
    <w:rsid w:val="00AB0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ForcePageBreak">
    <w:name w:val="ForcePageBreak"/>
    <w:basedOn w:val="AllowPageBreak"/>
    <w:rsid w:val="00AB001B"/>
    <w:pPr>
      <w:pageBreakBefore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0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0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0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0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0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01B"/>
    <w:rPr>
      <w:i/>
    </w:rPr>
  </w:style>
  <w:style w:type="paragraph" w:styleId="Caption">
    <w:name w:val="caption"/>
    <w:basedOn w:val="BodyText"/>
    <w:next w:val="Normal"/>
    <w:qFormat/>
    <w:rsid w:val="00AB0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01B"/>
  </w:style>
  <w:style w:type="paragraph" w:styleId="TableofFigures">
    <w:name w:val="table of figures"/>
    <w:basedOn w:val="Normal"/>
    <w:next w:val="Normal"/>
    <w:semiHidden/>
    <w:rsid w:val="00AB0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0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001B"/>
    <w:rPr>
      <w:rFonts w:ascii="Wingdings" w:hAnsi="Wingdings"/>
    </w:rPr>
  </w:style>
  <w:style w:type="paragraph" w:customStyle="1" w:styleId="TableHeading">
    <w:name w:val="Table Heading"/>
    <w:basedOn w:val="HeadingBase"/>
    <w:rsid w:val="00AB0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01B"/>
    <w:rPr>
      <w:color w:val="0033CC"/>
      <w:u w:val="none"/>
    </w:rPr>
  </w:style>
  <w:style w:type="paragraph" w:customStyle="1" w:styleId="BodyTextRight">
    <w:name w:val="Body Text Right"/>
    <w:basedOn w:val="BodyText"/>
    <w:rsid w:val="00AB0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0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01B"/>
    <w:rPr>
      <w:sz w:val="32"/>
    </w:rPr>
  </w:style>
  <w:style w:type="paragraph" w:customStyle="1" w:styleId="HeadingProcedure">
    <w:name w:val="Heading Procedure"/>
    <w:basedOn w:val="HeadingBase"/>
    <w:next w:val="Normal"/>
    <w:rsid w:val="00AB0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01B"/>
    <w:pPr>
      <w:spacing w:before="60" w:after="60"/>
    </w:pPr>
  </w:style>
  <w:style w:type="paragraph" w:styleId="ListContinue">
    <w:name w:val="List Continue"/>
    <w:basedOn w:val="List"/>
    <w:rsid w:val="00AB001B"/>
    <w:pPr>
      <w:ind w:firstLine="0"/>
    </w:pPr>
  </w:style>
  <w:style w:type="paragraph" w:customStyle="1" w:styleId="ListNote">
    <w:name w:val="List Note"/>
    <w:basedOn w:val="List"/>
    <w:rsid w:val="00AB0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01B"/>
    <w:rPr>
      <w:rFonts w:ascii="Courier New" w:hAnsi="Courier New"/>
    </w:rPr>
  </w:style>
  <w:style w:type="paragraph" w:customStyle="1" w:styleId="NoteBullet">
    <w:name w:val="Note Bullet"/>
    <w:basedOn w:val="Note"/>
    <w:rsid w:val="00AB0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0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0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01B"/>
    <w:rPr>
      <w:b/>
      <w:smallCaps/>
    </w:rPr>
  </w:style>
  <w:style w:type="paragraph" w:customStyle="1" w:styleId="TableListNumber">
    <w:name w:val="Table List Number"/>
    <w:basedOn w:val="ListNumber"/>
    <w:rsid w:val="00AB0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01B"/>
    <w:pPr>
      <w:numPr>
        <w:numId w:val="7"/>
      </w:numPr>
    </w:pPr>
  </w:style>
  <w:style w:type="paragraph" w:customStyle="1" w:styleId="ListAlpha2">
    <w:name w:val="List Alpha 2"/>
    <w:basedOn w:val="List2"/>
    <w:rsid w:val="00AB001B"/>
    <w:pPr>
      <w:numPr>
        <w:numId w:val="6"/>
      </w:numPr>
    </w:pPr>
  </w:style>
  <w:style w:type="paragraph" w:styleId="List2">
    <w:name w:val="List 2"/>
    <w:basedOn w:val="BodyText"/>
    <w:rsid w:val="00AB0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0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0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001B"/>
    <w:pPr>
      <w:numPr>
        <w:numId w:val="2"/>
      </w:numPr>
    </w:pPr>
  </w:style>
  <w:style w:type="paragraph" w:styleId="ListContinue2">
    <w:name w:val="List Continue 2"/>
    <w:basedOn w:val="List2"/>
    <w:rsid w:val="00AB001B"/>
    <w:pPr>
      <w:ind w:firstLine="0"/>
    </w:pPr>
  </w:style>
  <w:style w:type="paragraph" w:styleId="ListContinue3">
    <w:name w:val="List Continue 3"/>
    <w:basedOn w:val="List3"/>
    <w:rsid w:val="00AB001B"/>
    <w:pPr>
      <w:ind w:left="1021" w:firstLine="0"/>
    </w:pPr>
  </w:style>
  <w:style w:type="paragraph" w:styleId="ListContinue4">
    <w:name w:val="List Continue 4"/>
    <w:basedOn w:val="List4"/>
    <w:rsid w:val="00AB001B"/>
    <w:pPr>
      <w:ind w:firstLine="0"/>
    </w:pPr>
  </w:style>
  <w:style w:type="paragraph" w:styleId="ListContinue5">
    <w:name w:val="List Continue 5"/>
    <w:basedOn w:val="List5"/>
    <w:rsid w:val="00AB001B"/>
    <w:pPr>
      <w:ind w:firstLine="0"/>
    </w:pPr>
  </w:style>
  <w:style w:type="paragraph" w:styleId="ListNumber3">
    <w:name w:val="List Number 3"/>
    <w:basedOn w:val="List3"/>
    <w:rsid w:val="00AB001B"/>
    <w:pPr>
      <w:numPr>
        <w:numId w:val="3"/>
      </w:numPr>
    </w:pPr>
  </w:style>
  <w:style w:type="paragraph" w:styleId="ListNumber4">
    <w:name w:val="List Number 4"/>
    <w:basedOn w:val="List4"/>
    <w:rsid w:val="00AB001B"/>
    <w:pPr>
      <w:numPr>
        <w:numId w:val="4"/>
      </w:numPr>
    </w:pPr>
  </w:style>
  <w:style w:type="paragraph" w:styleId="ListNumber5">
    <w:name w:val="List Number 5"/>
    <w:basedOn w:val="List5"/>
    <w:rsid w:val="00AB001B"/>
    <w:pPr>
      <w:numPr>
        <w:numId w:val="5"/>
      </w:numPr>
    </w:pPr>
  </w:style>
  <w:style w:type="paragraph" w:styleId="BlockText">
    <w:name w:val="Block Text"/>
    <w:basedOn w:val="Normal"/>
    <w:rsid w:val="00AB0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01B"/>
    <w:rPr>
      <w:sz w:val="16"/>
      <w:vertAlign w:val="superscript"/>
    </w:rPr>
  </w:style>
  <w:style w:type="character" w:customStyle="1" w:styleId="Symbols">
    <w:name w:val="Symbols"/>
    <w:basedOn w:val="DefaultParagraphFont"/>
    <w:rsid w:val="00AB001B"/>
    <w:rPr>
      <w:rFonts w:ascii="Symbol" w:hAnsi="Symbol"/>
    </w:rPr>
  </w:style>
  <w:style w:type="character" w:customStyle="1" w:styleId="MenuOptions">
    <w:name w:val="Menu Options"/>
    <w:basedOn w:val="DefaultParagraphFont"/>
    <w:rsid w:val="00AB0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01B"/>
    <w:rPr>
      <w:b/>
    </w:rPr>
  </w:style>
  <w:style w:type="character" w:customStyle="1" w:styleId="Underlined">
    <w:name w:val="Underlined"/>
    <w:basedOn w:val="DefaultParagraphFont"/>
    <w:rsid w:val="00AB001B"/>
    <w:rPr>
      <w:u w:val="single"/>
    </w:rPr>
  </w:style>
  <w:style w:type="paragraph" w:customStyle="1" w:styleId="TableBodyTextRight">
    <w:name w:val="Table Body Text Right"/>
    <w:basedOn w:val="TableBodyText"/>
    <w:rsid w:val="00AB0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01B"/>
    <w:rPr>
      <w:sz w:val="18"/>
    </w:rPr>
  </w:style>
  <w:style w:type="paragraph" w:customStyle="1" w:styleId="BodySmallRight">
    <w:name w:val="Body Small Right"/>
    <w:basedOn w:val="BodyTextRight"/>
    <w:rsid w:val="00AB001B"/>
    <w:rPr>
      <w:sz w:val="18"/>
      <w:szCs w:val="18"/>
    </w:rPr>
  </w:style>
  <w:style w:type="paragraph" w:customStyle="1" w:styleId="MarginEdition">
    <w:name w:val="Margin Edition"/>
    <w:basedOn w:val="MarginNote"/>
    <w:rsid w:val="00AB0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01B"/>
    <w:rPr>
      <w:sz w:val="2"/>
      <w:szCs w:val="2"/>
    </w:rPr>
  </w:style>
  <w:style w:type="character" w:customStyle="1" w:styleId="Small">
    <w:name w:val="Small"/>
    <w:basedOn w:val="DefaultParagraphFont"/>
    <w:rsid w:val="00AB001B"/>
    <w:rPr>
      <w:sz w:val="16"/>
    </w:rPr>
  </w:style>
  <w:style w:type="paragraph" w:customStyle="1" w:styleId="WideTable">
    <w:name w:val="Wide Table"/>
    <w:basedOn w:val="Normal"/>
    <w:rsid w:val="00AB0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01B"/>
  </w:style>
  <w:style w:type="paragraph" w:styleId="Quote">
    <w:name w:val="Quote"/>
    <w:basedOn w:val="Heading1"/>
    <w:link w:val="QuoteChar"/>
    <w:qFormat/>
    <w:rsid w:val="00AB0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Border">
    <w:name w:val="Border"/>
    <w:basedOn w:val="Normal"/>
    <w:qFormat/>
    <w:rsid w:val="00AB0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01B"/>
    <w:rPr>
      <w:u w:val="single"/>
    </w:rPr>
  </w:style>
  <w:style w:type="character" w:customStyle="1" w:styleId="BoldandItalics">
    <w:name w:val="Bold and Italics"/>
    <w:qFormat/>
    <w:rsid w:val="00AB001B"/>
    <w:rPr>
      <w:b/>
      <w:i/>
      <w:u w:val="none"/>
    </w:rPr>
  </w:style>
  <w:style w:type="paragraph" w:styleId="BalloonText">
    <w:name w:val="Balloon Text"/>
    <w:basedOn w:val="Normal"/>
    <w:link w:val="BalloonTextChar"/>
    <w:rsid w:val="00AB0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01B"/>
    <w:pPr>
      <w:spacing w:before="0" w:after="0"/>
    </w:pPr>
  </w:style>
  <w:style w:type="paragraph" w:customStyle="1" w:styleId="BodyTextBold">
    <w:name w:val="Body Text Bold"/>
    <w:basedOn w:val="BodyText"/>
    <w:qFormat/>
    <w:rsid w:val="00AB001B"/>
    <w:rPr>
      <w:b/>
    </w:rPr>
  </w:style>
  <w:style w:type="character" w:styleId="Hyperlink">
    <w:name w:val="Hyperlink"/>
    <w:basedOn w:val="DefaultParagraphFont"/>
    <w:uiPriority w:val="99"/>
    <w:unhideWhenUsed/>
    <w:rsid w:val="00DE1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2686</Characters>
  <Application>Microsoft Office Word</Application>
  <DocSecurity>0</DocSecurity>
  <Lines>127</Lines>
  <Paragraphs>71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DEFEAP002 Demonstrate compliance with an enterprise architecture framework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