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2E72" w:rsidP="002A2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DEFEAP002 Demonstrate compliance with an enterprise architecture framework</w:t>
      </w:r>
      <w:r>
        <w:fldChar w:fldCharType="end"/>
      </w:r>
    </w:p>
    <w:p w:rsidR="002A2E72" w:rsidP="002A2E72">
      <w:pPr>
        <w:pStyle w:val="Version"/>
        <w:sectPr w:rsidSect="005E7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727D" w:rsidP="005E727D">
      <w:pPr>
        <w:pStyle w:val="SuperHeading"/>
      </w:pPr>
      <w:r w:rsidRPr="005E727D">
        <w:t>DEFEAP002 Demonstrate compliance with an enterprise architecture framework</w:t>
      </w:r>
    </w:p>
    <w:p w:rsidR="00000000" w:rsidRPr="005E727D" w:rsidP="005E727D">
      <w:pPr>
        <w:pStyle w:val="Heading1"/>
      </w:pPr>
      <w:bookmarkStart w:id="1" w:name="O_957223"/>
      <w:bookmarkEnd w:id="1"/>
      <w:r w:rsidRPr="005E72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Release 1. This is the first release of this unit of competency in the DEF Defence Training Package.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2" w:name="O_957224"/>
      <w:bookmarkEnd w:id="2"/>
      <w:r w:rsidRPr="005E727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This unit specifies the skills and knowledge required to use a compliance matrix to demonstrate that an organisation is operating within an established enterprise architecture framework.</w:t>
            </w:r>
          </w:p>
          <w:p w:rsidR="00000000" w:rsidRPr="005E727D" w:rsidP="005E727D">
            <w:pPr>
              <w:pStyle w:val="BodyText"/>
            </w:pPr>
            <w:r w:rsidRPr="005E727D">
              <w:t>It includes measuring conformity with the framework, verifying compli</w:t>
            </w:r>
            <w:r w:rsidRPr="005E727D">
              <w:t>ance, and acting on compliance results.</w:t>
            </w:r>
          </w:p>
          <w:p w:rsidR="00000000" w:rsidRPr="005E727D" w:rsidP="005E727D">
            <w:pPr>
              <w:pStyle w:val="BodyText"/>
            </w:pPr>
            <w:r w:rsidRPr="005E727D">
              <w:t>This unit applies to those working in an enterprise architecture practice for Defence but may be applicable to anyone in this field.</w:t>
            </w:r>
          </w:p>
          <w:p w:rsidR="00000000" w:rsidRPr="005E727D" w:rsidP="005E727D">
            <w:pPr>
              <w:pStyle w:val="BodyText"/>
            </w:pPr>
            <w:r w:rsidRPr="005E727D">
              <w:t>The skills and knowledge described in this unit must be applied within the legislat</w:t>
            </w:r>
            <w:r w:rsidRPr="005E727D">
              <w:t>ive, regulatory and policy environment in which they are carried out. Organisational policies and procedures must be consulted and adhered to.</w:t>
            </w:r>
          </w:p>
          <w:p w:rsidR="00000000" w:rsidRPr="005E727D" w:rsidP="005E727D">
            <w:pPr>
              <w:pStyle w:val="BodyText"/>
            </w:pPr>
            <w:r w:rsidRPr="005E727D">
              <w:t>Persons undertaking this unit work autonomously and perform sophisticated tasks in familiar contexts.</w:t>
            </w:r>
          </w:p>
          <w:p w:rsidR="00000000" w:rsidRPr="005E727D" w:rsidP="005E727D">
            <w:pPr>
              <w:pStyle w:val="BodyText"/>
            </w:pPr>
            <w:r w:rsidRPr="005E727D">
              <w:t>No licensin</w:t>
            </w:r>
            <w:r w:rsidRPr="005E727D">
              <w:t>g, legislative or certification requirements apply to this unit at the time of publication.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3" w:name="O_957225"/>
      <w:bookmarkEnd w:id="3"/>
      <w:r w:rsidRPr="005E727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Not applicable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4" w:name="O_957226"/>
      <w:bookmarkEnd w:id="4"/>
      <w:r w:rsidRPr="005E727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Enterprise Architecture Practice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5" w:name="O_957227"/>
      <w:bookmarkEnd w:id="5"/>
      <w:r w:rsidRPr="005E727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Not applicable.</w:t>
            </w:r>
          </w:p>
        </w:tc>
      </w:tr>
    </w:tbl>
    <w:p w:rsidR="002A2E72" w:rsidP="005E727D">
      <w:pPr>
        <w:pStyle w:val="NoPaddingFontSize1"/>
      </w:pPr>
    </w:p>
    <w:p w:rsidR="002A2E72" w:rsidP="005E727D">
      <w:pPr>
        <w:pStyle w:val="NoPaddingFontSize1"/>
      </w:pPr>
    </w:p>
    <w:p w:rsidR="00000000" w:rsidRPr="005E727D" w:rsidP="005E727D">
      <w:pPr>
        <w:pStyle w:val="Heading1"/>
      </w:pPr>
      <w:bookmarkStart w:id="6" w:name="O_957228"/>
      <w:bookmarkEnd w:id="6"/>
      <w:r w:rsidRPr="005E727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PERFORMANCE CRITERIA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 xml:space="preserve">Elements describe the essential </w:t>
            </w:r>
            <w:r w:rsidRPr="005E727D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 xml:space="preserve">Performance criteria describe the performance needed to </w:t>
            </w:r>
            <w:r w:rsidRPr="005E727D">
              <w:t>demonstrate achievement of the element.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>Measure conformity with enterprise architecture framework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Apply compliance business process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Use compliance matrix to measure conformity with established enterprise architecture framework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Assist staff to complete matrix in accordance with operational requirements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Resolve emerging difficulties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>Verify compliance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Map compliance matrix results against enterprise architecture framework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Analyse and verify degree of compliance</w:t>
            </w:r>
            <w:r w:rsidRPr="005E727D">
              <w:t xml:space="preserve"> with enterprise architecture framework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Identify and document areas of non-compliance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rPr>
                <w:rStyle w:val="SpecialBold"/>
              </w:rPr>
              <w:t>Act on compliance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Prepare compliance documentation in accordance with organisational procedures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t>Report results of compliance matrix audit</w:t>
            </w:r>
          </w:p>
        </w:tc>
      </w:tr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727D">
            <w:pPr>
              <w:pStyle w:val="BodyText"/>
              <w:rPr>
                <w:lang w:val="en-NZ"/>
              </w:rPr>
            </w:pPr>
            <w:r w:rsidRPr="005E727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Prepare and present recommendations to improve compliance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7" w:name="O_957229"/>
      <w:bookmarkEnd w:id="7"/>
      <w:r w:rsidRPr="005E727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Foundation skills essential to performance are explicit in the performance criteria of this unit of competency.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8" w:name="O_957230"/>
      <w:bookmarkEnd w:id="8"/>
      <w:r w:rsidRPr="005E727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Range is restricted to essential operating conditions and any other variables essential to the work environment.</w:t>
            </w:r>
          </w:p>
          <w:p w:rsidR="00000000" w:rsidRPr="005E727D" w:rsidP="005E727D">
            <w:pPr>
              <w:pStyle w:val="BodyText"/>
            </w:pPr>
            <w:r w:rsidRPr="005E727D">
              <w:t>Non-essential conditions may be found in the Companion Volume Implementation Guide.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9" w:name="O_957231"/>
      <w:bookmarkEnd w:id="9"/>
      <w:r w:rsidRPr="005E727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This unit repla</w:t>
            </w:r>
            <w:r w:rsidRPr="005E727D">
              <w:t>ces and is equivalent to DEFEA002 Demonstrate compliance with an enterprise architecture framework.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10" w:name="O_957238"/>
      <w:bookmarkEnd w:id="10"/>
      <w:r w:rsidRPr="005E727D">
        <w:t>Links</w:t>
      </w:r>
    </w:p>
    <w:p w:rsidR="00000000" w:rsidRPr="005E727D" w:rsidP="002A2E72">
      <w:pPr>
        <w:pStyle w:val="BodyText"/>
      </w:pPr>
      <w:r w:rsidRPr="005E7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7372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E727D" w:rsidP="002A2E72">
      <w:pPr>
        <w:pStyle w:val="BodyText"/>
        <w:sectPr w:rsidSect="005E72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727D" w:rsidP="005E727D">
      <w:pPr>
        <w:pStyle w:val="SuperHeading"/>
      </w:pPr>
      <w:r w:rsidRPr="005E727D">
        <w:t>Assessment Requirements for DEFEAP002 Demonstrate compliance with an enterprise architecture framework</w:t>
      </w:r>
    </w:p>
    <w:p w:rsidR="00000000" w:rsidRPr="005E727D" w:rsidP="005E727D">
      <w:pPr>
        <w:pStyle w:val="Heading1"/>
      </w:pPr>
      <w:bookmarkStart w:id="11" w:name="O_957233"/>
      <w:bookmarkEnd w:id="11"/>
      <w:r w:rsidRPr="005E72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Release 1. This is the first release of this unit of competency in the DEF Defence Training Package.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12" w:name="O_957234"/>
      <w:bookmarkEnd w:id="12"/>
      <w:r w:rsidRPr="005E72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Evidence required to demonstrate competence in this unit must be relevant to and satisfy all of the requirements of</w:t>
            </w:r>
            <w:r w:rsidRPr="005E727D">
              <w:t xml:space="preserve"> the elements and performance criteria on at least two occasions and include:</w:t>
            </w:r>
          </w:p>
          <w:p w:rsidR="00000000" w:rsidRPr="005E727D" w:rsidP="005E727D">
            <w:pPr>
              <w:pStyle w:val="ListBullet"/>
            </w:pPr>
            <w:r w:rsidRPr="005E727D">
              <w:t>applying information management relating to enterprise architecture</w:t>
            </w:r>
          </w:p>
          <w:p w:rsidR="00000000" w:rsidRPr="005E727D" w:rsidP="005E727D">
            <w:pPr>
              <w:pStyle w:val="ListBullet"/>
            </w:pPr>
            <w:r w:rsidRPr="005E727D">
              <w:t>applying legislation, regulations, policies and procedures relating to enterprise architecture</w:t>
            </w:r>
          </w:p>
          <w:p w:rsidR="00000000" w:rsidRPr="005E727D" w:rsidP="005E727D">
            <w:pPr>
              <w:pStyle w:val="ListBullet"/>
            </w:pPr>
            <w:r w:rsidRPr="005E727D">
              <w:t xml:space="preserve">demonstrating </w:t>
            </w:r>
            <w:r w:rsidRPr="005E727D">
              <w:t>compliance with enterprise architecture framework</w:t>
            </w:r>
          </w:p>
          <w:p w:rsidR="00000000" w:rsidRPr="005E727D" w:rsidP="005E727D">
            <w:pPr>
              <w:pStyle w:val="ListBullet"/>
            </w:pPr>
            <w:r w:rsidRPr="005E727D">
              <w:t>reporting on compliance requiring clear well-supported recommendations</w:t>
            </w:r>
          </w:p>
          <w:p w:rsidR="00000000" w:rsidRPr="005E727D" w:rsidP="005E727D">
            <w:pPr>
              <w:pStyle w:val="ListBullet"/>
            </w:pPr>
            <w:r w:rsidRPr="005E727D">
              <w:t>undertaking analysis in the context of enterprise architecture.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13" w:name="O_957235"/>
      <w:bookmarkEnd w:id="13"/>
      <w:r w:rsidRPr="005E72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5E727D" w:rsidP="005E727D">
            <w:pPr>
              <w:pStyle w:val="ListBullet"/>
            </w:pPr>
            <w:r w:rsidRPr="005E727D">
              <w:t>critical points and criteria for compliance</w:t>
            </w:r>
          </w:p>
          <w:p w:rsidR="00000000" w:rsidRPr="005E727D" w:rsidP="005E727D">
            <w:pPr>
              <w:pStyle w:val="ListBullet"/>
            </w:pPr>
            <w:r w:rsidRPr="005E727D">
              <w:t>equal employment opportunity, e</w:t>
            </w:r>
            <w:r w:rsidRPr="005E727D">
              <w:t>quity and diversity principles</w:t>
            </w:r>
          </w:p>
          <w:p w:rsidR="00000000" w:rsidRPr="005E727D" w:rsidP="005E727D">
            <w:pPr>
              <w:pStyle w:val="ListBullet"/>
            </w:pPr>
            <w:r w:rsidRPr="005E727D">
              <w:t>legislation, regulations, policies, procedures and guidelines relating to enterprise architecture, including work health and safety legislation</w:t>
            </w:r>
          </w:p>
          <w:p w:rsidR="00000000" w:rsidRPr="005E727D" w:rsidP="005E727D">
            <w:pPr>
              <w:pStyle w:val="ListBullet"/>
            </w:pPr>
            <w:r w:rsidRPr="005E727D">
              <w:t>principles of process auditing</w:t>
            </w:r>
          </w:p>
          <w:p w:rsidR="00000000" w:rsidRPr="005E727D" w:rsidP="005E727D">
            <w:pPr>
              <w:pStyle w:val="ListBullet"/>
            </w:pPr>
            <w:r w:rsidRPr="005E727D">
              <w:t>relevant business processes including:</w:t>
            </w:r>
          </w:p>
          <w:p w:rsidR="00000000" w:rsidRPr="005E727D" w:rsidP="005E727D">
            <w:pPr>
              <w:pStyle w:val="ListBullet2"/>
            </w:pPr>
            <w:r w:rsidRPr="005E727D">
              <w:t>applicatio</w:t>
            </w:r>
            <w:r w:rsidRPr="005E727D">
              <w:t>ns</w:t>
            </w:r>
          </w:p>
          <w:p w:rsidR="00000000" w:rsidRPr="005E727D" w:rsidP="005E727D">
            <w:pPr>
              <w:pStyle w:val="ListBullet2"/>
            </w:pPr>
            <w:r w:rsidRPr="005E727D">
              <w:t>data</w:t>
            </w:r>
          </w:p>
          <w:p w:rsidR="00000000" w:rsidRPr="005E727D" w:rsidP="005E727D">
            <w:pPr>
              <w:pStyle w:val="ListBullet2"/>
            </w:pPr>
            <w:r w:rsidRPr="005E727D">
              <w:t>information</w:t>
            </w:r>
          </w:p>
          <w:p w:rsidR="00000000" w:rsidRPr="005E727D" w:rsidP="005E727D">
            <w:pPr>
              <w:pStyle w:val="ListBullet2"/>
            </w:pPr>
            <w:r w:rsidRPr="005E727D">
              <w:t>information technology</w:t>
            </w:r>
          </w:p>
          <w:p w:rsidR="00000000" w:rsidRPr="005E727D" w:rsidP="005E727D">
            <w:pPr>
              <w:pStyle w:val="ListBullet2"/>
            </w:pPr>
            <w:r w:rsidRPr="005E727D">
              <w:t>infrastructure</w:t>
            </w:r>
          </w:p>
          <w:p w:rsidR="00000000" w:rsidRPr="005E727D" w:rsidP="005E727D">
            <w:pPr>
              <w:pStyle w:val="ListBullet2"/>
            </w:pPr>
            <w:r w:rsidRPr="005E727D">
              <w:t>management</w:t>
            </w:r>
          </w:p>
          <w:p w:rsidR="00000000" w:rsidRPr="005E727D" w:rsidP="005E727D">
            <w:pPr>
              <w:pStyle w:val="ListBullet2"/>
            </w:pPr>
            <w:r w:rsidRPr="005E727D">
              <w:t>security</w:t>
            </w:r>
          </w:p>
          <w:p w:rsidR="00000000" w:rsidRPr="005E727D" w:rsidP="005E727D">
            <w:pPr>
              <w:pStyle w:val="ListBullet2"/>
            </w:pPr>
            <w:r w:rsidRPr="005E727D">
              <w:t>technology</w:t>
            </w:r>
          </w:p>
          <w:p w:rsidR="00000000" w:rsidRPr="005E727D" w:rsidP="005E727D">
            <w:pPr>
              <w:pStyle w:val="ListBullet"/>
            </w:pPr>
            <w:r w:rsidRPr="005E727D">
              <w:t>scope and structure of organisation’s enterprise architecture framework.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14" w:name="O_957236"/>
      <w:bookmarkEnd w:id="14"/>
      <w:r w:rsidRPr="005E72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727D" w:rsidP="005E727D">
            <w:pPr>
              <w:pStyle w:val="BodyText"/>
            </w:pPr>
            <w:r w:rsidRPr="005E727D">
              <w:t>As a minimum, assessors must satisfy applicable regulatory requirements, which include requirements in the Standards for Registered Training Organisations current at the time of assessment.</w:t>
            </w:r>
          </w:p>
          <w:p w:rsidR="00000000" w:rsidRPr="005E727D" w:rsidP="005E727D">
            <w:pPr>
              <w:pStyle w:val="BodyText"/>
            </w:pPr>
            <w:r w:rsidRPr="005E727D">
              <w:t>As a minimum, assessment must satisfy applicable regulatory requir</w:t>
            </w:r>
            <w:r w:rsidRPr="005E727D">
              <w:t>ements, which include requirements in the Standards for Registered Training Organisations current at the time of assessment.</w:t>
            </w:r>
          </w:p>
          <w:p w:rsidR="00000000" w:rsidRPr="005E727D" w:rsidP="005E727D">
            <w:pPr>
              <w:pStyle w:val="BodyText"/>
            </w:pPr>
            <w:r w:rsidRPr="005E727D">
              <w:t>Assessment processes and techniques must be appropriate to the language, literacy and numeracy requirements of the work being perfo</w:t>
            </w:r>
            <w:r w:rsidRPr="005E727D">
              <w:t>rmed and the needs of the candidate.</w:t>
            </w:r>
          </w:p>
          <w:p w:rsidR="00000000" w:rsidRPr="005E727D" w:rsidP="005E727D">
            <w:pPr>
              <w:pStyle w:val="BodyText"/>
            </w:pPr>
            <w:r w:rsidRPr="005E727D">
              <w:t>Assessment must occur in workplace operational situations, where it is appropriate to do so; where this is not appropriate, assessment must occur in simulated workplace operational situations that replicate workplace co</w:t>
            </w:r>
            <w:r w:rsidRPr="005E727D">
              <w:t>nditions.</w:t>
            </w:r>
          </w:p>
          <w:p w:rsidR="00000000" w:rsidRPr="005E727D" w:rsidP="005E727D">
            <w:pPr>
              <w:pStyle w:val="BodyText"/>
            </w:pPr>
            <w:r w:rsidRPr="005E727D">
              <w:t>Resources for assessment must include access to:</w:t>
            </w:r>
          </w:p>
          <w:p w:rsidR="00000000" w:rsidRPr="005E727D" w:rsidP="005E727D">
            <w:pPr>
              <w:pStyle w:val="ListBullet"/>
            </w:pPr>
            <w:r w:rsidRPr="005E727D">
              <w:t>a range of relevant exercises, case studies and workplace scenarios that capture the range of situations likely to be encountered when demonstrating compliance with an enterprise architecture fram</w:t>
            </w:r>
            <w:r w:rsidRPr="005E727D">
              <w:t>ework</w:t>
            </w:r>
          </w:p>
          <w:p w:rsidR="00000000" w:rsidRPr="005E727D" w:rsidP="005E727D">
            <w:pPr>
              <w:pStyle w:val="ListBullet"/>
            </w:pPr>
            <w:r w:rsidRPr="005E727D">
              <w:t>relevant and appropriate legislation, policy, procedures and protocols relating to enterprise architecture currently used in industry</w:t>
            </w:r>
          </w:p>
          <w:p w:rsidR="00000000" w:rsidRPr="005E727D" w:rsidP="005E727D">
            <w:pPr>
              <w:pStyle w:val="ListBullet"/>
            </w:pPr>
            <w:r w:rsidRPr="005E727D">
              <w:t>capacity for extended observation of the compliance verification process</w:t>
            </w:r>
          </w:p>
          <w:p w:rsidR="00000000" w:rsidRPr="005E727D" w:rsidP="005E727D">
            <w:pPr>
              <w:pStyle w:val="ListBullet"/>
            </w:pPr>
            <w:r w:rsidRPr="005E727D">
              <w:t>applicable documentation including operatio</w:t>
            </w:r>
            <w:r w:rsidRPr="005E727D">
              <w:t>nal procedures, regulations, codes of practice and operation manuals.</w:t>
            </w:r>
          </w:p>
        </w:tc>
      </w:tr>
    </w:tbl>
    <w:p w:rsidR="00000000" w:rsidRPr="005E727D" w:rsidP="005E727D">
      <w:pPr>
        <w:pStyle w:val="NoPaddingFontSize1"/>
      </w:pPr>
    </w:p>
    <w:p w:rsidR="00000000" w:rsidRPr="005E727D" w:rsidP="005E727D">
      <w:pPr>
        <w:pStyle w:val="AllowPageBreak"/>
      </w:pPr>
    </w:p>
    <w:p w:rsidR="00000000" w:rsidRPr="005E727D" w:rsidP="005E727D">
      <w:pPr>
        <w:pStyle w:val="Heading1"/>
      </w:pPr>
      <w:bookmarkStart w:id="15" w:name="O_957239"/>
      <w:bookmarkEnd w:id="15"/>
      <w:r w:rsidRPr="005E727D">
        <w:t>Links</w:t>
      </w:r>
    </w:p>
    <w:p w:rsidR="00000000" w:rsidRPr="005E727D" w:rsidP="002A2E72">
      <w:pPr>
        <w:pStyle w:val="BodyText"/>
      </w:pPr>
      <w:r w:rsidRPr="005E7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67372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E727D" w:rsidP="005E727D"/>
    <w:sectPr w:rsidSect="005E72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 w:rsidRPr="002A2E72" w:rsidP="002A2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E72" w:rsidP="005E7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2E72" w:rsidP="005E7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A2E72" w:rsidP="005E72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 w:rsidP="005E7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2E72">
      <w:t>Approved</w:t>
    </w:r>
    <w:r w:rsidR="002A2E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2E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2E72">
      <w:rPr>
        <w:noProof/>
      </w:rPr>
      <w:t>4</w:t>
    </w:r>
    <w:r>
      <w:rPr>
        <w:noProof/>
      </w:rPr>
      <w:fldChar w:fldCharType="end"/>
    </w:r>
  </w:p>
  <w:p w:rsidR="005E727D" w:rsidP="005E7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2E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2E72">
      <w:t>Public Skills Australia</w:t>
    </w:r>
    <w:r w:rsidR="002A2E72">
      <w:fldChar w:fldCharType="end"/>
    </w:r>
  </w:p>
  <w:p w:rsidR="005E727D" w:rsidP="005E7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727D" w:rsidRPr="002A2E72" w:rsidP="002A2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E72" w:rsidRPr="002D2AF8" w:rsidP="005E7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DEFEAP002 Demonstrate compliance with an enterprise architecture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2E72" w:rsidP="005E72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27D" w:rsidRPr="002D2AF8" w:rsidP="005E7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2E72">
      <w:t>DEFEAP002 Demonstrate compliance with an enterprise architecture framework</w:t>
    </w:r>
    <w:r w:rsidR="002A2E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2E72">
      <w:rPr>
        <w:noProof/>
      </w:rPr>
      <w:t>2 March 2025</w:t>
    </w:r>
    <w:r>
      <w:fldChar w:fldCharType="end"/>
    </w:r>
  </w:p>
  <w:p w:rsidR="005E727D" w:rsidP="005E7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3A0B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487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842E6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7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7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7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7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7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7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7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7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7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7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7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727D"/>
  </w:style>
  <w:style w:type="character" w:customStyle="1" w:styleId="Heading1Char">
    <w:name w:val="Heading 1 Char"/>
    <w:basedOn w:val="DefaultParagraphFont"/>
    <w:link w:val="Heading1"/>
    <w:rsid w:val="005E7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7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7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72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727D"/>
    <w:rPr>
      <w:b/>
      <w:spacing w:val="0"/>
    </w:rPr>
  </w:style>
  <w:style w:type="paragraph" w:styleId="ListBullet2">
    <w:name w:val="List Bullet 2"/>
    <w:basedOn w:val="List2"/>
    <w:rsid w:val="005E72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7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7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ForcePageBreak">
    <w:name w:val="ForcePageBreak"/>
    <w:basedOn w:val="AllowPageBreak"/>
    <w:rsid w:val="005E727D"/>
    <w:pPr>
      <w:pageBreakBefore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7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7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7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7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7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7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7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7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7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7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7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7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7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7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7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7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7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7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7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7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7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7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7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7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7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7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7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7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7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7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7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72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727D"/>
    <w:rPr>
      <w:i/>
    </w:rPr>
  </w:style>
  <w:style w:type="paragraph" w:styleId="Caption">
    <w:name w:val="caption"/>
    <w:basedOn w:val="BodyText"/>
    <w:next w:val="Normal"/>
    <w:qFormat/>
    <w:rsid w:val="005E7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7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7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727D"/>
  </w:style>
  <w:style w:type="paragraph" w:styleId="TableofFigures">
    <w:name w:val="table of figures"/>
    <w:basedOn w:val="Normal"/>
    <w:next w:val="Normal"/>
    <w:semiHidden/>
    <w:rsid w:val="005E7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72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727D"/>
    <w:rPr>
      <w:rFonts w:ascii="Wingdings" w:hAnsi="Wingdings"/>
    </w:rPr>
  </w:style>
  <w:style w:type="paragraph" w:customStyle="1" w:styleId="TableHeading">
    <w:name w:val="Table Heading"/>
    <w:basedOn w:val="HeadingBase"/>
    <w:rsid w:val="005E7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727D"/>
    <w:rPr>
      <w:color w:val="0033CC"/>
      <w:u w:val="none"/>
    </w:rPr>
  </w:style>
  <w:style w:type="paragraph" w:customStyle="1" w:styleId="BodyTextRight">
    <w:name w:val="Body Text Right"/>
    <w:basedOn w:val="BodyText"/>
    <w:rsid w:val="005E7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7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7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7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7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7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727D"/>
    <w:rPr>
      <w:sz w:val="32"/>
    </w:rPr>
  </w:style>
  <w:style w:type="paragraph" w:customStyle="1" w:styleId="HeadingProcedure">
    <w:name w:val="Heading Procedure"/>
    <w:basedOn w:val="HeadingBase"/>
    <w:next w:val="Normal"/>
    <w:rsid w:val="005E7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727D"/>
    <w:pPr>
      <w:spacing w:before="60" w:after="60"/>
    </w:pPr>
  </w:style>
  <w:style w:type="paragraph" w:styleId="ListContinue">
    <w:name w:val="List Continue"/>
    <w:basedOn w:val="List"/>
    <w:rsid w:val="005E727D"/>
    <w:pPr>
      <w:ind w:firstLine="0"/>
    </w:pPr>
  </w:style>
  <w:style w:type="paragraph" w:customStyle="1" w:styleId="ListNote">
    <w:name w:val="List Note"/>
    <w:basedOn w:val="List"/>
    <w:rsid w:val="005E7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7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7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727D"/>
    <w:rPr>
      <w:rFonts w:ascii="Courier New" w:hAnsi="Courier New"/>
    </w:rPr>
  </w:style>
  <w:style w:type="paragraph" w:customStyle="1" w:styleId="NoteBullet">
    <w:name w:val="Note Bullet"/>
    <w:basedOn w:val="Note"/>
    <w:rsid w:val="005E7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7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7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7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7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7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7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727D"/>
    <w:rPr>
      <w:b/>
      <w:smallCaps/>
    </w:rPr>
  </w:style>
  <w:style w:type="paragraph" w:customStyle="1" w:styleId="TableListNumber">
    <w:name w:val="Table List Number"/>
    <w:basedOn w:val="ListNumber"/>
    <w:rsid w:val="005E7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7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727D"/>
    <w:pPr>
      <w:numPr>
        <w:numId w:val="9"/>
      </w:numPr>
    </w:pPr>
  </w:style>
  <w:style w:type="paragraph" w:customStyle="1" w:styleId="ListAlpha2">
    <w:name w:val="List Alpha 2"/>
    <w:basedOn w:val="List2"/>
    <w:rsid w:val="005E727D"/>
    <w:pPr>
      <w:numPr>
        <w:numId w:val="8"/>
      </w:numPr>
    </w:pPr>
  </w:style>
  <w:style w:type="paragraph" w:styleId="List2">
    <w:name w:val="List 2"/>
    <w:basedOn w:val="BodyText"/>
    <w:rsid w:val="005E7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7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7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7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7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7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727D"/>
    <w:pPr>
      <w:numPr>
        <w:numId w:val="4"/>
      </w:numPr>
    </w:pPr>
  </w:style>
  <w:style w:type="paragraph" w:styleId="ListContinue2">
    <w:name w:val="List Continue 2"/>
    <w:basedOn w:val="List2"/>
    <w:rsid w:val="005E727D"/>
    <w:pPr>
      <w:ind w:firstLine="0"/>
    </w:pPr>
  </w:style>
  <w:style w:type="paragraph" w:styleId="ListContinue3">
    <w:name w:val="List Continue 3"/>
    <w:basedOn w:val="List3"/>
    <w:rsid w:val="005E727D"/>
    <w:pPr>
      <w:ind w:left="1021" w:firstLine="0"/>
    </w:pPr>
  </w:style>
  <w:style w:type="paragraph" w:styleId="ListContinue4">
    <w:name w:val="List Continue 4"/>
    <w:basedOn w:val="List4"/>
    <w:rsid w:val="005E727D"/>
    <w:pPr>
      <w:ind w:firstLine="0"/>
    </w:pPr>
  </w:style>
  <w:style w:type="paragraph" w:styleId="ListContinue5">
    <w:name w:val="List Continue 5"/>
    <w:basedOn w:val="List5"/>
    <w:rsid w:val="005E727D"/>
    <w:pPr>
      <w:ind w:firstLine="0"/>
    </w:pPr>
  </w:style>
  <w:style w:type="paragraph" w:styleId="ListNumber3">
    <w:name w:val="List Number 3"/>
    <w:basedOn w:val="List3"/>
    <w:rsid w:val="005E727D"/>
    <w:pPr>
      <w:numPr>
        <w:numId w:val="5"/>
      </w:numPr>
    </w:pPr>
  </w:style>
  <w:style w:type="paragraph" w:styleId="ListNumber4">
    <w:name w:val="List Number 4"/>
    <w:basedOn w:val="List4"/>
    <w:rsid w:val="005E727D"/>
    <w:pPr>
      <w:numPr>
        <w:numId w:val="6"/>
      </w:numPr>
    </w:pPr>
  </w:style>
  <w:style w:type="paragraph" w:styleId="ListNumber5">
    <w:name w:val="List Number 5"/>
    <w:basedOn w:val="List5"/>
    <w:rsid w:val="005E727D"/>
    <w:pPr>
      <w:numPr>
        <w:numId w:val="7"/>
      </w:numPr>
    </w:pPr>
  </w:style>
  <w:style w:type="paragraph" w:styleId="BlockText">
    <w:name w:val="Block Text"/>
    <w:basedOn w:val="Normal"/>
    <w:rsid w:val="005E7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7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727D"/>
    <w:rPr>
      <w:sz w:val="16"/>
      <w:vertAlign w:val="superscript"/>
    </w:rPr>
  </w:style>
  <w:style w:type="character" w:customStyle="1" w:styleId="Symbols">
    <w:name w:val="Symbols"/>
    <w:basedOn w:val="DefaultParagraphFont"/>
    <w:rsid w:val="005E727D"/>
    <w:rPr>
      <w:rFonts w:ascii="Symbol" w:hAnsi="Symbol"/>
    </w:rPr>
  </w:style>
  <w:style w:type="character" w:customStyle="1" w:styleId="MenuOptions">
    <w:name w:val="Menu Options"/>
    <w:basedOn w:val="DefaultParagraphFont"/>
    <w:rsid w:val="005E7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727D"/>
    <w:rPr>
      <w:b/>
    </w:rPr>
  </w:style>
  <w:style w:type="character" w:customStyle="1" w:styleId="Underlined">
    <w:name w:val="Underlined"/>
    <w:basedOn w:val="DefaultParagraphFont"/>
    <w:rsid w:val="005E727D"/>
    <w:rPr>
      <w:u w:val="single"/>
    </w:rPr>
  </w:style>
  <w:style w:type="paragraph" w:customStyle="1" w:styleId="TableBodyTextRight">
    <w:name w:val="Table Body Text Right"/>
    <w:basedOn w:val="TableBodyText"/>
    <w:rsid w:val="005E7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727D"/>
    <w:rPr>
      <w:sz w:val="18"/>
    </w:rPr>
  </w:style>
  <w:style w:type="paragraph" w:customStyle="1" w:styleId="BodySmallRight">
    <w:name w:val="Body Small Right"/>
    <w:basedOn w:val="BodyTextRight"/>
    <w:rsid w:val="005E727D"/>
    <w:rPr>
      <w:sz w:val="18"/>
      <w:szCs w:val="18"/>
    </w:rPr>
  </w:style>
  <w:style w:type="paragraph" w:customStyle="1" w:styleId="MarginEdition">
    <w:name w:val="Margin Edition"/>
    <w:basedOn w:val="MarginNote"/>
    <w:rsid w:val="005E7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727D"/>
    <w:rPr>
      <w:sz w:val="2"/>
      <w:szCs w:val="2"/>
    </w:rPr>
  </w:style>
  <w:style w:type="character" w:customStyle="1" w:styleId="Small">
    <w:name w:val="Small"/>
    <w:basedOn w:val="DefaultParagraphFont"/>
    <w:rsid w:val="005E727D"/>
    <w:rPr>
      <w:sz w:val="16"/>
    </w:rPr>
  </w:style>
  <w:style w:type="paragraph" w:customStyle="1" w:styleId="WideTable">
    <w:name w:val="Wide Table"/>
    <w:basedOn w:val="Normal"/>
    <w:rsid w:val="005E7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727D"/>
  </w:style>
  <w:style w:type="paragraph" w:styleId="Quote">
    <w:name w:val="Quote"/>
    <w:basedOn w:val="Heading1"/>
    <w:link w:val="QuoteChar"/>
    <w:qFormat/>
    <w:rsid w:val="005E7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7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Border">
    <w:name w:val="Border"/>
    <w:basedOn w:val="Normal"/>
    <w:qFormat/>
    <w:rsid w:val="005E7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7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7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7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7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7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7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727D"/>
    <w:rPr>
      <w:u w:val="single"/>
    </w:rPr>
  </w:style>
  <w:style w:type="character" w:customStyle="1" w:styleId="BoldandItalics">
    <w:name w:val="Bold and Italics"/>
    <w:qFormat/>
    <w:rsid w:val="005E727D"/>
    <w:rPr>
      <w:b/>
      <w:i/>
      <w:u w:val="none"/>
    </w:rPr>
  </w:style>
  <w:style w:type="paragraph" w:styleId="BalloonText">
    <w:name w:val="Balloon Text"/>
    <w:basedOn w:val="Normal"/>
    <w:link w:val="BalloonTextChar"/>
    <w:rsid w:val="005E7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7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7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7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7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7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727D"/>
    <w:pPr>
      <w:spacing w:before="0" w:after="0"/>
    </w:pPr>
  </w:style>
  <w:style w:type="paragraph" w:customStyle="1" w:styleId="BodyTextBold">
    <w:name w:val="Body Text Bold"/>
    <w:basedOn w:val="BodyText"/>
    <w:qFormat/>
    <w:rsid w:val="005E727D"/>
    <w:rPr>
      <w:b/>
    </w:rPr>
  </w:style>
  <w:style w:type="character" w:styleId="Hyperlink">
    <w:name w:val="Hyperlink"/>
    <w:basedOn w:val="DefaultParagraphFont"/>
    <w:uiPriority w:val="99"/>
    <w:unhideWhenUsed/>
    <w:rsid w:val="002A2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5427</Characters>
  <Application>Microsoft Office Word</Application>
  <DocSecurity>0</DocSecurity>
  <Lines>193</Lines>
  <Paragraphs>115</Paragraphs>
  <ScaleCrop>false</ScaleCrop>
  <Company>Author-it Software Corporation Ltd.</Company>
  <LinksUpToDate>false</LinksUpToDate>
  <CharactersWithSpaces>6104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DEFEAP002 Demonstrate compliance with an enterprise architecture framework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2025-03-01T19:18:00Z</dcterms:created>
  <dcterms:modified xsi:type="dcterms:W3CDTF">2025-03-01T19:18:00Z</dcterms:modified>
</cp:coreProperties>
</file>