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0339" w:rsidP="009D03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DEFDPL024 Provide high-level support on criminal law matters</w:t>
      </w:r>
      <w:r>
        <w:fldChar w:fldCharType="end"/>
      </w:r>
    </w:p>
    <w:p w:rsidR="009D0339" w:rsidP="009D0339">
      <w:pPr>
        <w:pStyle w:val="Version"/>
        <w:sectPr w:rsidSect="00AE6A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6A90" w:rsidP="00AE6A90">
      <w:pPr>
        <w:pStyle w:val="SuperHeading"/>
      </w:pPr>
      <w:r w:rsidRPr="00AE6A90">
        <w:t>DEFDPL024 Provide high-level support on criminal law matters</w:t>
      </w:r>
    </w:p>
    <w:p w:rsidR="00000000" w:rsidRPr="00AE6A90" w:rsidP="00AE6A90">
      <w:pPr>
        <w:pStyle w:val="Heading1"/>
      </w:pPr>
      <w:bookmarkStart w:id="1" w:name="O_1238874"/>
      <w:bookmarkEnd w:id="1"/>
      <w:r w:rsidRPr="00AE6A9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6A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A90" w:rsidP="00AE6A90">
            <w:pPr>
              <w:pStyle w:val="BodyText"/>
            </w:pPr>
            <w:r w:rsidRPr="00AE6A90">
              <w:t>Release 1. This is the first release of this unit of competency in the DEF Defence Training Package.</w:t>
            </w:r>
          </w:p>
        </w:tc>
      </w:tr>
    </w:tbl>
    <w:p w:rsidR="00000000" w:rsidRPr="00AE6A90" w:rsidP="00AE6A90">
      <w:pPr>
        <w:pStyle w:val="NoPaddingFontSize1"/>
      </w:pPr>
    </w:p>
    <w:p w:rsidR="00000000" w:rsidRPr="00AE6A90" w:rsidP="00AE6A90">
      <w:pPr>
        <w:pStyle w:val="AllowPageBreak"/>
      </w:pPr>
    </w:p>
    <w:p w:rsidR="00000000" w:rsidRPr="00AE6A90" w:rsidP="00AE6A90">
      <w:pPr>
        <w:pStyle w:val="Heading1"/>
      </w:pPr>
      <w:bookmarkStart w:id="2" w:name="O_1238875"/>
      <w:bookmarkEnd w:id="2"/>
      <w:r w:rsidRPr="00AE6A9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6A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A90" w:rsidP="00AE6A90">
            <w:pPr>
              <w:pStyle w:val="BodyText"/>
            </w:pPr>
            <w:r w:rsidRPr="00AE6A90">
              <w:t xml:space="preserve">This unit describes the skills and knowledge required to provide paralegal support </w:t>
            </w:r>
            <w:r w:rsidRPr="00AE6A90">
              <w:t>services within a Defence legal environment.</w:t>
            </w:r>
          </w:p>
          <w:p w:rsidR="00000000" w:rsidRPr="00AE6A90" w:rsidP="00AE6A90">
            <w:pPr>
              <w:pStyle w:val="BodyText"/>
            </w:pPr>
            <w:r w:rsidRPr="00AE6A90">
              <w:t>It includes planning and preparing to provide high-level support, clarifying complex legal issues and performing legal research. It also includes preparing complex documents and finalising criminal law matters.</w:t>
            </w:r>
          </w:p>
          <w:p w:rsidR="00000000" w:rsidRPr="00AE6A90" w:rsidP="00AE6A90">
            <w:pPr>
              <w:pStyle w:val="BodyText"/>
            </w:pPr>
            <w:r w:rsidRPr="00AE6A90">
              <w:t>This unit applies to Defence personnel who are required to provide paralegal support services.</w:t>
            </w:r>
          </w:p>
          <w:p w:rsidR="00000000" w:rsidRPr="00AE6A90" w:rsidP="00AE6A90">
            <w:pPr>
              <w:pStyle w:val="BodyText"/>
            </w:pPr>
            <w:r w:rsidRPr="00AE6A90">
              <w:t>The skills and knowledge described in this unit must be applied within the legislative, regulatory and policy environment in which they are carried out. Organisa</w:t>
            </w:r>
            <w:r w:rsidRPr="00AE6A90">
              <w:t>tional policies and procedures must be consulted and adhered to.</w:t>
            </w:r>
          </w:p>
          <w:p w:rsidR="00000000" w:rsidRPr="00AE6A90" w:rsidP="00AE6A90">
            <w:pPr>
              <w:pStyle w:val="BodyText"/>
            </w:pPr>
            <w:r w:rsidRPr="00AE6A90">
              <w:t>Persons undertaking this unit work mostly independently while of a team, and perform routine and complex tasks. They would work with limited supervision, with identified approval authorities.</w:t>
            </w:r>
            <w:r w:rsidRPr="00AE6A90">
              <w:t xml:space="preserve"> They apply solutions to a variety of predictable and complex problems in familiar and unfamiliar contexts.</w:t>
            </w:r>
          </w:p>
          <w:p w:rsidR="00000000" w:rsidRPr="00AE6A90" w:rsidP="00AE6A90">
            <w:pPr>
              <w:pStyle w:val="BodyText"/>
            </w:pPr>
            <w:r w:rsidRPr="00AE6A90">
              <w:t>No licensing, legislative or certification requirements apply to this unit at the time of publication.</w:t>
            </w:r>
          </w:p>
        </w:tc>
      </w:tr>
    </w:tbl>
    <w:p w:rsidR="00000000" w:rsidRPr="00AE6A90" w:rsidP="00AE6A90">
      <w:pPr>
        <w:pStyle w:val="NoPaddingFontSize1"/>
      </w:pPr>
    </w:p>
    <w:p w:rsidR="00000000" w:rsidRPr="00AE6A90" w:rsidP="00AE6A90">
      <w:pPr>
        <w:pStyle w:val="AllowPageBreak"/>
      </w:pPr>
    </w:p>
    <w:p w:rsidR="00000000" w:rsidRPr="00AE6A90" w:rsidP="00AE6A90">
      <w:pPr>
        <w:pStyle w:val="Heading1"/>
      </w:pPr>
      <w:bookmarkStart w:id="3" w:name="O_1238876"/>
      <w:bookmarkEnd w:id="3"/>
      <w:r w:rsidRPr="00AE6A9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6A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A90" w:rsidP="00AE6A90">
            <w:pPr>
              <w:pStyle w:val="BodyText"/>
            </w:pPr>
            <w:r w:rsidRPr="00AE6A90">
              <w:t>Not a</w:t>
            </w:r>
            <w:r w:rsidRPr="00AE6A90">
              <w:t>pplicable.</w:t>
            </w:r>
          </w:p>
        </w:tc>
      </w:tr>
    </w:tbl>
    <w:p w:rsidR="00000000" w:rsidRPr="00AE6A90" w:rsidP="00AE6A90">
      <w:pPr>
        <w:pStyle w:val="NoPaddingFontSize1"/>
      </w:pPr>
    </w:p>
    <w:p w:rsidR="00000000" w:rsidRPr="00AE6A90" w:rsidP="00AE6A90">
      <w:pPr>
        <w:pStyle w:val="AllowPageBreak"/>
      </w:pPr>
    </w:p>
    <w:p w:rsidR="00000000" w:rsidRPr="00AE6A90" w:rsidP="00AE6A90">
      <w:pPr>
        <w:pStyle w:val="Heading1"/>
      </w:pPr>
      <w:bookmarkStart w:id="4" w:name="O_1238877"/>
      <w:bookmarkEnd w:id="4"/>
      <w:r w:rsidRPr="00AE6A9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6A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A90" w:rsidP="00AE6A90">
            <w:pPr>
              <w:pStyle w:val="BodyText"/>
            </w:pPr>
            <w:r w:rsidRPr="00AE6A90">
              <w:t>Defence Paralegal Operations.</w:t>
            </w:r>
          </w:p>
        </w:tc>
      </w:tr>
    </w:tbl>
    <w:p w:rsidR="00000000" w:rsidRPr="00AE6A90" w:rsidP="00AE6A90">
      <w:pPr>
        <w:pStyle w:val="NoPaddingFontSize1"/>
      </w:pPr>
    </w:p>
    <w:p w:rsidR="00000000" w:rsidRPr="00AE6A90" w:rsidP="00AE6A90">
      <w:pPr>
        <w:pStyle w:val="AllowPageBreak"/>
      </w:pPr>
    </w:p>
    <w:p w:rsidR="00000000" w:rsidRPr="00AE6A90" w:rsidP="00AE6A90">
      <w:pPr>
        <w:pStyle w:val="Heading1"/>
      </w:pPr>
      <w:bookmarkStart w:id="5" w:name="O_1238878"/>
      <w:bookmarkEnd w:id="5"/>
      <w:r w:rsidRPr="00AE6A9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6A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A90" w:rsidP="00AE6A90">
            <w:pPr>
              <w:pStyle w:val="BodyText"/>
            </w:pPr>
            <w:r w:rsidRPr="00AE6A90">
              <w:t>Not applicable.</w:t>
            </w:r>
          </w:p>
        </w:tc>
      </w:tr>
    </w:tbl>
    <w:p w:rsidR="00000000" w:rsidRPr="00AE6A90" w:rsidP="00AE6A90">
      <w:pPr>
        <w:pStyle w:val="NoPaddingFontSize1"/>
      </w:pPr>
    </w:p>
    <w:p w:rsidR="00000000" w:rsidRPr="00AE6A90" w:rsidP="00AE6A90">
      <w:pPr>
        <w:pStyle w:val="AllowPageBreak"/>
      </w:pPr>
    </w:p>
    <w:p w:rsidR="00000000" w:rsidRPr="00AE6A90" w:rsidP="00AE6A90">
      <w:pPr>
        <w:pStyle w:val="Heading1"/>
      </w:pPr>
      <w:bookmarkStart w:id="6" w:name="O_1238879"/>
      <w:bookmarkEnd w:id="6"/>
      <w:r w:rsidRPr="00AE6A9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AE6A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A90" w:rsidP="00AE6A90">
            <w:pPr>
              <w:pStyle w:val="BodyText"/>
            </w:pPr>
            <w:r w:rsidRPr="00AE6A90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90">
            <w:pPr>
              <w:pStyle w:val="BodyText"/>
              <w:rPr>
                <w:lang w:val="en-NZ"/>
              </w:rPr>
            </w:pPr>
            <w:r w:rsidRPr="00AE6A90">
              <w:rPr>
                <w:rStyle w:val="SpecialBold"/>
              </w:rPr>
              <w:t>PERFORMANCE CRITERIA</w:t>
            </w:r>
          </w:p>
        </w:tc>
      </w:tr>
      <w:tr w:rsidTr="00AE6A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90">
            <w:pPr>
              <w:pStyle w:val="BodyText"/>
              <w:rPr>
                <w:lang w:val="en-NZ"/>
              </w:rPr>
            </w:pPr>
            <w:r w:rsidRPr="00AE6A90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90">
            <w:pPr>
              <w:pStyle w:val="BodyText"/>
              <w:rPr>
                <w:lang w:val="en-NZ"/>
              </w:rPr>
            </w:pPr>
            <w:r w:rsidRPr="00AE6A90">
              <w:t>Performance criteria describe the performance needed to demonstrate achievement of the element.</w:t>
            </w:r>
          </w:p>
        </w:tc>
      </w:tr>
      <w:tr w:rsidTr="00AE6A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A90" w:rsidP="00AE6A90">
            <w:pPr>
              <w:pStyle w:val="BodyText"/>
            </w:pPr>
            <w:r w:rsidRPr="00AE6A90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A90" w:rsidP="00AE6A90">
            <w:pPr>
              <w:pStyle w:val="BodyText"/>
            </w:pPr>
            <w:r w:rsidRPr="00AE6A90">
              <w:rPr>
                <w:rStyle w:val="SpecialBold"/>
              </w:rPr>
              <w:t>Plan and prepare to provide support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90">
            <w:pPr>
              <w:pStyle w:val="BodyText"/>
              <w:rPr>
                <w:lang w:val="en-NZ"/>
              </w:rPr>
            </w:pPr>
            <w:r w:rsidRPr="00AE6A90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90">
            <w:pPr>
              <w:pStyle w:val="BodyText"/>
              <w:rPr>
                <w:lang w:val="en-NZ"/>
              </w:rPr>
            </w:pPr>
            <w:r w:rsidRPr="00AE6A90">
              <w:t>Register a criminal law matter and identify possible legal issues for the matter</w:t>
            </w:r>
          </w:p>
        </w:tc>
      </w:tr>
      <w:tr w:rsidTr="00AE6A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A9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90">
            <w:pPr>
              <w:pStyle w:val="BodyText"/>
              <w:rPr>
                <w:lang w:val="en-NZ"/>
              </w:rPr>
            </w:pPr>
            <w:r w:rsidRPr="00AE6A90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90">
            <w:pPr>
              <w:pStyle w:val="BodyText"/>
              <w:rPr>
                <w:lang w:val="en-NZ"/>
              </w:rPr>
            </w:pPr>
            <w:r w:rsidRPr="00AE6A90">
              <w:t>Analyse the matter requirements according to organisational procedures</w:t>
            </w:r>
          </w:p>
        </w:tc>
      </w:tr>
      <w:tr w:rsidTr="00AE6A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A9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90">
            <w:pPr>
              <w:pStyle w:val="BodyText"/>
              <w:rPr>
                <w:lang w:val="en-NZ"/>
              </w:rPr>
            </w:pPr>
            <w:r w:rsidRPr="00AE6A90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90">
            <w:pPr>
              <w:pStyle w:val="BodyText"/>
              <w:rPr>
                <w:lang w:val="en-NZ"/>
              </w:rPr>
            </w:pPr>
            <w:r w:rsidRPr="00AE6A90">
              <w:t>Determine staffing required to action the request and identify any military entities and/or stakeholders</w:t>
            </w:r>
          </w:p>
        </w:tc>
      </w:tr>
      <w:tr w:rsidTr="00AE6A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A90" w:rsidP="00AE6A90">
            <w:pPr>
              <w:pStyle w:val="BodyText"/>
            </w:pPr>
            <w:r w:rsidRPr="00AE6A90">
              <w:rPr>
                <w:rStyle w:val="SpecialBold"/>
              </w:rPr>
              <w:t>2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A90" w:rsidP="00AE6A90">
            <w:pPr>
              <w:pStyle w:val="BodyText"/>
            </w:pPr>
            <w:r w:rsidRPr="00AE6A90">
              <w:rPr>
                <w:rStyle w:val="SpecialBold"/>
              </w:rPr>
              <w:t>Clarify legal issues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90">
            <w:pPr>
              <w:pStyle w:val="BodyText"/>
              <w:rPr>
                <w:lang w:val="en-NZ"/>
              </w:rPr>
            </w:pPr>
            <w:r w:rsidRPr="00AE6A90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90">
            <w:pPr>
              <w:pStyle w:val="BodyText"/>
              <w:rPr>
                <w:lang w:val="en-NZ"/>
              </w:rPr>
            </w:pPr>
            <w:r w:rsidRPr="00AE6A90">
              <w:t>Identify and clarify complex legal issues of matter with instructing legal officer</w:t>
            </w:r>
          </w:p>
        </w:tc>
      </w:tr>
      <w:tr w:rsidTr="00AE6A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A9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90">
            <w:pPr>
              <w:pStyle w:val="BodyText"/>
              <w:rPr>
                <w:lang w:val="en-NZ"/>
              </w:rPr>
            </w:pPr>
            <w:r w:rsidRPr="00AE6A90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90">
            <w:pPr>
              <w:pStyle w:val="BodyText"/>
              <w:rPr>
                <w:lang w:val="en-NZ"/>
              </w:rPr>
            </w:pPr>
            <w:r w:rsidRPr="00AE6A90">
              <w:t>Obtain additional information, as</w:t>
            </w:r>
            <w:r w:rsidRPr="00AE6A90">
              <w:t xml:space="preserve"> required, to meet matter requirements and manage client and stakeholder expectations</w:t>
            </w:r>
          </w:p>
        </w:tc>
      </w:tr>
      <w:tr w:rsidTr="00AE6A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A9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90">
            <w:pPr>
              <w:pStyle w:val="BodyText"/>
              <w:rPr>
                <w:lang w:val="en-NZ"/>
              </w:rPr>
            </w:pPr>
            <w:r w:rsidRPr="00AE6A90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90">
            <w:pPr>
              <w:pStyle w:val="BodyText"/>
              <w:rPr>
                <w:lang w:val="en-NZ"/>
              </w:rPr>
            </w:pPr>
            <w:r w:rsidRPr="00AE6A90">
              <w:t>Outline the scope of the paralegal</w:t>
            </w:r>
            <w:r>
              <w:t>’</w:t>
            </w:r>
            <w:r w:rsidRPr="00AE6A90">
              <w:t xml:space="preserve">s responsibilities clearly to stakeholders and establish clear responsibilities with client in accordance with </w:t>
            </w:r>
            <w:r w:rsidRPr="00AE6A90">
              <w:t>legal and organisational requirements</w:t>
            </w:r>
          </w:p>
        </w:tc>
      </w:tr>
      <w:tr w:rsidTr="00AE6A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A90" w:rsidP="00AE6A90">
            <w:pPr>
              <w:pStyle w:val="BodyText"/>
            </w:pPr>
            <w:r w:rsidRPr="00AE6A90">
              <w:rPr>
                <w:rStyle w:val="SpecialBold"/>
              </w:rPr>
              <w:t>3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A90" w:rsidP="00AE6A90">
            <w:pPr>
              <w:pStyle w:val="BodyText"/>
            </w:pPr>
            <w:r w:rsidRPr="00AE6A90">
              <w:rPr>
                <w:rStyle w:val="SpecialBold"/>
              </w:rPr>
              <w:t>Perform legal research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90">
            <w:pPr>
              <w:pStyle w:val="BodyText"/>
              <w:rPr>
                <w:lang w:val="en-NZ"/>
              </w:rPr>
            </w:pPr>
            <w:r w:rsidRPr="00AE6A90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90">
            <w:pPr>
              <w:pStyle w:val="BodyText"/>
              <w:rPr>
                <w:lang w:val="en-NZ"/>
              </w:rPr>
            </w:pPr>
            <w:r w:rsidRPr="00AE6A90">
              <w:t>Identify scope and requirements for researching the matter, as required</w:t>
            </w:r>
          </w:p>
        </w:tc>
      </w:tr>
      <w:tr w:rsidTr="00AE6A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A9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90">
            <w:pPr>
              <w:pStyle w:val="BodyText"/>
              <w:rPr>
                <w:lang w:val="en-NZ"/>
              </w:rPr>
            </w:pPr>
            <w:r w:rsidRPr="00AE6A90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90">
            <w:pPr>
              <w:pStyle w:val="BodyText"/>
              <w:rPr>
                <w:lang w:val="en-NZ"/>
              </w:rPr>
            </w:pPr>
            <w:r w:rsidRPr="00AE6A90">
              <w:t>Conduct legal research of all relevant resources and engage with stakeholders to complete matter</w:t>
            </w:r>
          </w:p>
        </w:tc>
      </w:tr>
      <w:tr w:rsidTr="00AE6A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A9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90">
            <w:pPr>
              <w:pStyle w:val="BodyText"/>
              <w:rPr>
                <w:lang w:val="en-NZ"/>
              </w:rPr>
            </w:pPr>
            <w:r w:rsidRPr="00AE6A90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90">
            <w:pPr>
              <w:pStyle w:val="BodyText"/>
              <w:rPr>
                <w:lang w:val="en-NZ"/>
              </w:rPr>
            </w:pPr>
            <w:r w:rsidRPr="00AE6A90">
              <w:t>Analyse and document research outcomes and propose a course of action in accordance with matter requirements</w:t>
            </w:r>
          </w:p>
        </w:tc>
      </w:tr>
      <w:tr w:rsidTr="00AE6A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A90" w:rsidP="00AE6A90">
            <w:pPr>
              <w:pStyle w:val="BodyText"/>
            </w:pPr>
            <w:r w:rsidRPr="00AE6A90">
              <w:rPr>
                <w:rStyle w:val="SpecialBold"/>
              </w:rPr>
              <w:t>4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A90" w:rsidP="00AE6A90">
            <w:pPr>
              <w:pStyle w:val="BodyText"/>
            </w:pPr>
            <w:r w:rsidRPr="00AE6A90">
              <w:rPr>
                <w:rStyle w:val="SpecialBold"/>
              </w:rPr>
              <w:t>Prepare documents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90">
            <w:pPr>
              <w:pStyle w:val="BodyText"/>
              <w:rPr>
                <w:lang w:val="en-NZ"/>
              </w:rPr>
            </w:pPr>
            <w:r w:rsidRPr="00AE6A90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90">
            <w:pPr>
              <w:pStyle w:val="BodyText"/>
              <w:rPr>
                <w:lang w:val="en-NZ"/>
              </w:rPr>
            </w:pPr>
            <w:r w:rsidRPr="00AE6A90">
              <w:t>Prepare required documents for matter according to instructions of legal officer for review and sign off, as required, in accordance with organisational policies and procedures</w:t>
            </w:r>
          </w:p>
        </w:tc>
      </w:tr>
      <w:tr w:rsidTr="00AE6A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A9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90">
            <w:pPr>
              <w:pStyle w:val="BodyText"/>
              <w:rPr>
                <w:lang w:val="en-NZ"/>
              </w:rPr>
            </w:pPr>
            <w:r w:rsidRPr="00AE6A90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90">
            <w:pPr>
              <w:pStyle w:val="BodyText"/>
              <w:rPr>
                <w:lang w:val="en-NZ"/>
              </w:rPr>
            </w:pPr>
            <w:r w:rsidRPr="00AE6A90">
              <w:t>Review prepared documents with instructing legal officer, confirm docume</w:t>
            </w:r>
            <w:r w:rsidRPr="00AE6A90">
              <w:t>nt accuracy with client and stakeholders, and amend as required</w:t>
            </w:r>
          </w:p>
        </w:tc>
      </w:tr>
      <w:tr w:rsidTr="00AE6A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A90" w:rsidP="00AE6A90">
            <w:pPr>
              <w:pStyle w:val="BodyText"/>
            </w:pPr>
            <w:r w:rsidRPr="00AE6A90">
              <w:rPr>
                <w:rStyle w:val="SpecialBold"/>
              </w:rPr>
              <w:t>5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A90" w:rsidP="00AE6A90">
            <w:pPr>
              <w:pStyle w:val="BodyText"/>
            </w:pPr>
            <w:r w:rsidRPr="00AE6A90">
              <w:rPr>
                <w:rStyle w:val="SpecialBold"/>
              </w:rPr>
              <w:t>Finalise criminal law matter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90">
            <w:pPr>
              <w:pStyle w:val="BodyText"/>
              <w:rPr>
                <w:lang w:val="en-NZ"/>
              </w:rPr>
            </w:pPr>
            <w:r w:rsidRPr="00AE6A90">
              <w:rPr>
                <w:rStyle w:val="SpecialBold"/>
              </w:rPr>
              <w:t>5.1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90">
            <w:pPr>
              <w:pStyle w:val="BodyText"/>
              <w:rPr>
                <w:lang w:val="en-NZ"/>
              </w:rPr>
            </w:pPr>
            <w:r w:rsidRPr="00AE6A90">
              <w:t>Finalise legal documents in accordance with legal and organisational procedures</w:t>
            </w:r>
          </w:p>
        </w:tc>
      </w:tr>
      <w:tr w:rsidTr="00AE6A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A9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90">
            <w:pPr>
              <w:pStyle w:val="BodyText"/>
              <w:rPr>
                <w:lang w:val="en-NZ"/>
              </w:rPr>
            </w:pPr>
            <w:r w:rsidRPr="00AE6A90">
              <w:rPr>
                <w:rStyle w:val="SpecialBold"/>
              </w:rPr>
              <w:t>5.2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90">
            <w:pPr>
              <w:pStyle w:val="BodyText"/>
              <w:rPr>
                <w:lang w:val="en-NZ"/>
              </w:rPr>
            </w:pPr>
            <w:r w:rsidRPr="00AE6A90">
              <w:t>Communicate outcomes to stakeholders as required</w:t>
            </w:r>
          </w:p>
        </w:tc>
      </w:tr>
      <w:tr w:rsidTr="00AE6A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A9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90">
            <w:pPr>
              <w:pStyle w:val="BodyText"/>
              <w:rPr>
                <w:lang w:val="en-NZ"/>
              </w:rPr>
            </w:pPr>
            <w:r w:rsidRPr="00AE6A90">
              <w:rPr>
                <w:rStyle w:val="SpecialBold"/>
              </w:rPr>
              <w:t>5.3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90">
            <w:pPr>
              <w:pStyle w:val="BodyText"/>
              <w:rPr>
                <w:lang w:val="en-NZ"/>
              </w:rPr>
            </w:pPr>
            <w:r w:rsidRPr="00AE6A90">
              <w:t>Update file notes and place outcomes on file in accordance with operating guidelines</w:t>
            </w:r>
          </w:p>
        </w:tc>
      </w:tr>
      <w:tr w:rsidTr="00AE6A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A9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90">
            <w:pPr>
              <w:pStyle w:val="BodyText"/>
              <w:rPr>
                <w:lang w:val="en-NZ"/>
              </w:rPr>
            </w:pPr>
            <w:r w:rsidRPr="00AE6A90">
              <w:rPr>
                <w:rStyle w:val="SpecialBold"/>
              </w:rPr>
              <w:t>5.4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A90" w:rsidP="00AE6A90">
            <w:pPr>
              <w:pStyle w:val="BodyText"/>
            </w:pPr>
            <w:r w:rsidRPr="00AE6A90">
              <w:t>Store and secure files in accordance with operating guidelines</w:t>
            </w:r>
          </w:p>
        </w:tc>
      </w:tr>
    </w:tbl>
    <w:p w:rsidR="00000000" w:rsidRPr="00AE6A90" w:rsidP="00AE6A90">
      <w:pPr>
        <w:pStyle w:val="NoPaddingFontSize1"/>
      </w:pPr>
    </w:p>
    <w:p w:rsidR="00000000" w:rsidRPr="00AE6A90" w:rsidP="00AE6A90">
      <w:pPr>
        <w:pStyle w:val="AllowPageBreak"/>
      </w:pPr>
    </w:p>
    <w:p w:rsidR="00000000" w:rsidRPr="00AE6A90" w:rsidP="00AE6A90">
      <w:pPr>
        <w:pStyle w:val="Heading1"/>
      </w:pPr>
      <w:bookmarkStart w:id="7" w:name="O_1238880"/>
      <w:bookmarkEnd w:id="7"/>
      <w:r w:rsidRPr="00AE6A9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6A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A90" w:rsidP="00AE6A90">
            <w:pPr>
              <w:pStyle w:val="BodyText"/>
            </w:pPr>
            <w:r w:rsidRPr="00AE6A90">
              <w:t>Foundation skills essential to performance are explicit in the performance criteria of this unit of competency.</w:t>
            </w:r>
          </w:p>
        </w:tc>
      </w:tr>
    </w:tbl>
    <w:p w:rsidR="00000000" w:rsidRPr="00AE6A90" w:rsidP="00AE6A90">
      <w:pPr>
        <w:pStyle w:val="NoPaddingFontSize1"/>
      </w:pPr>
    </w:p>
    <w:p w:rsidR="00000000" w:rsidRPr="00AE6A90" w:rsidP="00AE6A90">
      <w:pPr>
        <w:pStyle w:val="AllowPageBreak"/>
      </w:pPr>
    </w:p>
    <w:p w:rsidR="00000000" w:rsidRPr="00AE6A90" w:rsidP="00AE6A90">
      <w:pPr>
        <w:pStyle w:val="Heading1"/>
      </w:pPr>
      <w:bookmarkStart w:id="8" w:name="O_1238881"/>
      <w:bookmarkEnd w:id="8"/>
      <w:r w:rsidRPr="00AE6A9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6A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A90" w:rsidP="00AE6A90">
            <w:pPr>
              <w:pStyle w:val="BodyText"/>
            </w:pPr>
            <w:r w:rsidRPr="00AE6A90">
              <w:t>Range is restricted to essential operating conditions and any other variables essential to the work env</w:t>
            </w:r>
            <w:r w:rsidRPr="00AE6A90">
              <w:t>ironment.</w:t>
            </w:r>
          </w:p>
          <w:p w:rsidR="00000000" w:rsidRPr="00AE6A90" w:rsidP="00AE6A90">
            <w:pPr>
              <w:pStyle w:val="BodyText"/>
            </w:pPr>
            <w:r w:rsidRPr="00AE6A90">
              <w:t>Non-essential conditions may be found in the DEF Defence Training Package Companion Volume Implementation Guide.</w:t>
            </w:r>
          </w:p>
        </w:tc>
      </w:tr>
    </w:tbl>
    <w:p w:rsidR="00000000" w:rsidRPr="00AE6A90" w:rsidP="00AE6A90">
      <w:pPr>
        <w:pStyle w:val="NoPaddingFontSize1"/>
      </w:pPr>
    </w:p>
    <w:p w:rsidR="00000000" w:rsidRPr="00AE6A90" w:rsidP="00AE6A90">
      <w:pPr>
        <w:pStyle w:val="AllowPageBreak"/>
      </w:pPr>
    </w:p>
    <w:p w:rsidR="00000000" w:rsidRPr="00AE6A90" w:rsidP="00AE6A90">
      <w:pPr>
        <w:pStyle w:val="Heading1"/>
      </w:pPr>
      <w:bookmarkStart w:id="9" w:name="O_1238882"/>
      <w:bookmarkEnd w:id="9"/>
      <w:r w:rsidRPr="00AE6A9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6A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A90" w:rsidP="00AE6A90">
            <w:pPr>
              <w:pStyle w:val="BodyText"/>
            </w:pPr>
            <w:r w:rsidRPr="00AE6A90">
              <w:t>This unit supersedes and is equivalent to DEFDPL002 Provide high-level support on criminal law matters.</w:t>
            </w:r>
          </w:p>
        </w:tc>
      </w:tr>
    </w:tbl>
    <w:p w:rsidR="00000000" w:rsidRPr="00AE6A90" w:rsidP="00AE6A90">
      <w:pPr>
        <w:pStyle w:val="NoPaddingFontSize1"/>
      </w:pPr>
    </w:p>
    <w:p w:rsidR="00000000" w:rsidRPr="00AE6A90" w:rsidP="00AE6A90">
      <w:pPr>
        <w:pStyle w:val="AllowPageBreak"/>
      </w:pPr>
    </w:p>
    <w:p w:rsidR="00000000" w:rsidRPr="00AE6A90" w:rsidP="00AE6A90">
      <w:pPr>
        <w:pStyle w:val="Heading1"/>
      </w:pPr>
      <w:bookmarkStart w:id="10" w:name="O_1238889"/>
      <w:bookmarkEnd w:id="10"/>
      <w:r w:rsidRPr="00AE6A90">
        <w:t>Links</w:t>
      </w:r>
    </w:p>
    <w:p w:rsidR="00000000" w:rsidRPr="00AE6A90" w:rsidP="009D0339">
      <w:pPr>
        <w:pStyle w:val="BodyText"/>
      </w:pPr>
      <w:r w:rsidRPr="00AE6A90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907A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AE6A90" w:rsidP="00AE6A90"/>
    <w:sectPr w:rsidSect="00AE6A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A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A90" w:rsidRPr="009D0339" w:rsidP="009D03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A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339" w:rsidP="00AE6A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0339" w:rsidP="00AE6A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D0339" w:rsidP="00AE6A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A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3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6A90" w:rsidRPr="009D0339" w:rsidP="009D03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A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339" w:rsidRPr="002D2AF8" w:rsidP="00AE6A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DEFDPL024 Provide high-level support on criminal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D0339" w:rsidP="00AE6A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A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6A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6A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6A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6A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6A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6A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6A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6A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6A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6A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6A90"/>
  </w:style>
  <w:style w:type="character" w:customStyle="1" w:styleId="Heading1Char">
    <w:name w:val="Heading 1 Char"/>
    <w:basedOn w:val="DefaultParagraphFont"/>
    <w:link w:val="Heading1"/>
    <w:rsid w:val="00AE6A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6A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6A9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E6A90"/>
    <w:rPr>
      <w:b/>
      <w:spacing w:val="0"/>
    </w:rPr>
  </w:style>
  <w:style w:type="paragraph" w:customStyle="1" w:styleId="SuperHeading">
    <w:name w:val="SuperHeading"/>
    <w:basedOn w:val="Normal"/>
    <w:rsid w:val="00AE6A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6A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E6A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6A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6A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6A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6A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6A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6A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6A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6A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6A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6A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6A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6A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6A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6A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6A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6A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6A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6A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6A9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E6A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6A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6A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6A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6A9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6A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6A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6A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6A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6A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6A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6A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6A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6A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6A90"/>
    <w:rPr>
      <w:i/>
    </w:rPr>
  </w:style>
  <w:style w:type="paragraph" w:styleId="Caption">
    <w:name w:val="caption"/>
    <w:basedOn w:val="BodyText"/>
    <w:next w:val="Normal"/>
    <w:qFormat/>
    <w:rsid w:val="00AE6A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6A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6A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6A90"/>
  </w:style>
  <w:style w:type="paragraph" w:styleId="TableofFigures">
    <w:name w:val="table of figures"/>
    <w:basedOn w:val="Normal"/>
    <w:next w:val="Normal"/>
    <w:semiHidden/>
    <w:rsid w:val="00AE6A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6A9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E6A90"/>
    <w:rPr>
      <w:rFonts w:ascii="Wingdings" w:hAnsi="Wingdings"/>
    </w:rPr>
  </w:style>
  <w:style w:type="paragraph" w:customStyle="1" w:styleId="TableHeading">
    <w:name w:val="Table Heading"/>
    <w:basedOn w:val="HeadingBase"/>
    <w:rsid w:val="00AE6A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6A90"/>
    <w:rPr>
      <w:color w:val="0033CC"/>
      <w:u w:val="none"/>
    </w:rPr>
  </w:style>
  <w:style w:type="paragraph" w:customStyle="1" w:styleId="BodyTextRight">
    <w:name w:val="Body Text Right"/>
    <w:basedOn w:val="BodyText"/>
    <w:rsid w:val="00AE6A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6A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6A9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6A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6A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6A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6A90"/>
    <w:rPr>
      <w:sz w:val="32"/>
    </w:rPr>
  </w:style>
  <w:style w:type="paragraph" w:customStyle="1" w:styleId="HeadingProcedure">
    <w:name w:val="Heading Procedure"/>
    <w:basedOn w:val="HeadingBase"/>
    <w:next w:val="Normal"/>
    <w:rsid w:val="00AE6A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6A90"/>
    <w:pPr>
      <w:spacing w:before="60" w:after="60"/>
    </w:pPr>
  </w:style>
  <w:style w:type="paragraph" w:styleId="ListContinue">
    <w:name w:val="List Continue"/>
    <w:basedOn w:val="List"/>
    <w:rsid w:val="00AE6A90"/>
    <w:pPr>
      <w:ind w:firstLine="0"/>
    </w:pPr>
  </w:style>
  <w:style w:type="paragraph" w:customStyle="1" w:styleId="ListNote">
    <w:name w:val="List Note"/>
    <w:basedOn w:val="List"/>
    <w:rsid w:val="00AE6A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6A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6A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6A90"/>
    <w:rPr>
      <w:rFonts w:ascii="Courier New" w:hAnsi="Courier New"/>
    </w:rPr>
  </w:style>
  <w:style w:type="paragraph" w:customStyle="1" w:styleId="NoteBullet">
    <w:name w:val="Note Bullet"/>
    <w:basedOn w:val="Note"/>
    <w:rsid w:val="00AE6A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6A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6A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6A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6A9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E6A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6A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6A90"/>
    <w:rPr>
      <w:b/>
      <w:smallCaps/>
    </w:rPr>
  </w:style>
  <w:style w:type="paragraph" w:customStyle="1" w:styleId="TableListNumber">
    <w:name w:val="Table List Number"/>
    <w:basedOn w:val="ListNumber"/>
    <w:rsid w:val="00AE6A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6A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6A90"/>
    <w:pPr>
      <w:numPr>
        <w:numId w:val="7"/>
      </w:numPr>
    </w:pPr>
  </w:style>
  <w:style w:type="paragraph" w:customStyle="1" w:styleId="ListAlpha2">
    <w:name w:val="List Alpha 2"/>
    <w:basedOn w:val="List2"/>
    <w:rsid w:val="00AE6A90"/>
    <w:pPr>
      <w:numPr>
        <w:numId w:val="6"/>
      </w:numPr>
    </w:pPr>
  </w:style>
  <w:style w:type="paragraph" w:styleId="List2">
    <w:name w:val="List 2"/>
    <w:basedOn w:val="BodyText"/>
    <w:rsid w:val="00AE6A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6A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6A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6A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6A9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6A9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E6A90"/>
    <w:pPr>
      <w:numPr>
        <w:numId w:val="2"/>
      </w:numPr>
    </w:pPr>
  </w:style>
  <w:style w:type="paragraph" w:styleId="ListContinue2">
    <w:name w:val="List Continue 2"/>
    <w:basedOn w:val="List2"/>
    <w:rsid w:val="00AE6A90"/>
    <w:pPr>
      <w:ind w:firstLine="0"/>
    </w:pPr>
  </w:style>
  <w:style w:type="paragraph" w:styleId="ListContinue3">
    <w:name w:val="List Continue 3"/>
    <w:basedOn w:val="List3"/>
    <w:rsid w:val="00AE6A90"/>
    <w:pPr>
      <w:ind w:left="1021" w:firstLine="0"/>
    </w:pPr>
  </w:style>
  <w:style w:type="paragraph" w:styleId="ListContinue4">
    <w:name w:val="List Continue 4"/>
    <w:basedOn w:val="List4"/>
    <w:rsid w:val="00AE6A90"/>
    <w:pPr>
      <w:ind w:firstLine="0"/>
    </w:pPr>
  </w:style>
  <w:style w:type="paragraph" w:styleId="ListContinue5">
    <w:name w:val="List Continue 5"/>
    <w:basedOn w:val="List5"/>
    <w:rsid w:val="00AE6A90"/>
    <w:pPr>
      <w:ind w:firstLine="0"/>
    </w:pPr>
  </w:style>
  <w:style w:type="paragraph" w:styleId="ListNumber3">
    <w:name w:val="List Number 3"/>
    <w:basedOn w:val="List3"/>
    <w:rsid w:val="00AE6A90"/>
    <w:pPr>
      <w:numPr>
        <w:numId w:val="3"/>
      </w:numPr>
    </w:pPr>
  </w:style>
  <w:style w:type="paragraph" w:styleId="ListNumber4">
    <w:name w:val="List Number 4"/>
    <w:basedOn w:val="List4"/>
    <w:rsid w:val="00AE6A90"/>
    <w:pPr>
      <w:numPr>
        <w:numId w:val="4"/>
      </w:numPr>
    </w:pPr>
  </w:style>
  <w:style w:type="paragraph" w:styleId="ListNumber5">
    <w:name w:val="List Number 5"/>
    <w:basedOn w:val="List5"/>
    <w:rsid w:val="00AE6A90"/>
    <w:pPr>
      <w:numPr>
        <w:numId w:val="5"/>
      </w:numPr>
    </w:pPr>
  </w:style>
  <w:style w:type="paragraph" w:styleId="BlockText">
    <w:name w:val="Block Text"/>
    <w:basedOn w:val="Normal"/>
    <w:rsid w:val="00AE6A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6A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6A90"/>
    <w:rPr>
      <w:sz w:val="16"/>
      <w:vertAlign w:val="superscript"/>
    </w:rPr>
  </w:style>
  <w:style w:type="character" w:customStyle="1" w:styleId="Symbols">
    <w:name w:val="Symbols"/>
    <w:basedOn w:val="DefaultParagraphFont"/>
    <w:rsid w:val="00AE6A90"/>
    <w:rPr>
      <w:rFonts w:ascii="Symbol" w:hAnsi="Symbol"/>
    </w:rPr>
  </w:style>
  <w:style w:type="character" w:customStyle="1" w:styleId="MenuOptions">
    <w:name w:val="Menu Options"/>
    <w:basedOn w:val="DefaultParagraphFont"/>
    <w:rsid w:val="00AE6A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6A90"/>
    <w:rPr>
      <w:b/>
    </w:rPr>
  </w:style>
  <w:style w:type="character" w:customStyle="1" w:styleId="Underlined">
    <w:name w:val="Underlined"/>
    <w:basedOn w:val="DefaultParagraphFont"/>
    <w:rsid w:val="00AE6A90"/>
    <w:rPr>
      <w:u w:val="single"/>
    </w:rPr>
  </w:style>
  <w:style w:type="paragraph" w:customStyle="1" w:styleId="TableBodyTextRight">
    <w:name w:val="Table Body Text Right"/>
    <w:basedOn w:val="TableBodyText"/>
    <w:rsid w:val="00AE6A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6A90"/>
    <w:rPr>
      <w:sz w:val="18"/>
    </w:rPr>
  </w:style>
  <w:style w:type="paragraph" w:customStyle="1" w:styleId="BodySmallRight">
    <w:name w:val="Body Small Right"/>
    <w:basedOn w:val="BodyTextRight"/>
    <w:rsid w:val="00AE6A90"/>
    <w:rPr>
      <w:sz w:val="18"/>
      <w:szCs w:val="18"/>
    </w:rPr>
  </w:style>
  <w:style w:type="paragraph" w:customStyle="1" w:styleId="MarginEdition">
    <w:name w:val="Margin Edition"/>
    <w:basedOn w:val="MarginNote"/>
    <w:rsid w:val="00AE6A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6A90"/>
    <w:rPr>
      <w:sz w:val="2"/>
      <w:szCs w:val="2"/>
    </w:rPr>
  </w:style>
  <w:style w:type="character" w:customStyle="1" w:styleId="Small">
    <w:name w:val="Small"/>
    <w:basedOn w:val="DefaultParagraphFont"/>
    <w:rsid w:val="00AE6A90"/>
    <w:rPr>
      <w:sz w:val="16"/>
    </w:rPr>
  </w:style>
  <w:style w:type="paragraph" w:customStyle="1" w:styleId="WideTable">
    <w:name w:val="Wide Table"/>
    <w:basedOn w:val="Normal"/>
    <w:rsid w:val="00AE6A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6A90"/>
  </w:style>
  <w:style w:type="paragraph" w:styleId="Quote">
    <w:name w:val="Quote"/>
    <w:basedOn w:val="Heading1"/>
    <w:link w:val="QuoteChar"/>
    <w:qFormat/>
    <w:rsid w:val="00AE6A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6A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6A90"/>
    <w:pPr>
      <w:pageBreakBefore/>
    </w:pPr>
  </w:style>
  <w:style w:type="paragraph" w:customStyle="1" w:styleId="Border">
    <w:name w:val="Border"/>
    <w:basedOn w:val="Normal"/>
    <w:qFormat/>
    <w:rsid w:val="00AE6A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6A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A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A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6A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6A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6A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6A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6A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6A90"/>
    <w:rPr>
      <w:u w:val="single"/>
    </w:rPr>
  </w:style>
  <w:style w:type="character" w:customStyle="1" w:styleId="BoldandItalics">
    <w:name w:val="Bold and Italics"/>
    <w:qFormat/>
    <w:rsid w:val="00AE6A90"/>
    <w:rPr>
      <w:b/>
      <w:i/>
      <w:u w:val="none"/>
    </w:rPr>
  </w:style>
  <w:style w:type="paragraph" w:styleId="BalloonText">
    <w:name w:val="Balloon Text"/>
    <w:basedOn w:val="Normal"/>
    <w:link w:val="BalloonTextChar"/>
    <w:rsid w:val="00AE6A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6A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6A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6A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6A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6A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6A90"/>
    <w:pPr>
      <w:spacing w:before="0" w:after="0"/>
    </w:pPr>
  </w:style>
  <w:style w:type="paragraph" w:customStyle="1" w:styleId="BodyTextBold">
    <w:name w:val="Body Text Bold"/>
    <w:basedOn w:val="BodyText"/>
    <w:qFormat/>
    <w:rsid w:val="00AE6A90"/>
    <w:rPr>
      <w:b/>
    </w:rPr>
  </w:style>
  <w:style w:type="character" w:styleId="Hyperlink">
    <w:name w:val="Hyperlink"/>
    <w:basedOn w:val="DefaultParagraphFont"/>
    <w:uiPriority w:val="99"/>
    <w:unhideWhenUsed/>
    <w:rsid w:val="009D03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585</Words>
  <Characters>3656</Characters>
  <Application>Microsoft Office Word</Application>
  <DocSecurity>0</DocSecurity>
  <Lines>158</Lines>
  <Paragraphs>88</Paragraphs>
  <ScaleCrop>false</ScaleCrop>
  <Company>Author-it Software Corporation Ltd.</Company>
  <LinksUpToDate>false</LinksUpToDate>
  <CharactersWithSpaces>4153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DEFDPL024 Provide high-level support on criminal law matters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2024-11-07T11:40:00Z</dcterms:created>
  <dcterms:modified xsi:type="dcterms:W3CDTF">2024-11-07T11:40:00Z</dcterms:modified>
</cp:coreProperties>
</file>