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DBD" w:rsidP="003E5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DEFDPL024 Provide high-level support on criminal law matters</w:t>
      </w:r>
      <w:r>
        <w:fldChar w:fldCharType="end"/>
      </w:r>
    </w:p>
    <w:p w:rsidR="003E5DBD" w:rsidP="003E5DBD">
      <w:pPr>
        <w:pStyle w:val="Version"/>
        <w:sectPr w:rsidSect="007B2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6D6" w:rsidP="007B26D6">
      <w:pPr>
        <w:pStyle w:val="SuperHeading"/>
      </w:pPr>
      <w:r w:rsidRPr="007B26D6">
        <w:t>Assessment Requirements for DEFDPL024 Provide high-level support on criminal law matters</w:t>
      </w:r>
    </w:p>
    <w:p w:rsidR="00000000" w:rsidRPr="007B26D6" w:rsidP="007B26D6">
      <w:pPr>
        <w:pStyle w:val="Heading1"/>
      </w:pPr>
      <w:bookmarkStart w:id="1" w:name="O_1238884"/>
      <w:bookmarkEnd w:id="1"/>
      <w:r w:rsidRPr="007B26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6D6" w:rsidP="007B26D6">
            <w:pPr>
              <w:pStyle w:val="BodyText"/>
            </w:pPr>
            <w:r w:rsidRPr="007B26D6">
              <w:t>Release 1. This is the first release of this unit of competency in the DEF Defence Training Package.</w:t>
            </w:r>
          </w:p>
        </w:tc>
      </w:tr>
    </w:tbl>
    <w:p w:rsidR="00000000" w:rsidRPr="007B26D6" w:rsidP="007B26D6">
      <w:pPr>
        <w:pStyle w:val="NoPaddingFontSize1"/>
      </w:pPr>
    </w:p>
    <w:p w:rsidR="00000000" w:rsidRPr="007B26D6" w:rsidP="007B26D6">
      <w:pPr>
        <w:pStyle w:val="AllowPageBreak"/>
      </w:pPr>
    </w:p>
    <w:p w:rsidR="00000000" w:rsidRPr="007B26D6" w:rsidP="007B26D6">
      <w:pPr>
        <w:pStyle w:val="Heading1"/>
      </w:pPr>
      <w:bookmarkStart w:id="2" w:name="O_1238885"/>
      <w:bookmarkEnd w:id="2"/>
      <w:r w:rsidRPr="007B26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6D6">
            <w:pPr>
              <w:pStyle w:val="BodyText"/>
              <w:rPr>
                <w:lang w:val="en-NZ"/>
              </w:rPr>
            </w:pPr>
            <w:r w:rsidRPr="007B26D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B2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6D6" w:rsidP="007B26D6">
            <w:pPr>
              <w:pStyle w:val="ListBullet"/>
            </w:pPr>
            <w:r w:rsidRPr="007B26D6">
              <w:t>analysing information to determine context a</w:t>
            </w:r>
            <w:r w:rsidRPr="007B26D6">
              <w:t>nd category of request so relevant organisation procedures are followed</w:t>
            </w:r>
          </w:p>
          <w:p w:rsidR="00000000" w:rsidRPr="007B26D6" w:rsidP="007B26D6">
            <w:pPr>
              <w:pStyle w:val="ListBullet"/>
            </w:pPr>
            <w:r w:rsidRPr="007B26D6">
              <w:t>communicating effectively and logically on criminal legal matters with instructing legal officer, client and stakeholders</w:t>
            </w:r>
          </w:p>
          <w:p w:rsidR="00000000" w:rsidRPr="007B26D6" w:rsidP="007B26D6">
            <w:pPr>
              <w:pStyle w:val="ListBullet"/>
            </w:pPr>
            <w:r w:rsidRPr="007B26D6">
              <w:t>coordinating with instructing legal officer to prepare for hig</w:t>
            </w:r>
            <w:r w:rsidRPr="007B26D6">
              <w:t>h-level support in criminal law matters trial</w:t>
            </w:r>
          </w:p>
          <w:p w:rsidR="00000000" w:rsidRPr="007B26D6" w:rsidP="007B26D6">
            <w:pPr>
              <w:pStyle w:val="ListBullet"/>
            </w:pPr>
            <w:r w:rsidRPr="007B26D6">
              <w:t>ensuring administration requirements are completed in accordance with legal and operational procedures</w:t>
            </w:r>
          </w:p>
          <w:p w:rsidR="00000000" w:rsidRPr="007B26D6" w:rsidP="007B26D6">
            <w:pPr>
              <w:pStyle w:val="ListBullet"/>
            </w:pPr>
            <w:r w:rsidRPr="007B26D6">
              <w:t>filing and maintaining records for criminal law matters in accordance with Defence policy</w:t>
            </w:r>
          </w:p>
          <w:p w:rsidR="00000000" w:rsidRPr="007B26D6" w:rsidP="007B26D6">
            <w:pPr>
              <w:pStyle w:val="ListBullet"/>
            </w:pPr>
            <w:r w:rsidRPr="007B26D6">
              <w:t>identifying appro</w:t>
            </w:r>
            <w:r w:rsidRPr="007B26D6">
              <w:t>priate templates and precedents for use</w:t>
            </w:r>
          </w:p>
          <w:p w:rsidR="00000000" w:rsidRPr="007B26D6" w:rsidP="007B26D6">
            <w:pPr>
              <w:pStyle w:val="ListBullet"/>
            </w:pPr>
            <w:r w:rsidRPr="007B26D6">
              <w:t>implementing written and oral instructions to prepare effective complex advice briefs</w:t>
            </w:r>
          </w:p>
          <w:p w:rsidR="00000000" w:rsidRPr="007B26D6" w:rsidP="007B26D6">
            <w:pPr>
              <w:pStyle w:val="ListBullet"/>
            </w:pPr>
            <w:r w:rsidRPr="007B26D6">
              <w:t>planning, preparing and processing documents involved in criminal law matters in accordance with instructions from legal office</w:t>
            </w:r>
          </w:p>
          <w:p w:rsidR="00000000" w:rsidRPr="007B26D6" w:rsidP="007B26D6">
            <w:pPr>
              <w:pStyle w:val="ListBullet"/>
            </w:pPr>
            <w:r w:rsidRPr="007B26D6">
              <w:t>progressing and managing the matter in conjunction with the instructing legal officer</w:t>
            </w:r>
          </w:p>
          <w:p w:rsidR="00000000" w:rsidRPr="007B26D6" w:rsidP="007B26D6">
            <w:pPr>
              <w:pStyle w:val="ListBullet"/>
            </w:pPr>
            <w:r w:rsidRPr="007B26D6">
              <w:t>undertaking complex research to support instructing legal officer</w:t>
            </w:r>
          </w:p>
          <w:p w:rsidR="00000000" w:rsidRPr="007B26D6" w:rsidP="007B26D6">
            <w:pPr>
              <w:pStyle w:val="ListBullet"/>
            </w:pPr>
            <w:r w:rsidRPr="007B26D6">
              <w:t>updating all records, storing and securing files in accordance with legal and record keeping requirement</w:t>
            </w:r>
            <w:r w:rsidRPr="007B26D6">
              <w:t>s, upon finalisation.</w:t>
            </w:r>
          </w:p>
        </w:tc>
      </w:tr>
    </w:tbl>
    <w:p w:rsidR="00000000" w:rsidRPr="007B26D6" w:rsidP="007B26D6">
      <w:pPr>
        <w:pStyle w:val="NoPaddingFontSize1"/>
      </w:pPr>
    </w:p>
    <w:p w:rsidR="00000000" w:rsidRPr="007B26D6" w:rsidP="007B26D6">
      <w:pPr>
        <w:pStyle w:val="AllowPageBreak"/>
      </w:pPr>
    </w:p>
    <w:p w:rsidR="00000000" w:rsidRPr="007B26D6" w:rsidP="007B26D6">
      <w:pPr>
        <w:pStyle w:val="Heading1"/>
      </w:pPr>
      <w:bookmarkStart w:id="3" w:name="O_1238886"/>
      <w:bookmarkEnd w:id="3"/>
      <w:r w:rsidRPr="007B26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6D6">
            <w:pPr>
              <w:pStyle w:val="BodyText"/>
              <w:rPr>
                <w:lang w:val="en-NZ"/>
              </w:rPr>
            </w:pPr>
            <w:r w:rsidRPr="007B26D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B2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6D6" w:rsidP="007B26D6">
            <w:pPr>
              <w:pStyle w:val="ListBullet"/>
            </w:pPr>
            <w:r w:rsidRPr="007B26D6">
              <w:t>legal pract</w:t>
            </w:r>
            <w:r w:rsidRPr="007B26D6">
              <w:t>ices, procedures and stages relevant to criminal law matters and awareness of relationship with Australian Defence Force (ADF) administrative law and service discipline law</w:t>
            </w:r>
          </w:p>
          <w:p w:rsidR="00000000" w:rsidRPr="007B26D6" w:rsidP="007B26D6">
            <w:pPr>
              <w:pStyle w:val="ListBullet"/>
            </w:pPr>
            <w:r w:rsidRPr="007B26D6">
              <w:t>legislation, regulations and policies relevant to high-level support to criminal la</w:t>
            </w:r>
            <w:r w:rsidRPr="007B26D6">
              <w:t>w matters compliant with paralegal operational procedures</w:t>
            </w:r>
          </w:p>
          <w:p w:rsidR="00000000" w:rsidRPr="007B26D6" w:rsidP="007B26D6">
            <w:pPr>
              <w:pStyle w:val="ListBullet"/>
            </w:pPr>
            <w:r w:rsidRPr="007B26D6">
              <w:t>records management in accordance with Defence policy</w:t>
            </w:r>
          </w:p>
          <w:p w:rsidR="00000000" w:rsidRPr="007B26D6" w:rsidP="007B26D6">
            <w:pPr>
              <w:pStyle w:val="ListBullet"/>
            </w:pPr>
            <w:r w:rsidRPr="007B26D6">
              <w:t>relationship between trials and tribunals and their impact</w:t>
            </w:r>
          </w:p>
          <w:p w:rsidR="00000000" w:rsidRPr="007B26D6" w:rsidP="007B26D6">
            <w:pPr>
              <w:pStyle w:val="ListBullet"/>
            </w:pPr>
            <w:r w:rsidRPr="007B26D6">
              <w:t>relevant legal practices and procedures</w:t>
            </w:r>
          </w:p>
          <w:p w:rsidR="00000000" w:rsidRPr="007B26D6" w:rsidP="007B26D6">
            <w:pPr>
              <w:pStyle w:val="ListBullet"/>
            </w:pPr>
            <w:r w:rsidRPr="007B26D6">
              <w:t>relevant legal process, documents and exhibits, legislation and sections, and stages involved in the legal process</w:t>
            </w:r>
          </w:p>
          <w:p w:rsidR="00000000" w:rsidRPr="007B26D6" w:rsidP="007B26D6">
            <w:pPr>
              <w:pStyle w:val="ListBullet"/>
            </w:pPr>
            <w:r w:rsidRPr="007B26D6">
              <w:t>relevant legal terminology and its use in accordance with organisational procedures</w:t>
            </w:r>
          </w:p>
          <w:p w:rsidR="00000000" w:rsidRPr="007B26D6" w:rsidP="007B26D6">
            <w:pPr>
              <w:pStyle w:val="ListBullet"/>
            </w:pPr>
            <w:r w:rsidRPr="007B26D6">
              <w:t>stakeholders/agencies involved in criminal law matters</w:t>
            </w:r>
          </w:p>
          <w:p w:rsidR="00000000" w:rsidRPr="007B26D6" w:rsidP="007B26D6">
            <w:pPr>
              <w:pStyle w:val="ListBullet"/>
            </w:pPr>
            <w:r w:rsidRPr="007B26D6">
              <w:t>su</w:t>
            </w:r>
            <w:r w:rsidRPr="007B26D6">
              <w:t>mmary hearing/court/tribunal processes within and external to Defence.</w:t>
            </w:r>
          </w:p>
        </w:tc>
      </w:tr>
    </w:tbl>
    <w:p w:rsidR="00000000" w:rsidRPr="007B26D6" w:rsidP="007B26D6">
      <w:pPr>
        <w:pStyle w:val="NoPaddingFontSize1"/>
      </w:pPr>
    </w:p>
    <w:p w:rsidR="00000000" w:rsidRPr="007B26D6" w:rsidP="007B26D6">
      <w:pPr>
        <w:pStyle w:val="AllowPageBreak"/>
      </w:pPr>
    </w:p>
    <w:p w:rsidR="00000000" w:rsidRPr="007B26D6" w:rsidP="007B26D6">
      <w:pPr>
        <w:pStyle w:val="Heading1"/>
      </w:pPr>
      <w:bookmarkStart w:id="4" w:name="O_1238887"/>
      <w:bookmarkEnd w:id="4"/>
      <w:r w:rsidRPr="007B26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6D6" w:rsidP="007B26D6">
            <w:pPr>
              <w:pStyle w:val="BodyText"/>
            </w:pPr>
            <w:r w:rsidRPr="007B26D6">
              <w:t xml:space="preserve">Assessors must hold credentials specified within the Standards for Registered Training Organisations current at the time of assessment. </w:t>
            </w:r>
          </w:p>
          <w:p w:rsidR="00000000" w:rsidRPr="007B26D6" w:rsidP="007B26D6">
            <w:pPr>
              <w:pStyle w:val="BodyText"/>
            </w:pPr>
            <w:r w:rsidRPr="007B26D6">
              <w:t>Asses</w:t>
            </w:r>
            <w:r w:rsidRPr="007B26D6">
              <w:t>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B26D6" w:rsidP="007B26D6">
            <w:pPr>
              <w:pStyle w:val="BodyText"/>
            </w:pPr>
            <w:r w:rsidRPr="007B26D6">
              <w:t>Assessment must occur in workplace operational situ</w:t>
            </w:r>
            <w:r w:rsidRPr="007B26D6">
              <w:t>ations where it is appropriate to do so; where this is not appropriate, assessment must occur in simulated workplace operational situations that replicate workplace conditions.</w:t>
            </w:r>
          </w:p>
          <w:p w:rsidR="00000000" w:rsidRPr="007B26D6" w:rsidP="007B26D6">
            <w:pPr>
              <w:pStyle w:val="BodyText"/>
            </w:pPr>
            <w:r w:rsidRPr="007B26D6">
              <w:t>Assessment processes and techniques must be appropriate to the language, litera</w:t>
            </w:r>
            <w:r w:rsidRPr="007B26D6">
              <w:t>cy and numeracy requirements of the work being performed and the needs of the candidate.</w:t>
            </w:r>
          </w:p>
          <w:p w:rsidR="00000000" w:rsidRPr="007B26D6" w:rsidP="007B26D6">
            <w:pPr>
              <w:pStyle w:val="BodyText"/>
            </w:pPr>
            <w:r w:rsidRPr="007B26D6">
              <w:t>Resources for assessment must include access to:</w:t>
            </w:r>
          </w:p>
          <w:p w:rsidR="00000000" w:rsidRPr="007B26D6" w:rsidP="007B26D6">
            <w:pPr>
              <w:pStyle w:val="ListBullet"/>
            </w:pPr>
            <w:r w:rsidRPr="007B26D6">
              <w:t>a range of relevant exercises, case studies and/or simulations</w:t>
            </w:r>
          </w:p>
          <w:p w:rsidR="00000000" w:rsidRPr="007B26D6" w:rsidP="007B26D6">
            <w:pPr>
              <w:pStyle w:val="ListBullet"/>
            </w:pPr>
            <w:r w:rsidRPr="007B26D6">
              <w:t>applicable documentation, including legislation, regulations, codes of practice, workplace procedures and operation manuals</w:t>
            </w:r>
          </w:p>
          <w:p w:rsidR="00000000" w:rsidRPr="007B26D6" w:rsidP="007B26D6">
            <w:pPr>
              <w:pStyle w:val="ListBullet"/>
            </w:pPr>
            <w:r w:rsidRPr="007B26D6">
              <w:t>relevant and appropriate materials, tools, equipment and personal protective equipment (PPE) currently used in industry.</w:t>
            </w:r>
          </w:p>
        </w:tc>
      </w:tr>
    </w:tbl>
    <w:p w:rsidR="00000000" w:rsidRPr="007B26D6" w:rsidP="007B26D6">
      <w:pPr>
        <w:pStyle w:val="NoPaddingFontSize1"/>
      </w:pPr>
    </w:p>
    <w:p w:rsidR="00000000" w:rsidRPr="007B26D6" w:rsidP="007B26D6">
      <w:pPr>
        <w:pStyle w:val="AllowPageBreak"/>
      </w:pPr>
    </w:p>
    <w:p w:rsidR="00000000" w:rsidRPr="007B26D6" w:rsidP="007B26D6">
      <w:pPr>
        <w:pStyle w:val="Heading1"/>
      </w:pPr>
      <w:bookmarkStart w:id="5" w:name="O_1238890"/>
      <w:bookmarkEnd w:id="5"/>
      <w:r w:rsidRPr="007B26D6">
        <w:t>Links</w:t>
      </w:r>
    </w:p>
    <w:p w:rsidR="00000000" w:rsidRPr="007B26D6" w:rsidP="003E5DBD">
      <w:pPr>
        <w:pStyle w:val="BodyText"/>
      </w:pPr>
      <w:r w:rsidRPr="007B26D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2550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B26D6" w:rsidP="007B26D6"/>
    <w:sectPr w:rsidSect="007B2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D6" w:rsidRPr="003E5DBD" w:rsidP="003E5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D" w:rsidP="007B2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DBD" w:rsidP="007B2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E5DBD" w:rsidP="007B2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6D6" w:rsidRPr="003E5DBD" w:rsidP="003E5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BD" w:rsidRPr="002D2AF8" w:rsidP="007B2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DEFDPL024 Provide high-level support on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E5DBD" w:rsidP="007B2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CC4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BC0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6D6"/>
  </w:style>
  <w:style w:type="character" w:customStyle="1" w:styleId="Heading1Char">
    <w:name w:val="Heading 1 Char"/>
    <w:basedOn w:val="DefaultParagraphFont"/>
    <w:link w:val="Heading1"/>
    <w:rsid w:val="007B2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6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2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2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6D6"/>
    <w:rPr>
      <w:b/>
      <w:spacing w:val="0"/>
    </w:rPr>
  </w:style>
  <w:style w:type="paragraph" w:customStyle="1" w:styleId="SuperTitle">
    <w:name w:val="SuperTitle"/>
    <w:basedOn w:val="Title"/>
    <w:rsid w:val="007B2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6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6D6"/>
    <w:rPr>
      <w:i/>
    </w:rPr>
  </w:style>
  <w:style w:type="paragraph" w:styleId="Caption">
    <w:name w:val="caption"/>
    <w:basedOn w:val="BodyText"/>
    <w:next w:val="Normal"/>
    <w:qFormat/>
    <w:rsid w:val="007B2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6D6"/>
  </w:style>
  <w:style w:type="paragraph" w:styleId="TableofFigures">
    <w:name w:val="table of figures"/>
    <w:basedOn w:val="Normal"/>
    <w:next w:val="Normal"/>
    <w:semiHidden/>
    <w:rsid w:val="007B2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6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6D6"/>
    <w:rPr>
      <w:rFonts w:ascii="Wingdings" w:hAnsi="Wingdings"/>
    </w:rPr>
  </w:style>
  <w:style w:type="paragraph" w:customStyle="1" w:styleId="TableHeading">
    <w:name w:val="Table Heading"/>
    <w:basedOn w:val="HeadingBase"/>
    <w:rsid w:val="007B2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6D6"/>
    <w:rPr>
      <w:color w:val="0033CC"/>
      <w:u w:val="none"/>
    </w:rPr>
  </w:style>
  <w:style w:type="paragraph" w:customStyle="1" w:styleId="BodyTextRight">
    <w:name w:val="Body Text Right"/>
    <w:basedOn w:val="BodyText"/>
    <w:rsid w:val="007B2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6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6D6"/>
    <w:rPr>
      <w:sz w:val="32"/>
    </w:rPr>
  </w:style>
  <w:style w:type="paragraph" w:customStyle="1" w:styleId="HeadingProcedure">
    <w:name w:val="Heading Procedure"/>
    <w:basedOn w:val="HeadingBase"/>
    <w:next w:val="Normal"/>
    <w:rsid w:val="007B2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6D6"/>
    <w:pPr>
      <w:spacing w:before="60" w:after="60"/>
    </w:pPr>
  </w:style>
  <w:style w:type="paragraph" w:styleId="ListContinue">
    <w:name w:val="List Continue"/>
    <w:basedOn w:val="List"/>
    <w:rsid w:val="007B26D6"/>
    <w:pPr>
      <w:ind w:firstLine="0"/>
    </w:pPr>
  </w:style>
  <w:style w:type="paragraph" w:customStyle="1" w:styleId="ListNote">
    <w:name w:val="List Note"/>
    <w:basedOn w:val="List"/>
    <w:rsid w:val="007B2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6D6"/>
    <w:rPr>
      <w:rFonts w:ascii="Courier New" w:hAnsi="Courier New"/>
    </w:rPr>
  </w:style>
  <w:style w:type="paragraph" w:customStyle="1" w:styleId="NoteBullet">
    <w:name w:val="Note Bullet"/>
    <w:basedOn w:val="Note"/>
    <w:rsid w:val="007B2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6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6D6"/>
    <w:rPr>
      <w:b/>
      <w:smallCaps/>
    </w:rPr>
  </w:style>
  <w:style w:type="paragraph" w:customStyle="1" w:styleId="TableListNumber">
    <w:name w:val="Table List Number"/>
    <w:basedOn w:val="ListNumber"/>
    <w:rsid w:val="007B2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6D6"/>
    <w:pPr>
      <w:numPr>
        <w:numId w:val="8"/>
      </w:numPr>
    </w:pPr>
  </w:style>
  <w:style w:type="paragraph" w:customStyle="1" w:styleId="ListAlpha2">
    <w:name w:val="List Alpha 2"/>
    <w:basedOn w:val="List2"/>
    <w:rsid w:val="007B26D6"/>
    <w:pPr>
      <w:numPr>
        <w:numId w:val="7"/>
      </w:numPr>
    </w:pPr>
  </w:style>
  <w:style w:type="paragraph" w:styleId="List2">
    <w:name w:val="List 2"/>
    <w:basedOn w:val="BodyText"/>
    <w:rsid w:val="007B2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6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6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6D6"/>
    <w:pPr>
      <w:numPr>
        <w:numId w:val="3"/>
      </w:numPr>
    </w:pPr>
  </w:style>
  <w:style w:type="paragraph" w:styleId="ListContinue2">
    <w:name w:val="List Continue 2"/>
    <w:basedOn w:val="List2"/>
    <w:rsid w:val="007B26D6"/>
    <w:pPr>
      <w:ind w:firstLine="0"/>
    </w:pPr>
  </w:style>
  <w:style w:type="paragraph" w:styleId="ListContinue3">
    <w:name w:val="List Continue 3"/>
    <w:basedOn w:val="List3"/>
    <w:rsid w:val="007B26D6"/>
    <w:pPr>
      <w:ind w:left="1021" w:firstLine="0"/>
    </w:pPr>
  </w:style>
  <w:style w:type="paragraph" w:styleId="ListContinue4">
    <w:name w:val="List Continue 4"/>
    <w:basedOn w:val="List4"/>
    <w:rsid w:val="007B26D6"/>
    <w:pPr>
      <w:ind w:firstLine="0"/>
    </w:pPr>
  </w:style>
  <w:style w:type="paragraph" w:styleId="ListContinue5">
    <w:name w:val="List Continue 5"/>
    <w:basedOn w:val="List5"/>
    <w:rsid w:val="007B26D6"/>
    <w:pPr>
      <w:ind w:firstLine="0"/>
    </w:pPr>
  </w:style>
  <w:style w:type="paragraph" w:styleId="ListNumber3">
    <w:name w:val="List Number 3"/>
    <w:basedOn w:val="List3"/>
    <w:rsid w:val="007B26D6"/>
    <w:pPr>
      <w:numPr>
        <w:numId w:val="4"/>
      </w:numPr>
    </w:pPr>
  </w:style>
  <w:style w:type="paragraph" w:styleId="ListNumber4">
    <w:name w:val="List Number 4"/>
    <w:basedOn w:val="List4"/>
    <w:rsid w:val="007B26D6"/>
    <w:pPr>
      <w:numPr>
        <w:numId w:val="5"/>
      </w:numPr>
    </w:pPr>
  </w:style>
  <w:style w:type="paragraph" w:styleId="ListNumber5">
    <w:name w:val="List Number 5"/>
    <w:basedOn w:val="List5"/>
    <w:rsid w:val="007B26D6"/>
    <w:pPr>
      <w:numPr>
        <w:numId w:val="6"/>
      </w:numPr>
    </w:pPr>
  </w:style>
  <w:style w:type="paragraph" w:styleId="BlockText">
    <w:name w:val="Block Text"/>
    <w:basedOn w:val="Normal"/>
    <w:rsid w:val="007B2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6D6"/>
    <w:rPr>
      <w:sz w:val="16"/>
      <w:vertAlign w:val="superscript"/>
    </w:rPr>
  </w:style>
  <w:style w:type="character" w:customStyle="1" w:styleId="Symbols">
    <w:name w:val="Symbols"/>
    <w:basedOn w:val="DefaultParagraphFont"/>
    <w:rsid w:val="007B26D6"/>
    <w:rPr>
      <w:rFonts w:ascii="Symbol" w:hAnsi="Symbol"/>
    </w:rPr>
  </w:style>
  <w:style w:type="character" w:customStyle="1" w:styleId="MenuOptions">
    <w:name w:val="Menu Options"/>
    <w:basedOn w:val="DefaultParagraphFont"/>
    <w:rsid w:val="007B2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6D6"/>
    <w:rPr>
      <w:b/>
    </w:rPr>
  </w:style>
  <w:style w:type="character" w:customStyle="1" w:styleId="Underlined">
    <w:name w:val="Underlined"/>
    <w:basedOn w:val="DefaultParagraphFont"/>
    <w:rsid w:val="007B26D6"/>
    <w:rPr>
      <w:u w:val="single"/>
    </w:rPr>
  </w:style>
  <w:style w:type="paragraph" w:customStyle="1" w:styleId="TableBodyTextRight">
    <w:name w:val="Table Body Text Right"/>
    <w:basedOn w:val="TableBodyText"/>
    <w:rsid w:val="007B2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6D6"/>
    <w:rPr>
      <w:sz w:val="18"/>
    </w:rPr>
  </w:style>
  <w:style w:type="paragraph" w:customStyle="1" w:styleId="BodySmallRight">
    <w:name w:val="Body Small Right"/>
    <w:basedOn w:val="BodyTextRight"/>
    <w:rsid w:val="007B26D6"/>
    <w:rPr>
      <w:sz w:val="18"/>
      <w:szCs w:val="18"/>
    </w:rPr>
  </w:style>
  <w:style w:type="paragraph" w:customStyle="1" w:styleId="MarginEdition">
    <w:name w:val="Margin Edition"/>
    <w:basedOn w:val="MarginNote"/>
    <w:rsid w:val="007B2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6D6"/>
    <w:rPr>
      <w:sz w:val="2"/>
      <w:szCs w:val="2"/>
    </w:rPr>
  </w:style>
  <w:style w:type="character" w:customStyle="1" w:styleId="Small">
    <w:name w:val="Small"/>
    <w:basedOn w:val="DefaultParagraphFont"/>
    <w:rsid w:val="007B26D6"/>
    <w:rPr>
      <w:sz w:val="16"/>
    </w:rPr>
  </w:style>
  <w:style w:type="paragraph" w:customStyle="1" w:styleId="WideTable">
    <w:name w:val="Wide Table"/>
    <w:basedOn w:val="Normal"/>
    <w:rsid w:val="007B2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6D6"/>
  </w:style>
  <w:style w:type="paragraph" w:styleId="Quote">
    <w:name w:val="Quote"/>
    <w:basedOn w:val="Heading1"/>
    <w:link w:val="QuoteChar"/>
    <w:qFormat/>
    <w:rsid w:val="007B2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6D6"/>
    <w:pPr>
      <w:pageBreakBefore/>
    </w:pPr>
  </w:style>
  <w:style w:type="paragraph" w:customStyle="1" w:styleId="Border">
    <w:name w:val="Border"/>
    <w:basedOn w:val="Normal"/>
    <w:qFormat/>
    <w:rsid w:val="007B2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6D6"/>
    <w:rPr>
      <w:u w:val="single"/>
    </w:rPr>
  </w:style>
  <w:style w:type="character" w:customStyle="1" w:styleId="BoldandItalics">
    <w:name w:val="Bold and Italics"/>
    <w:qFormat/>
    <w:rsid w:val="007B26D6"/>
    <w:rPr>
      <w:b/>
      <w:i/>
      <w:u w:val="none"/>
    </w:rPr>
  </w:style>
  <w:style w:type="paragraph" w:styleId="BalloonText">
    <w:name w:val="Balloon Text"/>
    <w:basedOn w:val="Normal"/>
    <w:link w:val="BalloonTextChar"/>
    <w:rsid w:val="007B2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6D6"/>
    <w:pPr>
      <w:spacing w:before="0" w:after="0"/>
    </w:pPr>
  </w:style>
  <w:style w:type="paragraph" w:customStyle="1" w:styleId="BodyTextBold">
    <w:name w:val="Body Text Bold"/>
    <w:basedOn w:val="BodyText"/>
    <w:qFormat/>
    <w:rsid w:val="007B26D6"/>
    <w:rPr>
      <w:b/>
    </w:rPr>
  </w:style>
  <w:style w:type="character" w:styleId="Hyperlink">
    <w:name w:val="Hyperlink"/>
    <w:basedOn w:val="DefaultParagraphFont"/>
    <w:uiPriority w:val="99"/>
    <w:unhideWhenUsed/>
    <w:rsid w:val="003E5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3539</Characters>
  <Application>Microsoft Office Word</Application>
  <DocSecurity>0</DocSecurity>
  <Lines>78</Lines>
  <Paragraphs>47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DEFDPL024 Provide high-level support on criminal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