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7267" w:rsidP="002E7267">
      <w:pPr>
        <w:pStyle w:val="Title"/>
      </w:pPr>
      <w:r>
        <w:fldChar w:fldCharType="begin"/>
      </w:r>
      <w:r>
        <w:instrText xml:space="preserve"> TITLE   \* MERGEFORMAT </w:instrText>
      </w:r>
      <w:r>
        <w:fldChar w:fldCharType="separate"/>
      </w:r>
      <w:r>
        <w:t>DEFDPL015 Address complex legal and ethical issues in a Defence environment</w:t>
      </w:r>
      <w:r>
        <w:fldChar w:fldCharType="end"/>
      </w:r>
    </w:p>
    <w:p w:rsidR="002E7267" w:rsidP="002E7267">
      <w:pPr>
        <w:pStyle w:val="Version"/>
        <w:sectPr w:rsidSect="00B06E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6E16" w:rsidP="00B06E16">
      <w:pPr>
        <w:pStyle w:val="SuperHeading"/>
      </w:pPr>
      <w:r w:rsidRPr="00B06E16">
        <w:t>DEFDPL015 Address complex legal and ethical issues in a Defence environment</w:t>
      </w:r>
    </w:p>
    <w:p w:rsidR="00000000" w:rsidRPr="00B06E16" w:rsidP="00B06E16">
      <w:pPr>
        <w:pStyle w:val="Heading1"/>
      </w:pPr>
      <w:bookmarkStart w:id="1" w:name="O_1238772"/>
      <w:bookmarkEnd w:id="1"/>
      <w:r w:rsidRPr="00B06E16">
        <w:t>Modification History</w:t>
      </w:r>
    </w:p>
    <w:tbl>
      <w:tblPr>
        <w:tblW w:w="9497" w:type="dxa"/>
        <w:tblLayout w:type="fixed"/>
        <w:tblCellMar>
          <w:left w:w="62" w:type="dxa"/>
          <w:right w:w="62" w:type="dxa"/>
        </w:tblCellMar>
        <w:tblLook w:val="0000"/>
      </w:tblPr>
      <w:tblGrid>
        <w:gridCol w:w="9497"/>
      </w:tblGrid>
      <w:tr w:rsidTr="00B06E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E16" w:rsidP="00B06E16">
            <w:pPr>
              <w:pStyle w:val="BodyText"/>
            </w:pPr>
            <w:r w:rsidRPr="00B06E16">
              <w:t>Release 1. This is the first release of this unit of competency in the DEF Defence Training Package.</w:t>
            </w:r>
          </w:p>
        </w:tc>
      </w:tr>
    </w:tbl>
    <w:p w:rsidR="00000000" w:rsidRPr="00B06E16" w:rsidP="00B06E16">
      <w:pPr>
        <w:pStyle w:val="NoPaddingFontSize1"/>
      </w:pPr>
    </w:p>
    <w:p w:rsidR="00000000" w:rsidRPr="00B06E16" w:rsidP="00B06E16">
      <w:pPr>
        <w:pStyle w:val="AllowPageBreak"/>
      </w:pPr>
    </w:p>
    <w:p w:rsidR="00000000" w:rsidRPr="00B06E16" w:rsidP="00B06E16">
      <w:pPr>
        <w:pStyle w:val="Heading1"/>
      </w:pPr>
      <w:bookmarkStart w:id="2" w:name="O_1238773"/>
      <w:bookmarkEnd w:id="2"/>
      <w:r w:rsidRPr="00B06E16">
        <w:t>Application</w:t>
      </w:r>
    </w:p>
    <w:tbl>
      <w:tblPr>
        <w:tblW w:w="9497" w:type="dxa"/>
        <w:tblLayout w:type="fixed"/>
        <w:tblCellMar>
          <w:left w:w="62" w:type="dxa"/>
          <w:right w:w="62" w:type="dxa"/>
        </w:tblCellMar>
        <w:tblLook w:val="0000"/>
      </w:tblPr>
      <w:tblGrid>
        <w:gridCol w:w="9497"/>
      </w:tblGrid>
      <w:tr w:rsidTr="00B06E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E16" w:rsidP="00B06E16">
            <w:pPr>
              <w:pStyle w:val="BodyText"/>
            </w:pPr>
            <w:r w:rsidRPr="00B06E16">
              <w:t>This unit describes the skills and knowledge required to effectively manage complex legal and ethical issues in a Defence environment. This unit applies to those working within a Defence legal environment, where they are required to manage complex legal an</w:t>
            </w:r>
            <w:r w:rsidRPr="00B06E16">
              <w:t>d ethical issues.</w:t>
            </w:r>
          </w:p>
          <w:p w:rsidR="00000000" w:rsidRPr="00B06E16" w:rsidP="00B06E16">
            <w:pPr>
              <w:pStyle w:val="BodyText"/>
            </w:pPr>
            <w:r w:rsidRPr="00B06E16">
              <w:t>The skills and knowledge described in this unit must be applied within the legislative, regulatory and policy environment in which they are carried out. Organisational policies and procedures must be consulted and adhered to.</w:t>
            </w:r>
          </w:p>
          <w:p w:rsidR="00000000" w:rsidRPr="00B06E16" w:rsidP="00B06E16">
            <w:pPr>
              <w:pStyle w:val="BodyText"/>
            </w:pPr>
            <w:r w:rsidRPr="00B06E16">
              <w:t>Those undert</w:t>
            </w:r>
            <w:r w:rsidRPr="00B06E16">
              <w:t>aking this unit would work mostly independently whilst part of a team, performing routine and complex tasks. They would work with limited supervision, with identified approval authorities. They apply solutions to a variety of predictable and complex proble</w:t>
            </w:r>
            <w:r w:rsidRPr="00B06E16">
              <w:t>ms, in both familiar and unfamiliar contexts.</w:t>
            </w:r>
          </w:p>
          <w:p w:rsidR="00000000" w:rsidRPr="00B06E16" w:rsidP="00B06E16">
            <w:pPr>
              <w:pStyle w:val="BodyText"/>
            </w:pPr>
            <w:r w:rsidRPr="00B06E16">
              <w:t>No licensing, legislative or certification requirements apply to this unit at the time of publication.</w:t>
            </w:r>
          </w:p>
        </w:tc>
      </w:tr>
    </w:tbl>
    <w:p w:rsidR="00000000" w:rsidRPr="00B06E16" w:rsidP="00B06E16">
      <w:pPr>
        <w:pStyle w:val="NoPaddingFontSize1"/>
      </w:pPr>
    </w:p>
    <w:p w:rsidR="00000000" w:rsidRPr="00B06E16" w:rsidP="00B06E16">
      <w:pPr>
        <w:pStyle w:val="AllowPageBreak"/>
      </w:pPr>
    </w:p>
    <w:p w:rsidR="00000000" w:rsidRPr="00B06E16" w:rsidP="00B06E16">
      <w:pPr>
        <w:pStyle w:val="Heading1"/>
      </w:pPr>
      <w:bookmarkStart w:id="3" w:name="O_1238774"/>
      <w:bookmarkEnd w:id="3"/>
      <w:r w:rsidRPr="00B06E16">
        <w:t>Pre-requisite Unit</w:t>
      </w:r>
    </w:p>
    <w:tbl>
      <w:tblPr>
        <w:tblW w:w="9497" w:type="dxa"/>
        <w:tblLayout w:type="fixed"/>
        <w:tblCellMar>
          <w:left w:w="62" w:type="dxa"/>
          <w:right w:w="62" w:type="dxa"/>
        </w:tblCellMar>
        <w:tblLook w:val="0000"/>
      </w:tblPr>
      <w:tblGrid>
        <w:gridCol w:w="9497"/>
      </w:tblGrid>
      <w:tr w:rsidTr="00B06E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E16" w:rsidP="00B06E16">
            <w:pPr>
              <w:pStyle w:val="BodyText"/>
            </w:pPr>
            <w:r w:rsidRPr="00B06E16">
              <w:t>Not applicable.</w:t>
            </w:r>
          </w:p>
        </w:tc>
      </w:tr>
    </w:tbl>
    <w:p w:rsidR="00000000" w:rsidRPr="00B06E16" w:rsidP="00B06E16">
      <w:pPr>
        <w:pStyle w:val="NoPaddingFontSize1"/>
      </w:pPr>
    </w:p>
    <w:p w:rsidR="00000000" w:rsidRPr="00B06E16" w:rsidP="00B06E16">
      <w:pPr>
        <w:pStyle w:val="AllowPageBreak"/>
      </w:pPr>
    </w:p>
    <w:p w:rsidR="00000000" w:rsidRPr="00B06E16" w:rsidP="00B06E16">
      <w:pPr>
        <w:pStyle w:val="Heading1"/>
      </w:pPr>
      <w:bookmarkStart w:id="4" w:name="O_1238775"/>
      <w:bookmarkEnd w:id="4"/>
      <w:r w:rsidRPr="00B06E16">
        <w:t>Competency Field</w:t>
      </w:r>
    </w:p>
    <w:tbl>
      <w:tblPr>
        <w:tblW w:w="9497" w:type="dxa"/>
        <w:tblLayout w:type="fixed"/>
        <w:tblCellMar>
          <w:left w:w="62" w:type="dxa"/>
          <w:right w:w="62" w:type="dxa"/>
        </w:tblCellMar>
        <w:tblLook w:val="0000"/>
      </w:tblPr>
      <w:tblGrid>
        <w:gridCol w:w="9497"/>
      </w:tblGrid>
      <w:tr w:rsidTr="00B06E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E16" w:rsidP="00B06E16">
            <w:pPr>
              <w:pStyle w:val="BodyText"/>
            </w:pPr>
            <w:r w:rsidRPr="00B06E16">
              <w:t>Defence Paral</w:t>
            </w:r>
            <w:r w:rsidRPr="00B06E16">
              <w:t>egal Operations.</w:t>
            </w:r>
          </w:p>
        </w:tc>
      </w:tr>
    </w:tbl>
    <w:p w:rsidR="00000000" w:rsidRPr="00B06E16" w:rsidP="00B06E16">
      <w:pPr>
        <w:pStyle w:val="NoPaddingFontSize1"/>
      </w:pPr>
    </w:p>
    <w:p w:rsidR="00000000" w:rsidRPr="00B06E16" w:rsidP="00B06E16">
      <w:pPr>
        <w:pStyle w:val="AllowPageBreak"/>
      </w:pPr>
    </w:p>
    <w:p w:rsidR="00000000" w:rsidRPr="00B06E16" w:rsidP="00B06E16">
      <w:pPr>
        <w:pStyle w:val="Heading1"/>
      </w:pPr>
      <w:bookmarkStart w:id="5" w:name="O_1238776"/>
      <w:bookmarkEnd w:id="5"/>
      <w:r w:rsidRPr="00B06E16">
        <w:t>Unit Sector</w:t>
      </w:r>
    </w:p>
    <w:tbl>
      <w:tblPr>
        <w:tblW w:w="9497" w:type="dxa"/>
        <w:tblLayout w:type="fixed"/>
        <w:tblCellMar>
          <w:left w:w="62" w:type="dxa"/>
          <w:right w:w="62" w:type="dxa"/>
        </w:tblCellMar>
        <w:tblLook w:val="0000"/>
      </w:tblPr>
      <w:tblGrid>
        <w:gridCol w:w="9497"/>
      </w:tblGrid>
      <w:tr w:rsidTr="00B06E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E16" w:rsidP="00B06E16">
            <w:pPr>
              <w:pStyle w:val="BodyText"/>
            </w:pPr>
            <w:r w:rsidRPr="00B06E16">
              <w:t>Not applicable.</w:t>
            </w:r>
          </w:p>
        </w:tc>
      </w:tr>
    </w:tbl>
    <w:p w:rsidR="00000000" w:rsidRPr="00B06E16" w:rsidP="00B06E16">
      <w:pPr>
        <w:pStyle w:val="NoPaddingFontSize1"/>
      </w:pPr>
    </w:p>
    <w:p w:rsidR="00000000" w:rsidRPr="00B06E16" w:rsidP="00B06E16">
      <w:pPr>
        <w:pStyle w:val="AllowPageBreak"/>
      </w:pPr>
    </w:p>
    <w:p w:rsidR="00000000" w:rsidRPr="00B06E16" w:rsidP="00B06E16">
      <w:pPr>
        <w:pStyle w:val="Heading1"/>
      </w:pPr>
      <w:bookmarkStart w:id="6" w:name="O_1238777"/>
      <w:bookmarkEnd w:id="6"/>
      <w:r w:rsidRPr="00B06E16">
        <w:t>Elements and Performance Criteria</w:t>
      </w:r>
    </w:p>
    <w:tbl>
      <w:tblPr>
        <w:tblW w:w="9497" w:type="dxa"/>
        <w:tblLayout w:type="fixed"/>
        <w:tblCellMar>
          <w:left w:w="62" w:type="dxa"/>
          <w:right w:w="62" w:type="dxa"/>
        </w:tblCellMar>
        <w:tblLook w:val="0000"/>
      </w:tblPr>
      <w:tblGrid>
        <w:gridCol w:w="405"/>
        <w:gridCol w:w="2673"/>
        <w:gridCol w:w="1082"/>
        <w:gridCol w:w="5337"/>
      </w:tblGrid>
      <w:tr w:rsidTr="00B06E16">
        <w:tblPrEx>
          <w:tblW w:w="9497" w:type="dxa"/>
          <w:tblLayout w:type="fixed"/>
          <w:tblCellMar>
            <w:left w:w="62" w:type="dxa"/>
            <w:right w:w="62" w:type="dxa"/>
          </w:tblCellMar>
          <w:tblLook w:val="0000"/>
        </w:tblPrEx>
        <w:tc>
          <w:tcPr>
            <w:tcW w:w="3078" w:type="dxa"/>
            <w:gridSpan w:val="2"/>
            <w:tcBorders>
              <w:top w:val="nil"/>
              <w:left w:val="nil"/>
              <w:bottom w:val="nil"/>
              <w:right w:val="nil"/>
            </w:tcBorders>
            <w:tcMar>
              <w:top w:w="0" w:type="dxa"/>
              <w:left w:w="62" w:type="dxa"/>
              <w:bottom w:w="0" w:type="dxa"/>
              <w:right w:w="62" w:type="dxa"/>
            </w:tcMar>
          </w:tcPr>
          <w:p w:rsidR="00000000" w:rsidRPr="00B06E16" w:rsidP="00B06E16">
            <w:pPr>
              <w:pStyle w:val="BodyText"/>
            </w:pPr>
            <w:r w:rsidRPr="00B06E16">
              <w:rPr>
                <w:rStyle w:val="SpecialBold"/>
              </w:rPr>
              <w:t>ELEMENTS</w:t>
            </w:r>
          </w:p>
        </w:tc>
        <w:tc>
          <w:tcPr>
            <w:tcW w:w="6419" w:type="dxa"/>
            <w:gridSpan w:val="2"/>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rPr>
                <w:rStyle w:val="SpecialBold"/>
              </w:rPr>
              <w:t>PERFORMANCE CRITERIA</w:t>
            </w:r>
          </w:p>
        </w:tc>
      </w:tr>
      <w:tr w:rsidTr="00B06E16">
        <w:tblPrEx>
          <w:tblW w:w="9497" w:type="dxa"/>
          <w:tblLayout w:type="fixed"/>
          <w:tblCellMar>
            <w:left w:w="62" w:type="dxa"/>
            <w:right w:w="62" w:type="dxa"/>
          </w:tblCellMar>
          <w:tblLook w:val="0000"/>
        </w:tblPrEx>
        <w:tc>
          <w:tcPr>
            <w:tcW w:w="3078" w:type="dxa"/>
            <w:gridSpan w:val="2"/>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t>Elements describe the essential outcomes.</w:t>
            </w:r>
          </w:p>
        </w:tc>
        <w:tc>
          <w:tcPr>
            <w:tcW w:w="6419" w:type="dxa"/>
            <w:gridSpan w:val="2"/>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t>Performance criteria describe the performance needed to demonstrate achievement of the element.</w:t>
            </w:r>
          </w:p>
        </w:tc>
      </w:tr>
      <w:tr w:rsidTr="00B06E16">
        <w:tblPrEx>
          <w:tblW w:w="9497" w:type="dxa"/>
          <w:tblLayout w:type="fixed"/>
          <w:tblCellMar>
            <w:left w:w="62" w:type="dxa"/>
            <w:right w:w="62" w:type="dxa"/>
          </w:tblCellMar>
          <w:tblLook w:val="0000"/>
        </w:tblPrEx>
        <w:tc>
          <w:tcPr>
            <w:tcW w:w="405" w:type="dxa"/>
            <w:vMerge w:val="restart"/>
            <w:tcBorders>
              <w:top w:val="nil"/>
              <w:left w:val="nil"/>
              <w:bottom w:val="nil"/>
              <w:right w:val="nil"/>
            </w:tcBorders>
            <w:tcMar>
              <w:top w:w="0" w:type="dxa"/>
              <w:left w:w="62" w:type="dxa"/>
              <w:bottom w:w="0" w:type="dxa"/>
              <w:right w:w="62" w:type="dxa"/>
            </w:tcMar>
          </w:tcPr>
          <w:p w:rsidR="00000000" w:rsidRPr="00B06E16" w:rsidP="00B06E16">
            <w:pPr>
              <w:pStyle w:val="BodyText"/>
            </w:pPr>
            <w:r w:rsidRPr="00B06E16">
              <w:rPr>
                <w:rStyle w:val="SpecialBold"/>
              </w:rPr>
              <w:t xml:space="preserve">1 </w:t>
            </w:r>
          </w:p>
        </w:tc>
        <w:tc>
          <w:tcPr>
            <w:tcW w:w="2673" w:type="dxa"/>
            <w:vMerge w:val="restart"/>
            <w:tcBorders>
              <w:top w:val="nil"/>
              <w:left w:val="nil"/>
              <w:bottom w:val="nil"/>
              <w:right w:val="nil"/>
            </w:tcBorders>
            <w:tcMar>
              <w:top w:w="0" w:type="dxa"/>
              <w:left w:w="62" w:type="dxa"/>
              <w:bottom w:w="0" w:type="dxa"/>
              <w:right w:w="62" w:type="dxa"/>
            </w:tcMar>
          </w:tcPr>
          <w:p w:rsidR="00000000" w:rsidRPr="00B06E16" w:rsidP="00B06E16">
            <w:pPr>
              <w:pStyle w:val="BodyText"/>
            </w:pPr>
            <w:r w:rsidRPr="00B06E16">
              <w:rPr>
                <w:rStyle w:val="SpecialBold"/>
              </w:rPr>
              <w:t>Perform within legal and ethical parameters of a Defence environment</w:t>
            </w:r>
          </w:p>
        </w:tc>
        <w:tc>
          <w:tcPr>
            <w:tcW w:w="1082" w:type="dxa"/>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rPr>
                <w:rStyle w:val="SpecialBold"/>
              </w:rPr>
              <w:t>1.1</w:t>
            </w:r>
          </w:p>
        </w:tc>
        <w:tc>
          <w:tcPr>
            <w:tcW w:w="5337" w:type="dxa"/>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t>Apply a clear understanding of required guidelines and legislation as they imp</w:t>
            </w:r>
            <w:r w:rsidRPr="00B06E16">
              <w:t>act on a Defence legal environment</w:t>
            </w:r>
          </w:p>
        </w:tc>
      </w:tr>
      <w:tr w:rsidTr="00B06E16">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3" w:type="dxa"/>
            <w:vMerge/>
            <w:tcBorders>
              <w:top w:val="nil"/>
              <w:left w:val="nil"/>
              <w:bottom w:val="nil"/>
              <w:right w:val="nil"/>
            </w:tcBorders>
            <w:tcMar>
              <w:top w:w="0" w:type="dxa"/>
              <w:left w:w="62" w:type="dxa"/>
              <w:bottom w:w="0" w:type="dxa"/>
              <w:right w:w="62" w:type="dxa"/>
            </w:tcMar>
          </w:tcPr>
          <w:p w:rsidR="00000000" w:rsidRPr="00B06E16">
            <w:pPr>
              <w:pStyle w:val="BodyText"/>
              <w:keepLines w:val="0"/>
            </w:pPr>
          </w:p>
        </w:tc>
        <w:tc>
          <w:tcPr>
            <w:tcW w:w="1082" w:type="dxa"/>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rPr>
                <w:rStyle w:val="SpecialBold"/>
              </w:rPr>
              <w:t>1.2</w:t>
            </w:r>
          </w:p>
        </w:tc>
        <w:tc>
          <w:tcPr>
            <w:tcW w:w="5337" w:type="dxa"/>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t>Identify ethical principles at issue in a given situation and evaluate potential consequences if not applied correctly</w:t>
            </w:r>
          </w:p>
        </w:tc>
      </w:tr>
      <w:tr w:rsidTr="00B06E16">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3" w:type="dxa"/>
            <w:vMerge/>
            <w:tcBorders>
              <w:top w:val="nil"/>
              <w:left w:val="nil"/>
              <w:bottom w:val="nil"/>
              <w:right w:val="nil"/>
            </w:tcBorders>
            <w:tcMar>
              <w:top w:w="0" w:type="dxa"/>
              <w:left w:w="62" w:type="dxa"/>
              <w:bottom w:w="0" w:type="dxa"/>
              <w:right w:w="62" w:type="dxa"/>
            </w:tcMar>
          </w:tcPr>
          <w:p w:rsidR="00000000" w:rsidRPr="00B06E16">
            <w:pPr>
              <w:pStyle w:val="BodyText"/>
              <w:keepLines w:val="0"/>
            </w:pPr>
          </w:p>
        </w:tc>
        <w:tc>
          <w:tcPr>
            <w:tcW w:w="1082" w:type="dxa"/>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rPr>
                <w:rStyle w:val="SpecialBold"/>
              </w:rPr>
              <w:t>1.3</w:t>
            </w:r>
          </w:p>
        </w:tc>
        <w:tc>
          <w:tcPr>
            <w:tcW w:w="5337" w:type="dxa"/>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t>Handle client matters and requests sensitively and in accordance with legal practices and organisational procedures</w:t>
            </w:r>
          </w:p>
        </w:tc>
      </w:tr>
      <w:tr w:rsidTr="00B06E16">
        <w:tblPrEx>
          <w:tblW w:w="9497" w:type="dxa"/>
          <w:tblLayout w:type="fixed"/>
          <w:tblCellMar>
            <w:left w:w="62" w:type="dxa"/>
            <w:right w:w="62" w:type="dxa"/>
          </w:tblCellMar>
          <w:tblLook w:val="0000"/>
        </w:tblPrEx>
        <w:tc>
          <w:tcPr>
            <w:tcW w:w="405" w:type="dxa"/>
            <w:vMerge w:val="restart"/>
            <w:tcBorders>
              <w:top w:val="nil"/>
              <w:left w:val="nil"/>
              <w:bottom w:val="nil"/>
              <w:right w:val="nil"/>
            </w:tcBorders>
            <w:tcMar>
              <w:top w:w="0" w:type="dxa"/>
              <w:left w:w="62" w:type="dxa"/>
              <w:bottom w:w="0" w:type="dxa"/>
              <w:right w:w="62" w:type="dxa"/>
            </w:tcMar>
          </w:tcPr>
          <w:p w:rsidR="00000000" w:rsidRPr="00B06E16" w:rsidP="00B06E16">
            <w:pPr>
              <w:pStyle w:val="BodyText"/>
            </w:pPr>
            <w:r w:rsidRPr="00B06E16">
              <w:rPr>
                <w:rStyle w:val="SpecialBold"/>
              </w:rPr>
              <w:t>2</w:t>
            </w:r>
          </w:p>
        </w:tc>
        <w:tc>
          <w:tcPr>
            <w:tcW w:w="2673" w:type="dxa"/>
            <w:vMerge w:val="restart"/>
            <w:tcBorders>
              <w:top w:val="nil"/>
              <w:left w:val="nil"/>
              <w:bottom w:val="nil"/>
              <w:right w:val="nil"/>
            </w:tcBorders>
            <w:tcMar>
              <w:top w:w="0" w:type="dxa"/>
              <w:left w:w="62" w:type="dxa"/>
              <w:bottom w:w="0" w:type="dxa"/>
              <w:right w:w="62" w:type="dxa"/>
            </w:tcMar>
          </w:tcPr>
          <w:p w:rsidR="00000000" w:rsidRPr="00B06E16" w:rsidP="00B06E16">
            <w:pPr>
              <w:pStyle w:val="BodyText"/>
            </w:pPr>
            <w:r w:rsidRPr="00B06E16">
              <w:rPr>
                <w:rStyle w:val="SpecialBold"/>
              </w:rPr>
              <w:t>Apply an understanding of the legal framework</w:t>
            </w:r>
          </w:p>
        </w:tc>
        <w:tc>
          <w:tcPr>
            <w:tcW w:w="1082" w:type="dxa"/>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rPr>
                <w:rStyle w:val="SpecialBold"/>
              </w:rPr>
              <w:t>2.1</w:t>
            </w:r>
          </w:p>
        </w:tc>
        <w:tc>
          <w:tcPr>
            <w:tcW w:w="5337" w:type="dxa"/>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t>Work with an understanding of how the law operates in a Defence environment with regard</w:t>
            </w:r>
            <w:r w:rsidRPr="00B06E16">
              <w:t xml:space="preserve"> to legal processes, principles and penalties</w:t>
            </w:r>
          </w:p>
        </w:tc>
      </w:tr>
      <w:tr w:rsidTr="00B06E16">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3" w:type="dxa"/>
            <w:vMerge/>
            <w:tcBorders>
              <w:top w:val="nil"/>
              <w:left w:val="nil"/>
              <w:bottom w:val="nil"/>
              <w:right w:val="nil"/>
            </w:tcBorders>
            <w:tcMar>
              <w:top w:w="0" w:type="dxa"/>
              <w:left w:w="62" w:type="dxa"/>
              <w:bottom w:w="0" w:type="dxa"/>
              <w:right w:w="62" w:type="dxa"/>
            </w:tcMar>
          </w:tcPr>
          <w:p w:rsidR="00000000" w:rsidRPr="00B06E16">
            <w:pPr>
              <w:pStyle w:val="BodyText"/>
              <w:keepLines w:val="0"/>
            </w:pPr>
          </w:p>
        </w:tc>
        <w:tc>
          <w:tcPr>
            <w:tcW w:w="1082" w:type="dxa"/>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rPr>
                <w:rStyle w:val="SpecialBold"/>
              </w:rPr>
              <w:t>2.2</w:t>
            </w:r>
          </w:p>
        </w:tc>
        <w:tc>
          <w:tcPr>
            <w:tcW w:w="5337" w:type="dxa"/>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t>Accurately apply concepts of negligence, duty of care, legal professional privilege and vicarious liability to a Defence environment</w:t>
            </w:r>
          </w:p>
        </w:tc>
      </w:tr>
      <w:tr w:rsidTr="00B06E16">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3" w:type="dxa"/>
            <w:vMerge/>
            <w:tcBorders>
              <w:top w:val="nil"/>
              <w:left w:val="nil"/>
              <w:bottom w:val="nil"/>
              <w:right w:val="nil"/>
            </w:tcBorders>
            <w:tcMar>
              <w:top w:w="0" w:type="dxa"/>
              <w:left w:w="62" w:type="dxa"/>
              <w:bottom w:w="0" w:type="dxa"/>
              <w:right w:w="62" w:type="dxa"/>
            </w:tcMar>
          </w:tcPr>
          <w:p w:rsidR="00000000" w:rsidRPr="00B06E16">
            <w:pPr>
              <w:pStyle w:val="BodyText"/>
              <w:keepLines w:val="0"/>
            </w:pPr>
          </w:p>
        </w:tc>
        <w:tc>
          <w:tcPr>
            <w:tcW w:w="1082" w:type="dxa"/>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rPr>
                <w:rStyle w:val="SpecialBold"/>
              </w:rPr>
              <w:t>2.3</w:t>
            </w:r>
          </w:p>
        </w:tc>
        <w:tc>
          <w:tcPr>
            <w:tcW w:w="5337" w:type="dxa"/>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t>Accurately use common legal terms associated with a Defence legal environment</w:t>
            </w:r>
          </w:p>
        </w:tc>
      </w:tr>
      <w:tr w:rsidTr="00B06E16">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3" w:type="dxa"/>
            <w:vMerge/>
            <w:tcBorders>
              <w:top w:val="nil"/>
              <w:left w:val="nil"/>
              <w:bottom w:val="nil"/>
              <w:right w:val="nil"/>
            </w:tcBorders>
            <w:tcMar>
              <w:top w:w="0" w:type="dxa"/>
              <w:left w:w="62" w:type="dxa"/>
              <w:bottom w:w="0" w:type="dxa"/>
              <w:right w:w="62" w:type="dxa"/>
            </w:tcMar>
          </w:tcPr>
          <w:p w:rsidR="00000000" w:rsidRPr="00B06E16">
            <w:pPr>
              <w:pStyle w:val="BodyText"/>
              <w:keepLines w:val="0"/>
            </w:pPr>
          </w:p>
        </w:tc>
        <w:tc>
          <w:tcPr>
            <w:tcW w:w="1082" w:type="dxa"/>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rPr>
                <w:rStyle w:val="SpecialBold"/>
              </w:rPr>
              <w:t>2.4</w:t>
            </w:r>
          </w:p>
        </w:tc>
        <w:tc>
          <w:tcPr>
            <w:tcW w:w="5337" w:type="dxa"/>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t>Apply the legal requirements and expectations in relation to documented records and reports in a Defence environment</w:t>
            </w:r>
          </w:p>
        </w:tc>
      </w:tr>
      <w:tr w:rsidTr="00B06E16">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3" w:type="dxa"/>
            <w:vMerge/>
            <w:tcBorders>
              <w:top w:val="nil"/>
              <w:left w:val="nil"/>
              <w:bottom w:val="nil"/>
              <w:right w:val="nil"/>
            </w:tcBorders>
            <w:tcMar>
              <w:top w:w="0" w:type="dxa"/>
              <w:left w:w="62" w:type="dxa"/>
              <w:bottom w:w="0" w:type="dxa"/>
              <w:right w:w="62" w:type="dxa"/>
            </w:tcMar>
          </w:tcPr>
          <w:p w:rsidR="00000000" w:rsidRPr="00B06E16">
            <w:pPr>
              <w:pStyle w:val="BodyText"/>
              <w:keepLines w:val="0"/>
            </w:pPr>
          </w:p>
        </w:tc>
        <w:tc>
          <w:tcPr>
            <w:tcW w:w="1082" w:type="dxa"/>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rPr>
                <w:rStyle w:val="SpecialBold"/>
              </w:rPr>
              <w:t>2.5</w:t>
            </w:r>
          </w:p>
        </w:tc>
        <w:tc>
          <w:tcPr>
            <w:tcW w:w="5337" w:type="dxa"/>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t>Apply mandatory reporting processes in line wit</w:t>
            </w:r>
            <w:r w:rsidRPr="00B06E16">
              <w:t>h organisational requirements</w:t>
            </w:r>
          </w:p>
        </w:tc>
      </w:tr>
      <w:tr w:rsidTr="00B06E16">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3" w:type="dxa"/>
            <w:vMerge/>
            <w:tcBorders>
              <w:top w:val="nil"/>
              <w:left w:val="nil"/>
              <w:bottom w:val="nil"/>
              <w:right w:val="nil"/>
            </w:tcBorders>
            <w:tcMar>
              <w:top w:w="0" w:type="dxa"/>
              <w:left w:w="62" w:type="dxa"/>
              <w:bottom w:w="0" w:type="dxa"/>
              <w:right w:w="62" w:type="dxa"/>
            </w:tcMar>
          </w:tcPr>
          <w:p w:rsidR="00000000" w:rsidRPr="00B06E16">
            <w:pPr>
              <w:pStyle w:val="BodyText"/>
              <w:keepLines w:val="0"/>
            </w:pPr>
          </w:p>
        </w:tc>
        <w:tc>
          <w:tcPr>
            <w:tcW w:w="1082" w:type="dxa"/>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rPr>
                <w:rStyle w:val="SpecialBold"/>
              </w:rPr>
              <w:t>2.6</w:t>
            </w:r>
          </w:p>
        </w:tc>
        <w:tc>
          <w:tcPr>
            <w:tcW w:w="5337" w:type="dxa"/>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t>Accurately apply client privacy and confidentiality practices</w:t>
            </w:r>
          </w:p>
        </w:tc>
      </w:tr>
      <w:tr w:rsidTr="00B06E16">
        <w:tblPrEx>
          <w:tblW w:w="9497" w:type="dxa"/>
          <w:tblLayout w:type="fixed"/>
          <w:tblCellMar>
            <w:left w:w="62" w:type="dxa"/>
            <w:right w:w="62" w:type="dxa"/>
          </w:tblCellMar>
          <w:tblLook w:val="0000"/>
        </w:tblPrEx>
        <w:tc>
          <w:tcPr>
            <w:tcW w:w="405" w:type="dxa"/>
            <w:vMerge w:val="restart"/>
            <w:tcBorders>
              <w:top w:val="nil"/>
              <w:left w:val="nil"/>
              <w:bottom w:val="nil"/>
              <w:right w:val="nil"/>
            </w:tcBorders>
            <w:tcMar>
              <w:top w:w="0" w:type="dxa"/>
              <w:left w:w="62" w:type="dxa"/>
              <w:bottom w:w="0" w:type="dxa"/>
              <w:right w:w="62" w:type="dxa"/>
            </w:tcMar>
          </w:tcPr>
          <w:p w:rsidR="00000000" w:rsidRPr="00B06E16" w:rsidP="00B06E16">
            <w:pPr>
              <w:pStyle w:val="BodyText"/>
            </w:pPr>
            <w:r w:rsidRPr="00B06E16">
              <w:rPr>
                <w:rStyle w:val="SpecialBold"/>
              </w:rPr>
              <w:t>3</w:t>
            </w:r>
          </w:p>
        </w:tc>
        <w:tc>
          <w:tcPr>
            <w:tcW w:w="2673" w:type="dxa"/>
            <w:vMerge w:val="restart"/>
            <w:tcBorders>
              <w:top w:val="nil"/>
              <w:left w:val="nil"/>
              <w:bottom w:val="nil"/>
              <w:right w:val="nil"/>
            </w:tcBorders>
            <w:tcMar>
              <w:top w:w="0" w:type="dxa"/>
              <w:left w:w="62" w:type="dxa"/>
              <w:bottom w:w="0" w:type="dxa"/>
              <w:right w:w="62" w:type="dxa"/>
            </w:tcMar>
          </w:tcPr>
          <w:p w:rsidR="00000000" w:rsidRPr="00B06E16" w:rsidP="00B06E16">
            <w:pPr>
              <w:pStyle w:val="BodyText"/>
            </w:pPr>
            <w:r w:rsidRPr="00B06E16">
              <w:rPr>
                <w:rStyle w:val="SpecialBold"/>
              </w:rPr>
              <w:t>Identify legal principles</w:t>
            </w:r>
          </w:p>
        </w:tc>
        <w:tc>
          <w:tcPr>
            <w:tcW w:w="1082" w:type="dxa"/>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rPr>
                <w:rStyle w:val="SpecialBold"/>
              </w:rPr>
              <w:t>3.1</w:t>
            </w:r>
          </w:p>
        </w:tc>
        <w:tc>
          <w:tcPr>
            <w:tcW w:w="5337" w:type="dxa"/>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t>Interpret sources of law to facilitate critical analysis</w:t>
            </w:r>
          </w:p>
        </w:tc>
      </w:tr>
      <w:tr w:rsidTr="00B06E16">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3" w:type="dxa"/>
            <w:vMerge/>
            <w:tcBorders>
              <w:top w:val="nil"/>
              <w:left w:val="nil"/>
              <w:bottom w:val="nil"/>
              <w:right w:val="nil"/>
            </w:tcBorders>
            <w:tcMar>
              <w:top w:w="0" w:type="dxa"/>
              <w:left w:w="62" w:type="dxa"/>
              <w:bottom w:w="0" w:type="dxa"/>
              <w:right w:w="62" w:type="dxa"/>
            </w:tcMar>
          </w:tcPr>
          <w:p w:rsidR="00000000" w:rsidRPr="00B06E16">
            <w:pPr>
              <w:pStyle w:val="BodyText"/>
              <w:keepLines w:val="0"/>
            </w:pPr>
          </w:p>
        </w:tc>
        <w:tc>
          <w:tcPr>
            <w:tcW w:w="1082" w:type="dxa"/>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rPr>
                <w:rStyle w:val="SpecialBold"/>
              </w:rPr>
              <w:t>3.2</w:t>
            </w:r>
          </w:p>
        </w:tc>
        <w:tc>
          <w:tcPr>
            <w:tcW w:w="5337" w:type="dxa"/>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t>Analyse sources of law critically to determine the legal precedent and determine application to the legal issue</w:t>
            </w:r>
          </w:p>
        </w:tc>
      </w:tr>
      <w:tr w:rsidTr="00B06E16">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3" w:type="dxa"/>
            <w:vMerge/>
            <w:tcBorders>
              <w:top w:val="nil"/>
              <w:left w:val="nil"/>
              <w:bottom w:val="nil"/>
              <w:right w:val="nil"/>
            </w:tcBorders>
            <w:tcMar>
              <w:top w:w="0" w:type="dxa"/>
              <w:left w:w="62" w:type="dxa"/>
              <w:bottom w:w="0" w:type="dxa"/>
              <w:right w:w="62" w:type="dxa"/>
            </w:tcMar>
          </w:tcPr>
          <w:p w:rsidR="00000000" w:rsidRPr="00B06E16">
            <w:pPr>
              <w:pStyle w:val="BodyText"/>
              <w:keepLines w:val="0"/>
            </w:pPr>
          </w:p>
        </w:tc>
        <w:tc>
          <w:tcPr>
            <w:tcW w:w="1082" w:type="dxa"/>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rPr>
                <w:rStyle w:val="SpecialBold"/>
              </w:rPr>
              <w:t>3.3</w:t>
            </w:r>
          </w:p>
        </w:tc>
        <w:tc>
          <w:tcPr>
            <w:tcW w:w="5337" w:type="dxa"/>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t>Formulate response to the legal and/or ethical issue based on research</w:t>
            </w:r>
          </w:p>
        </w:tc>
      </w:tr>
      <w:tr w:rsidTr="00B06E16">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3" w:type="dxa"/>
            <w:vMerge/>
            <w:tcBorders>
              <w:top w:val="nil"/>
              <w:left w:val="nil"/>
              <w:bottom w:val="nil"/>
              <w:right w:val="nil"/>
            </w:tcBorders>
            <w:tcMar>
              <w:top w:w="0" w:type="dxa"/>
              <w:left w:w="62" w:type="dxa"/>
              <w:bottom w:w="0" w:type="dxa"/>
              <w:right w:w="62" w:type="dxa"/>
            </w:tcMar>
          </w:tcPr>
          <w:p w:rsidR="00000000" w:rsidRPr="00B06E16">
            <w:pPr>
              <w:pStyle w:val="BodyText"/>
              <w:keepLines w:val="0"/>
            </w:pPr>
          </w:p>
        </w:tc>
        <w:tc>
          <w:tcPr>
            <w:tcW w:w="1082" w:type="dxa"/>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rPr>
                <w:rStyle w:val="SpecialBold"/>
              </w:rPr>
              <w:t>3.4</w:t>
            </w:r>
          </w:p>
        </w:tc>
        <w:tc>
          <w:tcPr>
            <w:tcW w:w="5337" w:type="dxa"/>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t>Communicate responses to inform stakeholders</w:t>
            </w:r>
          </w:p>
        </w:tc>
      </w:tr>
      <w:tr w:rsidTr="00B06E16">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3" w:type="dxa"/>
            <w:vMerge/>
            <w:tcBorders>
              <w:top w:val="nil"/>
              <w:left w:val="nil"/>
              <w:bottom w:val="nil"/>
              <w:right w:val="nil"/>
            </w:tcBorders>
            <w:tcMar>
              <w:top w:w="0" w:type="dxa"/>
              <w:left w:w="62" w:type="dxa"/>
              <w:bottom w:w="0" w:type="dxa"/>
              <w:right w:w="62" w:type="dxa"/>
            </w:tcMar>
          </w:tcPr>
          <w:p w:rsidR="00000000" w:rsidRPr="00B06E16">
            <w:pPr>
              <w:pStyle w:val="BodyText"/>
              <w:keepLines w:val="0"/>
            </w:pPr>
          </w:p>
        </w:tc>
        <w:tc>
          <w:tcPr>
            <w:tcW w:w="1082" w:type="dxa"/>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rPr>
                <w:rStyle w:val="SpecialBold"/>
              </w:rPr>
              <w:t>3.5</w:t>
            </w:r>
          </w:p>
        </w:tc>
        <w:tc>
          <w:tcPr>
            <w:tcW w:w="5337" w:type="dxa"/>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t>Develop and implement strategies to resolve ethical issues within a Defence environment</w:t>
            </w:r>
          </w:p>
        </w:tc>
      </w:tr>
      <w:tr w:rsidTr="00B06E16">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3" w:type="dxa"/>
            <w:vMerge/>
            <w:tcBorders>
              <w:top w:val="nil"/>
              <w:left w:val="nil"/>
              <w:bottom w:val="nil"/>
              <w:right w:val="nil"/>
            </w:tcBorders>
            <w:tcMar>
              <w:top w:w="0" w:type="dxa"/>
              <w:left w:w="62" w:type="dxa"/>
              <w:bottom w:w="0" w:type="dxa"/>
              <w:right w:w="62" w:type="dxa"/>
            </w:tcMar>
          </w:tcPr>
          <w:p w:rsidR="00000000" w:rsidRPr="00B06E16">
            <w:pPr>
              <w:pStyle w:val="BodyText"/>
              <w:keepLines w:val="0"/>
            </w:pPr>
          </w:p>
        </w:tc>
        <w:tc>
          <w:tcPr>
            <w:tcW w:w="1082" w:type="dxa"/>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rPr>
                <w:rStyle w:val="SpecialBold"/>
              </w:rPr>
              <w:t>3.6</w:t>
            </w:r>
          </w:p>
        </w:tc>
        <w:tc>
          <w:tcPr>
            <w:tcW w:w="5337" w:type="dxa"/>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t>Take responsibility for addressing ethical issues and legal requirements in line with own work</w:t>
            </w:r>
          </w:p>
        </w:tc>
      </w:tr>
      <w:tr w:rsidTr="00B06E16">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3" w:type="dxa"/>
            <w:vMerge/>
            <w:tcBorders>
              <w:top w:val="nil"/>
              <w:left w:val="nil"/>
              <w:bottom w:val="nil"/>
              <w:right w:val="nil"/>
            </w:tcBorders>
            <w:tcMar>
              <w:top w:w="0" w:type="dxa"/>
              <w:left w:w="62" w:type="dxa"/>
              <w:bottom w:w="0" w:type="dxa"/>
              <w:right w:w="62" w:type="dxa"/>
            </w:tcMar>
          </w:tcPr>
          <w:p w:rsidR="00000000" w:rsidRPr="00B06E16">
            <w:pPr>
              <w:pStyle w:val="BodyText"/>
              <w:keepLines w:val="0"/>
            </w:pPr>
          </w:p>
        </w:tc>
        <w:tc>
          <w:tcPr>
            <w:tcW w:w="1082" w:type="dxa"/>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rPr>
                <w:rStyle w:val="SpecialBold"/>
              </w:rPr>
              <w:t>3.7</w:t>
            </w:r>
          </w:p>
        </w:tc>
        <w:tc>
          <w:tcPr>
            <w:tcW w:w="5337" w:type="dxa"/>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t>Complete all documentation in accordance with identified gu</w:t>
            </w:r>
            <w:r w:rsidRPr="00B06E16">
              <w:t>idelines</w:t>
            </w:r>
          </w:p>
        </w:tc>
      </w:tr>
      <w:tr w:rsidTr="00B06E16">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3" w:type="dxa"/>
            <w:vMerge/>
            <w:tcBorders>
              <w:top w:val="nil"/>
              <w:left w:val="nil"/>
              <w:bottom w:val="nil"/>
              <w:right w:val="nil"/>
            </w:tcBorders>
            <w:tcMar>
              <w:top w:w="0" w:type="dxa"/>
              <w:left w:w="62" w:type="dxa"/>
              <w:bottom w:w="0" w:type="dxa"/>
              <w:right w:w="62" w:type="dxa"/>
            </w:tcMar>
          </w:tcPr>
          <w:p w:rsidR="00000000" w:rsidRPr="00B06E16">
            <w:pPr>
              <w:pStyle w:val="BodyText"/>
              <w:keepLines w:val="0"/>
            </w:pPr>
          </w:p>
        </w:tc>
        <w:tc>
          <w:tcPr>
            <w:tcW w:w="1082" w:type="dxa"/>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rPr>
                <w:rStyle w:val="SpecialBold"/>
              </w:rPr>
              <w:t>3.8</w:t>
            </w:r>
          </w:p>
        </w:tc>
        <w:tc>
          <w:tcPr>
            <w:tcW w:w="5337" w:type="dxa"/>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t>Monitor compliance with legal obligations and requirements</w:t>
            </w:r>
          </w:p>
        </w:tc>
      </w:tr>
      <w:tr w:rsidTr="00B06E16">
        <w:tblPrEx>
          <w:tblW w:w="9497" w:type="dxa"/>
          <w:tblLayout w:type="fixed"/>
          <w:tblCellMar>
            <w:left w:w="62" w:type="dxa"/>
            <w:right w:w="62" w:type="dxa"/>
          </w:tblCellMar>
          <w:tblLook w:val="0000"/>
        </w:tblPrEx>
        <w:tc>
          <w:tcPr>
            <w:tcW w:w="405" w:type="dxa"/>
            <w:vMerge w:val="restart"/>
            <w:tcBorders>
              <w:top w:val="nil"/>
              <w:left w:val="nil"/>
              <w:bottom w:val="nil"/>
              <w:right w:val="nil"/>
            </w:tcBorders>
            <w:tcMar>
              <w:top w:w="0" w:type="dxa"/>
              <w:left w:w="62" w:type="dxa"/>
              <w:bottom w:w="0" w:type="dxa"/>
              <w:right w:w="62" w:type="dxa"/>
            </w:tcMar>
          </w:tcPr>
          <w:p w:rsidR="00000000" w:rsidRPr="00B06E16" w:rsidP="00B06E16">
            <w:pPr>
              <w:pStyle w:val="BodyText"/>
            </w:pPr>
            <w:r w:rsidRPr="00B06E16">
              <w:rPr>
                <w:rStyle w:val="SpecialBold"/>
              </w:rPr>
              <w:t>4</w:t>
            </w:r>
          </w:p>
        </w:tc>
        <w:tc>
          <w:tcPr>
            <w:tcW w:w="2673" w:type="dxa"/>
            <w:vMerge w:val="restart"/>
            <w:tcBorders>
              <w:top w:val="nil"/>
              <w:left w:val="nil"/>
              <w:bottom w:val="nil"/>
              <w:right w:val="nil"/>
            </w:tcBorders>
            <w:tcMar>
              <w:top w:w="0" w:type="dxa"/>
              <w:left w:w="62" w:type="dxa"/>
              <w:bottom w:w="0" w:type="dxa"/>
              <w:right w:w="62" w:type="dxa"/>
            </w:tcMar>
          </w:tcPr>
          <w:p w:rsidR="00000000" w:rsidRPr="00B06E16" w:rsidP="00B06E16">
            <w:pPr>
              <w:pStyle w:val="BodyText"/>
            </w:pPr>
            <w:r w:rsidRPr="00B06E16">
              <w:rPr>
                <w:rStyle w:val="SpecialBold"/>
              </w:rPr>
              <w:t>Support the rights, interests and needs of clients</w:t>
            </w:r>
          </w:p>
        </w:tc>
        <w:tc>
          <w:tcPr>
            <w:tcW w:w="1082" w:type="dxa"/>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rPr>
                <w:rStyle w:val="SpecialBold"/>
              </w:rPr>
              <w:t>4.1</w:t>
            </w:r>
          </w:p>
        </w:tc>
        <w:tc>
          <w:tcPr>
            <w:tcW w:w="5337" w:type="dxa"/>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t>Comply with legal responsibilities and duty of care in all interactions with clients</w:t>
            </w:r>
          </w:p>
        </w:tc>
      </w:tr>
      <w:tr w:rsidTr="00B06E16">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3" w:type="dxa"/>
            <w:vMerge/>
            <w:tcBorders>
              <w:top w:val="nil"/>
              <w:left w:val="nil"/>
              <w:bottom w:val="nil"/>
              <w:right w:val="nil"/>
            </w:tcBorders>
            <w:tcMar>
              <w:top w:w="0" w:type="dxa"/>
              <w:left w:w="62" w:type="dxa"/>
              <w:bottom w:w="0" w:type="dxa"/>
              <w:right w:w="62" w:type="dxa"/>
            </w:tcMar>
          </w:tcPr>
          <w:p w:rsidR="00000000" w:rsidRPr="00B06E16">
            <w:pPr>
              <w:pStyle w:val="BodyText"/>
              <w:keepLines w:val="0"/>
            </w:pPr>
          </w:p>
        </w:tc>
        <w:tc>
          <w:tcPr>
            <w:tcW w:w="1082" w:type="dxa"/>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rPr>
                <w:rStyle w:val="SpecialBold"/>
              </w:rPr>
              <w:t>4.2</w:t>
            </w:r>
          </w:p>
        </w:tc>
        <w:tc>
          <w:tcPr>
            <w:tcW w:w="5337" w:type="dxa"/>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t>Support client rights, interests and decisions and encourage the client to exercise their rights to make informed decisions regarding their matter including disclosing/reporting issues</w:t>
            </w:r>
          </w:p>
        </w:tc>
      </w:tr>
      <w:tr w:rsidTr="00B06E16">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3" w:type="dxa"/>
            <w:vMerge/>
            <w:tcBorders>
              <w:top w:val="nil"/>
              <w:left w:val="nil"/>
              <w:bottom w:val="nil"/>
              <w:right w:val="nil"/>
            </w:tcBorders>
            <w:tcMar>
              <w:top w:w="0" w:type="dxa"/>
              <w:left w:w="62" w:type="dxa"/>
              <w:bottom w:w="0" w:type="dxa"/>
              <w:right w:w="62" w:type="dxa"/>
            </w:tcMar>
          </w:tcPr>
          <w:p w:rsidR="00000000" w:rsidRPr="00B06E16">
            <w:pPr>
              <w:pStyle w:val="BodyText"/>
              <w:keepLines w:val="0"/>
            </w:pPr>
          </w:p>
        </w:tc>
        <w:tc>
          <w:tcPr>
            <w:tcW w:w="1082" w:type="dxa"/>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rPr>
                <w:rStyle w:val="SpecialBold"/>
              </w:rPr>
              <w:t>4.3</w:t>
            </w:r>
          </w:p>
        </w:tc>
        <w:tc>
          <w:tcPr>
            <w:tcW w:w="5337" w:type="dxa"/>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t>Demonstrate respect and support for the dignity of clients</w:t>
            </w:r>
          </w:p>
        </w:tc>
      </w:tr>
      <w:tr w:rsidTr="00B06E16">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673" w:type="dxa"/>
            <w:vMerge/>
            <w:tcBorders>
              <w:top w:val="nil"/>
              <w:left w:val="nil"/>
              <w:bottom w:val="nil"/>
              <w:right w:val="nil"/>
            </w:tcBorders>
            <w:tcMar>
              <w:top w:w="0" w:type="dxa"/>
              <w:left w:w="62" w:type="dxa"/>
              <w:bottom w:w="0" w:type="dxa"/>
              <w:right w:w="62" w:type="dxa"/>
            </w:tcMar>
          </w:tcPr>
          <w:p w:rsidR="00000000" w:rsidRPr="00B06E16">
            <w:pPr>
              <w:pStyle w:val="BodyText"/>
              <w:keepLines w:val="0"/>
            </w:pPr>
          </w:p>
        </w:tc>
        <w:tc>
          <w:tcPr>
            <w:tcW w:w="1082" w:type="dxa"/>
            <w:tcBorders>
              <w:top w:val="nil"/>
              <w:left w:val="nil"/>
              <w:bottom w:val="nil"/>
              <w:right w:val="nil"/>
            </w:tcBorders>
            <w:tcMar>
              <w:top w:w="0" w:type="dxa"/>
              <w:left w:w="62" w:type="dxa"/>
              <w:bottom w:w="0" w:type="dxa"/>
              <w:right w:w="62" w:type="dxa"/>
            </w:tcMar>
          </w:tcPr>
          <w:p w:rsidR="00000000" w:rsidP="00B06E16">
            <w:pPr>
              <w:pStyle w:val="BodyText"/>
              <w:rPr>
                <w:lang w:val="en-NZ"/>
              </w:rPr>
            </w:pPr>
            <w:r w:rsidRPr="00B06E16">
              <w:rPr>
                <w:rStyle w:val="SpecialBold"/>
              </w:rPr>
              <w:t>4.4</w:t>
            </w:r>
          </w:p>
        </w:tc>
        <w:tc>
          <w:tcPr>
            <w:tcW w:w="5337" w:type="dxa"/>
            <w:tcBorders>
              <w:top w:val="nil"/>
              <w:left w:val="nil"/>
              <w:bottom w:val="nil"/>
              <w:right w:val="nil"/>
            </w:tcBorders>
            <w:tcMar>
              <w:top w:w="0" w:type="dxa"/>
              <w:left w:w="62" w:type="dxa"/>
              <w:bottom w:w="0" w:type="dxa"/>
              <w:right w:w="62" w:type="dxa"/>
            </w:tcMar>
          </w:tcPr>
          <w:p w:rsidR="00000000" w:rsidRPr="00B06E16" w:rsidP="00B06E16">
            <w:pPr>
              <w:pStyle w:val="BodyText"/>
            </w:pPr>
            <w:r w:rsidRPr="00B06E16">
              <w:t>Engage appropriately with clients in line with legal practices and organisational procedures</w:t>
            </w:r>
          </w:p>
        </w:tc>
      </w:tr>
    </w:tbl>
    <w:p w:rsidR="00000000" w:rsidRPr="00B06E16" w:rsidP="00B06E16">
      <w:pPr>
        <w:pStyle w:val="NoPaddingFontSize1"/>
      </w:pPr>
    </w:p>
    <w:p w:rsidR="00000000" w:rsidRPr="00B06E16" w:rsidP="00B06E16">
      <w:pPr>
        <w:pStyle w:val="AllowPageBreak"/>
      </w:pPr>
    </w:p>
    <w:p w:rsidR="00000000" w:rsidRPr="00B06E16" w:rsidP="00B06E16">
      <w:pPr>
        <w:pStyle w:val="Heading1"/>
      </w:pPr>
      <w:bookmarkStart w:id="7" w:name="O_1238778"/>
      <w:bookmarkEnd w:id="7"/>
      <w:r w:rsidRPr="00B06E16">
        <w:t>Foundation Skills</w:t>
      </w:r>
    </w:p>
    <w:tbl>
      <w:tblPr>
        <w:tblW w:w="9497" w:type="dxa"/>
        <w:tblLayout w:type="fixed"/>
        <w:tblCellMar>
          <w:left w:w="62" w:type="dxa"/>
          <w:right w:w="62" w:type="dxa"/>
        </w:tblCellMar>
        <w:tblLook w:val="0000"/>
      </w:tblPr>
      <w:tblGrid>
        <w:gridCol w:w="9497"/>
      </w:tblGrid>
      <w:tr w:rsidTr="00B06E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E16" w:rsidP="00B06E16">
            <w:pPr>
              <w:pStyle w:val="BodyText"/>
            </w:pPr>
            <w:r w:rsidRPr="00B06E16">
              <w:t>Foundation skills essential to performance are explicit in the performance criteria of this unit of competency.</w:t>
            </w:r>
          </w:p>
        </w:tc>
      </w:tr>
    </w:tbl>
    <w:p w:rsidR="00000000" w:rsidRPr="00B06E16" w:rsidP="00B06E16">
      <w:pPr>
        <w:pStyle w:val="NoPaddingFontSize1"/>
      </w:pPr>
    </w:p>
    <w:p w:rsidR="00000000" w:rsidRPr="00B06E16" w:rsidP="00B06E16">
      <w:pPr>
        <w:pStyle w:val="AllowPageBreak"/>
      </w:pPr>
    </w:p>
    <w:p w:rsidR="00000000" w:rsidRPr="00B06E16" w:rsidP="00B06E16">
      <w:pPr>
        <w:pStyle w:val="Heading1"/>
      </w:pPr>
      <w:bookmarkStart w:id="8" w:name="O_1238779"/>
      <w:bookmarkEnd w:id="8"/>
      <w:r w:rsidRPr="00B06E16">
        <w:t>Range of Conditions</w:t>
      </w:r>
    </w:p>
    <w:tbl>
      <w:tblPr>
        <w:tblW w:w="9497" w:type="dxa"/>
        <w:tblLayout w:type="fixed"/>
        <w:tblCellMar>
          <w:left w:w="62" w:type="dxa"/>
          <w:right w:w="62" w:type="dxa"/>
        </w:tblCellMar>
        <w:tblLook w:val="0000"/>
      </w:tblPr>
      <w:tblGrid>
        <w:gridCol w:w="9497"/>
      </w:tblGrid>
      <w:tr w:rsidTr="00B06E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E16" w:rsidP="00B06E16">
            <w:pPr>
              <w:pStyle w:val="BodyText"/>
            </w:pPr>
            <w:r w:rsidRPr="00B06E16">
              <w:t>Range is restricted to essential operating conditions and any other variables essential to the work environment.</w:t>
            </w:r>
          </w:p>
          <w:p w:rsidR="00000000" w:rsidRPr="00B06E16" w:rsidP="00B06E16">
            <w:pPr>
              <w:pStyle w:val="BodyText"/>
            </w:pPr>
            <w:r w:rsidRPr="00B06E16">
              <w:t>Non-essential conditions may be found in the DEF Defence Training Package Companion Volume Implementation Guid</w:t>
            </w:r>
            <w:r w:rsidRPr="00B06E16">
              <w:t>e.</w:t>
            </w:r>
          </w:p>
        </w:tc>
      </w:tr>
    </w:tbl>
    <w:p w:rsidR="00000000" w:rsidRPr="00B06E16" w:rsidP="00B06E16">
      <w:pPr>
        <w:pStyle w:val="NoPaddingFontSize1"/>
      </w:pPr>
    </w:p>
    <w:p w:rsidR="00000000" w:rsidRPr="00B06E16" w:rsidP="00B06E16">
      <w:pPr>
        <w:pStyle w:val="AllowPageBreak"/>
      </w:pPr>
    </w:p>
    <w:p w:rsidR="00000000" w:rsidRPr="00B06E16" w:rsidP="00B06E16">
      <w:pPr>
        <w:pStyle w:val="Heading1"/>
      </w:pPr>
      <w:bookmarkStart w:id="9" w:name="O_1238780"/>
      <w:bookmarkEnd w:id="9"/>
      <w:r w:rsidRPr="00B06E16">
        <w:t>Unit Mapping Information</w:t>
      </w:r>
    </w:p>
    <w:tbl>
      <w:tblPr>
        <w:tblW w:w="9497" w:type="dxa"/>
        <w:tblLayout w:type="fixed"/>
        <w:tblCellMar>
          <w:left w:w="62" w:type="dxa"/>
          <w:right w:w="62" w:type="dxa"/>
        </w:tblCellMar>
        <w:tblLook w:val="0000"/>
      </w:tblPr>
      <w:tblGrid>
        <w:gridCol w:w="9497"/>
      </w:tblGrid>
      <w:tr w:rsidTr="00B06E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E16" w:rsidP="00B06E16">
            <w:pPr>
              <w:pStyle w:val="BodyText"/>
            </w:pPr>
            <w:r w:rsidRPr="00B06E16">
              <w:t>This unit supersedes and is equivalent to DEFDPL014 Address complex legal and ethical issues in a Defence environment.</w:t>
            </w:r>
          </w:p>
        </w:tc>
      </w:tr>
    </w:tbl>
    <w:p w:rsidR="00000000" w:rsidRPr="00B06E16" w:rsidP="00B06E16">
      <w:pPr>
        <w:pStyle w:val="NoPaddingFontSize1"/>
      </w:pPr>
    </w:p>
    <w:p w:rsidR="00000000" w:rsidRPr="00B06E16" w:rsidP="00B06E16">
      <w:pPr>
        <w:pStyle w:val="AllowPageBreak"/>
      </w:pPr>
    </w:p>
    <w:p w:rsidR="00000000" w:rsidRPr="00B06E16" w:rsidP="00B06E16">
      <w:pPr>
        <w:pStyle w:val="Heading1"/>
      </w:pPr>
      <w:bookmarkStart w:id="10" w:name="O_1238787"/>
      <w:bookmarkEnd w:id="10"/>
      <w:r w:rsidRPr="00B06E16">
        <w:t>Links</w:t>
      </w:r>
    </w:p>
    <w:p w:rsidR="00000000" w:rsidRPr="00B06E16" w:rsidP="002E7267">
      <w:pPr>
        <w:pStyle w:val="BodyText"/>
      </w:pPr>
      <w:r w:rsidRPr="00B06E16">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8B796B">
        <w:rPr>
          <w:rStyle w:val="Hyperlink"/>
        </w:rPr>
        <w:t>https://vetnet.gov.au/Pages/TrainingDocs.aspx?q=6bdbab1e-11ed-4bc9-9cba-9e1a55d4e4a9</w:t>
      </w:r>
      <w:r>
        <w:fldChar w:fldCharType="end"/>
      </w:r>
    </w:p>
    <w:p w:rsidR="00000000" w:rsidRPr="00B06E16" w:rsidP="00B06E16"/>
    <w:sectPr w:rsidSect="00B06E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E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E16" w:rsidRPr="002E7267" w:rsidP="002E72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E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267" w:rsidP="00B06E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7267" w:rsidP="00B06E1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E7267" w:rsidP="00B06E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E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2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6E16" w:rsidRPr="002E7267" w:rsidP="002E72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E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267" w:rsidRPr="002D2AF8" w:rsidP="00B06E16">
    <w:pPr>
      <w:pStyle w:val="Header"/>
      <w:framePr w:wrap="around"/>
    </w:pPr>
    <w:r>
      <w:fldChar w:fldCharType="begin"/>
    </w:r>
    <w:r>
      <w:instrText xml:space="preserve"> TITLE   \* MERGEFORMAT </w:instrText>
    </w:r>
    <w:r>
      <w:fldChar w:fldCharType="separate"/>
    </w:r>
    <w:r>
      <w:t>DEFDPL015 Address complex legal and ethical issues in a Defence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E7267" w:rsidP="00B06E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E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6E16"/>
    <w:pPr>
      <w:spacing w:before="360" w:after="60"/>
      <w:outlineLvl w:val="0"/>
    </w:pPr>
    <w:rPr>
      <w:sz w:val="32"/>
    </w:rPr>
  </w:style>
  <w:style w:type="paragraph" w:styleId="Heading2">
    <w:name w:val="heading 2"/>
    <w:basedOn w:val="HeadingBase"/>
    <w:next w:val="BodyText"/>
    <w:link w:val="Heading2Char"/>
    <w:qFormat/>
    <w:rsid w:val="00B06E16"/>
    <w:pPr>
      <w:keepLines/>
      <w:spacing w:before="240" w:after="120"/>
      <w:outlineLvl w:val="1"/>
    </w:pPr>
    <w:rPr>
      <w:sz w:val="28"/>
      <w:szCs w:val="40"/>
    </w:rPr>
  </w:style>
  <w:style w:type="paragraph" w:styleId="Heading3">
    <w:name w:val="heading 3"/>
    <w:basedOn w:val="HeadingBase"/>
    <w:next w:val="BodyText"/>
    <w:link w:val="Heading3Char"/>
    <w:qFormat/>
    <w:rsid w:val="00B06E16"/>
    <w:pPr>
      <w:spacing w:before="180" w:after="120"/>
      <w:outlineLvl w:val="2"/>
    </w:pPr>
    <w:rPr>
      <w:spacing w:val="-10"/>
      <w:kern w:val="32"/>
    </w:rPr>
  </w:style>
  <w:style w:type="paragraph" w:styleId="Heading4">
    <w:name w:val="heading 4"/>
    <w:basedOn w:val="HeadingBase"/>
    <w:next w:val="BodyText"/>
    <w:link w:val="Heading4Char"/>
    <w:qFormat/>
    <w:rsid w:val="00B06E16"/>
    <w:pPr>
      <w:spacing w:before="160" w:after="120"/>
      <w:outlineLvl w:val="3"/>
    </w:pPr>
    <w:rPr>
      <w:sz w:val="22"/>
    </w:rPr>
  </w:style>
  <w:style w:type="paragraph" w:styleId="Heading5">
    <w:name w:val="heading 5"/>
    <w:basedOn w:val="HeadingBase"/>
    <w:next w:val="Normal"/>
    <w:link w:val="Heading5Char"/>
    <w:qFormat/>
    <w:rsid w:val="00B06E16"/>
    <w:pPr>
      <w:spacing w:before="80"/>
      <w:outlineLvl w:val="4"/>
    </w:pPr>
    <w:rPr>
      <w:color w:val="918585"/>
      <w:sz w:val="20"/>
    </w:rPr>
  </w:style>
  <w:style w:type="paragraph" w:styleId="Heading6">
    <w:name w:val="heading 6"/>
    <w:basedOn w:val="HeadingBase"/>
    <w:next w:val="Normal"/>
    <w:link w:val="Heading6Char"/>
    <w:qFormat/>
    <w:rsid w:val="00B06E16"/>
    <w:pPr>
      <w:spacing w:before="60"/>
      <w:outlineLvl w:val="5"/>
    </w:pPr>
    <w:rPr>
      <w:color w:val="918585"/>
      <w:sz w:val="20"/>
    </w:rPr>
  </w:style>
  <w:style w:type="paragraph" w:styleId="Heading7">
    <w:name w:val="heading 7"/>
    <w:basedOn w:val="Normal"/>
    <w:next w:val="Normal"/>
    <w:link w:val="Heading7Char"/>
    <w:qFormat/>
    <w:rsid w:val="00B06E16"/>
    <w:pPr>
      <w:ind w:left="720"/>
      <w:outlineLvl w:val="6"/>
    </w:pPr>
    <w:rPr>
      <w:i/>
    </w:rPr>
  </w:style>
  <w:style w:type="paragraph" w:styleId="Heading8">
    <w:name w:val="heading 8"/>
    <w:basedOn w:val="Normal"/>
    <w:next w:val="Normal"/>
    <w:link w:val="Heading8Char"/>
    <w:qFormat/>
    <w:rsid w:val="00B06E16"/>
    <w:pPr>
      <w:ind w:left="720"/>
      <w:outlineLvl w:val="7"/>
    </w:pPr>
    <w:rPr>
      <w:i/>
    </w:rPr>
  </w:style>
  <w:style w:type="paragraph" w:styleId="Heading9">
    <w:name w:val="heading 9"/>
    <w:basedOn w:val="Normal"/>
    <w:next w:val="Normal"/>
    <w:link w:val="Heading9Char"/>
    <w:qFormat/>
    <w:rsid w:val="00B06E16"/>
    <w:pPr>
      <w:ind w:left="720"/>
      <w:outlineLvl w:val="8"/>
    </w:pPr>
    <w:rPr>
      <w:i/>
    </w:rPr>
  </w:style>
  <w:style w:type="character" w:default="1" w:styleId="DefaultParagraphFont">
    <w:name w:val="Default Paragraph Font"/>
    <w:uiPriority w:val="1"/>
    <w:unhideWhenUsed/>
    <w:rsid w:val="00B06E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6E16"/>
  </w:style>
  <w:style w:type="character" w:customStyle="1" w:styleId="Heading1Char">
    <w:name w:val="Heading 1 Char"/>
    <w:basedOn w:val="DefaultParagraphFont"/>
    <w:link w:val="Heading1"/>
    <w:rsid w:val="00B06E16"/>
    <w:rPr>
      <w:rFonts w:ascii="Times New Roman" w:eastAsia="Times New Roman" w:hAnsi="Times New Roman" w:cs="Times New Roman"/>
      <w:b/>
      <w:sz w:val="32"/>
      <w:szCs w:val="20"/>
      <w:lang w:eastAsia="en-US"/>
    </w:rPr>
  </w:style>
  <w:style w:type="paragraph" w:styleId="BodyText">
    <w:name w:val="Body Text"/>
    <w:basedOn w:val="Normal"/>
    <w:link w:val="BodyTextChar"/>
    <w:rsid w:val="00B06E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6E16"/>
    <w:rPr>
      <w:rFonts w:ascii="Times New Roman" w:eastAsia="Times New Roman" w:hAnsi="Times New Roman" w:cs="Times New Roman"/>
      <w:sz w:val="24"/>
      <w:lang w:eastAsia="en-US"/>
    </w:rPr>
  </w:style>
  <w:style w:type="character" w:customStyle="1" w:styleId="SpecialBold">
    <w:name w:val="Special Bold"/>
    <w:basedOn w:val="DefaultParagraphFont"/>
    <w:rsid w:val="00B06E16"/>
    <w:rPr>
      <w:b/>
      <w:spacing w:val="0"/>
    </w:rPr>
  </w:style>
  <w:style w:type="paragraph" w:customStyle="1" w:styleId="SuperHeading">
    <w:name w:val="SuperHeading"/>
    <w:basedOn w:val="Normal"/>
    <w:rsid w:val="00B06E16"/>
    <w:pPr>
      <w:spacing w:before="240" w:after="120"/>
      <w:outlineLvl w:val="0"/>
    </w:pPr>
    <w:rPr>
      <w:rFonts w:ascii="Times New Roman" w:hAnsi="Times New Roman"/>
      <w:b/>
      <w:sz w:val="32"/>
    </w:rPr>
  </w:style>
  <w:style w:type="paragraph" w:customStyle="1" w:styleId="AllowPageBreak">
    <w:name w:val="AllowPageBreak"/>
    <w:rsid w:val="00B06E1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06E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6E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6E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6E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6E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6E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6E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6E16"/>
    <w:rPr>
      <w:rFonts w:ascii="Courier New" w:eastAsia="Times New Roman" w:hAnsi="Courier New" w:cs="Times New Roman"/>
      <w:i/>
      <w:szCs w:val="20"/>
      <w:lang w:eastAsia="en-US"/>
    </w:rPr>
  </w:style>
  <w:style w:type="paragraph" w:customStyle="1" w:styleId="HeadingBase">
    <w:name w:val="Heading Base"/>
    <w:rsid w:val="00B06E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6E16"/>
    <w:pPr>
      <w:tabs>
        <w:tab w:val="right" w:leader="dot" w:pos="9072"/>
      </w:tabs>
      <w:ind w:left="567"/>
    </w:pPr>
    <w:rPr>
      <w:szCs w:val="22"/>
    </w:rPr>
  </w:style>
  <w:style w:type="paragraph" w:customStyle="1" w:styleId="TOCBase">
    <w:name w:val="TOC Base"/>
    <w:rsid w:val="00B06E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6E16"/>
    <w:pPr>
      <w:tabs>
        <w:tab w:val="right" w:leader="dot" w:pos="9072"/>
      </w:tabs>
      <w:spacing w:before="40" w:after="40"/>
      <w:ind w:left="284"/>
    </w:pPr>
    <w:rPr>
      <w:rFonts w:ascii="Times New Roman" w:hAnsi="Times New Roman"/>
    </w:rPr>
  </w:style>
  <w:style w:type="paragraph" w:styleId="TOC1">
    <w:name w:val="toc 1"/>
    <w:basedOn w:val="TOCBase"/>
    <w:next w:val="Normal"/>
    <w:rsid w:val="00B06E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6E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6E16"/>
    <w:rPr>
      <w:rFonts w:ascii="Times New Roman" w:eastAsia="Times New Roman" w:hAnsi="Times New Roman" w:cs="Times New Roman"/>
      <w:sz w:val="16"/>
      <w:lang w:eastAsia="en-US"/>
    </w:rPr>
  </w:style>
  <w:style w:type="paragraph" w:styleId="Title">
    <w:name w:val="Title"/>
    <w:basedOn w:val="HeadingBase"/>
    <w:link w:val="TitleChar"/>
    <w:qFormat/>
    <w:rsid w:val="00B06E16"/>
    <w:pPr>
      <w:spacing w:before="5040"/>
      <w:jc w:val="center"/>
    </w:pPr>
    <w:rPr>
      <w:sz w:val="48"/>
      <w:szCs w:val="72"/>
      <w:lang w:val="en-US"/>
    </w:rPr>
  </w:style>
  <w:style w:type="character" w:customStyle="1" w:styleId="TitleChar">
    <w:name w:val="Title Char"/>
    <w:basedOn w:val="DefaultParagraphFont"/>
    <w:link w:val="Title"/>
    <w:rsid w:val="00B06E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6E16"/>
    <w:pPr>
      <w:tabs>
        <w:tab w:val="left" w:pos="3600"/>
        <w:tab w:val="left" w:pos="3958"/>
      </w:tabs>
    </w:pPr>
  </w:style>
  <w:style w:type="paragraph" w:styleId="List">
    <w:name w:val="List"/>
    <w:basedOn w:val="BodyText"/>
    <w:next w:val="BodyText"/>
    <w:rsid w:val="00B06E16"/>
    <w:pPr>
      <w:tabs>
        <w:tab w:val="left" w:pos="340"/>
      </w:tabs>
      <w:spacing w:before="60" w:after="60"/>
      <w:ind w:left="340" w:hanging="340"/>
    </w:pPr>
  </w:style>
  <w:style w:type="paragraph" w:styleId="ListBullet">
    <w:name w:val="List Bullet"/>
    <w:basedOn w:val="List"/>
    <w:rsid w:val="00B06E16"/>
    <w:pPr>
      <w:numPr>
        <w:numId w:val="10"/>
      </w:numPr>
      <w:tabs>
        <w:tab w:val="clear" w:pos="340"/>
      </w:tabs>
      <w:spacing w:before="40" w:after="40"/>
    </w:pPr>
  </w:style>
  <w:style w:type="paragraph" w:customStyle="1" w:styleId="Note">
    <w:name w:val="Note"/>
    <w:basedOn w:val="BodyText"/>
    <w:rsid w:val="00B06E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6E16"/>
    <w:pPr>
      <w:framePr w:wrap="auto" w:hAnchor="text" w:y="6049"/>
    </w:pPr>
    <w:rPr>
      <w:color w:val="000000"/>
      <w:sz w:val="40"/>
    </w:rPr>
  </w:style>
  <w:style w:type="paragraph" w:customStyle="1" w:styleId="TOCTitle">
    <w:name w:val="TOCTitle"/>
    <w:basedOn w:val="Heading1"/>
    <w:rsid w:val="00B06E16"/>
    <w:pPr>
      <w:spacing w:after="240"/>
      <w:jc w:val="center"/>
      <w:outlineLvl w:val="9"/>
    </w:pPr>
    <w:rPr>
      <w:caps/>
    </w:rPr>
  </w:style>
  <w:style w:type="paragraph" w:customStyle="1" w:styleId="Version">
    <w:name w:val="Version"/>
    <w:rsid w:val="00B06E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6E16"/>
    <w:pPr>
      <w:numPr>
        <w:numId w:val="11"/>
      </w:numPr>
      <w:tabs>
        <w:tab w:val="clear" w:pos="680"/>
      </w:tabs>
    </w:pPr>
  </w:style>
  <w:style w:type="paragraph" w:styleId="Index1">
    <w:name w:val="index 1"/>
    <w:basedOn w:val="Normal"/>
    <w:next w:val="Normal"/>
    <w:semiHidden/>
    <w:rsid w:val="00B06E16"/>
    <w:pPr>
      <w:keepNext w:val="0"/>
      <w:tabs>
        <w:tab w:val="right" w:pos="4176"/>
      </w:tabs>
      <w:ind w:left="198" w:hanging="198"/>
    </w:pPr>
    <w:rPr>
      <w:rFonts w:ascii="Garamond" w:hAnsi="Garamond"/>
    </w:rPr>
  </w:style>
  <w:style w:type="paragraph" w:styleId="IndexHeading">
    <w:name w:val="index heading"/>
    <w:basedOn w:val="Normal"/>
    <w:next w:val="Index1"/>
    <w:semiHidden/>
    <w:rsid w:val="00B06E16"/>
    <w:pPr>
      <w:spacing w:before="120" w:after="120"/>
    </w:pPr>
    <w:rPr>
      <w:rFonts w:ascii="Arial" w:hAnsi="Arial"/>
      <w:b/>
      <w:color w:val="918585"/>
      <w:sz w:val="24"/>
    </w:rPr>
  </w:style>
  <w:style w:type="paragraph" w:styleId="Header">
    <w:name w:val="header"/>
    <w:basedOn w:val="Normal"/>
    <w:link w:val="HeaderChar"/>
    <w:rsid w:val="00B06E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6E16"/>
    <w:rPr>
      <w:rFonts w:ascii="Times New Roman" w:eastAsia="Times New Roman" w:hAnsi="Times New Roman" w:cs="Times New Roman"/>
      <w:sz w:val="16"/>
      <w:szCs w:val="20"/>
      <w:lang w:val="en-GB" w:eastAsia="en-US"/>
    </w:rPr>
  </w:style>
  <w:style w:type="paragraph" w:customStyle="1" w:styleId="Chapter">
    <w:name w:val="Chapter"/>
    <w:basedOn w:val="Normal"/>
    <w:rsid w:val="00B06E16"/>
    <w:pPr>
      <w:spacing w:before="240"/>
    </w:pPr>
    <w:rPr>
      <w:rFonts w:ascii="Times New Roman" w:hAnsi="Times New Roman"/>
      <w:smallCaps/>
      <w:spacing w:val="80"/>
      <w:sz w:val="28"/>
    </w:rPr>
  </w:style>
  <w:style w:type="paragraph" w:customStyle="1" w:styleId="InChapter">
    <w:name w:val="InChapter"/>
    <w:basedOn w:val="Heading3"/>
    <w:rsid w:val="00B06E16"/>
    <w:pPr>
      <w:spacing w:after="240"/>
      <w:outlineLvl w:val="9"/>
    </w:pPr>
    <w:rPr>
      <w:noProof/>
    </w:rPr>
  </w:style>
  <w:style w:type="paragraph" w:styleId="Index2">
    <w:name w:val="index 2"/>
    <w:basedOn w:val="Normal"/>
    <w:next w:val="Normal"/>
    <w:semiHidden/>
    <w:rsid w:val="00B06E16"/>
    <w:pPr>
      <w:tabs>
        <w:tab w:val="right" w:pos="4176"/>
      </w:tabs>
      <w:ind w:left="568" w:hanging="284"/>
    </w:pPr>
    <w:rPr>
      <w:rFonts w:ascii="Garamond" w:hAnsi="Garamond"/>
    </w:rPr>
  </w:style>
  <w:style w:type="paragraph" w:customStyle="1" w:styleId="Byline">
    <w:name w:val="Byline"/>
    <w:rsid w:val="00B06E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6E16"/>
    <w:pPr>
      <w:tabs>
        <w:tab w:val="clear" w:pos="3600"/>
        <w:tab w:val="clear" w:pos="3958"/>
      </w:tabs>
      <w:jc w:val="right"/>
    </w:pPr>
  </w:style>
  <w:style w:type="character" w:styleId="Emphasis">
    <w:name w:val="Emphasis"/>
    <w:basedOn w:val="DefaultParagraphFont"/>
    <w:qFormat/>
    <w:rsid w:val="00B06E16"/>
    <w:rPr>
      <w:i/>
    </w:rPr>
  </w:style>
  <w:style w:type="paragraph" w:styleId="Caption">
    <w:name w:val="caption"/>
    <w:basedOn w:val="BodyText"/>
    <w:next w:val="Normal"/>
    <w:qFormat/>
    <w:rsid w:val="00B06E16"/>
    <w:pPr>
      <w:framePr w:w="2268" w:hSpace="181" w:vSpace="181" w:wrap="around" w:vAnchor="text" w:hAnchor="page" w:x="1135" w:y="285" w:anchorLock="1"/>
    </w:pPr>
    <w:rPr>
      <w:i/>
    </w:rPr>
  </w:style>
  <w:style w:type="paragraph" w:customStyle="1" w:styleId="MiniTOCTitle">
    <w:name w:val="MiniTOCTitle"/>
    <w:basedOn w:val="Heading4"/>
    <w:rsid w:val="00B06E16"/>
    <w:pPr>
      <w:spacing w:before="240"/>
      <w:outlineLvl w:val="9"/>
    </w:pPr>
    <w:rPr>
      <w:noProof/>
      <w:sz w:val="24"/>
    </w:rPr>
  </w:style>
  <w:style w:type="paragraph" w:customStyle="1" w:styleId="MiniTOCItem">
    <w:name w:val="MiniTOCItem"/>
    <w:basedOn w:val="ListBullet"/>
    <w:rsid w:val="00B06E16"/>
    <w:pPr>
      <w:numPr>
        <w:numId w:val="0"/>
      </w:numPr>
      <w:tabs>
        <w:tab w:val="right" w:leader="dot" w:pos="6521"/>
      </w:tabs>
      <w:spacing w:before="0" w:after="0"/>
    </w:pPr>
  </w:style>
  <w:style w:type="paragraph" w:customStyle="1" w:styleId="TOFTitle">
    <w:name w:val="TOFTitle"/>
    <w:basedOn w:val="TOCTitle"/>
    <w:rsid w:val="00B06E16"/>
  </w:style>
  <w:style w:type="paragraph" w:styleId="TableofFigures">
    <w:name w:val="table of figures"/>
    <w:basedOn w:val="Normal"/>
    <w:next w:val="Normal"/>
    <w:semiHidden/>
    <w:rsid w:val="00B06E16"/>
    <w:pPr>
      <w:tabs>
        <w:tab w:val="right" w:leader="dot" w:pos="9072"/>
      </w:tabs>
      <w:ind w:left="970" w:hanging="403"/>
    </w:pPr>
    <w:rPr>
      <w:rFonts w:ascii="Times New Roman" w:hAnsi="Times New Roman"/>
      <w:b/>
    </w:rPr>
  </w:style>
  <w:style w:type="paragraph" w:styleId="ListNumber">
    <w:name w:val="List Number"/>
    <w:basedOn w:val="List"/>
    <w:rsid w:val="00B06E16"/>
    <w:pPr>
      <w:numPr>
        <w:numId w:val="13"/>
      </w:numPr>
      <w:tabs>
        <w:tab w:val="clear" w:pos="340"/>
      </w:tabs>
    </w:pPr>
  </w:style>
  <w:style w:type="character" w:customStyle="1" w:styleId="WingdingSymbols">
    <w:name w:val="Wingding Symbols"/>
    <w:rsid w:val="00B06E16"/>
    <w:rPr>
      <w:rFonts w:ascii="Wingdings" w:hAnsi="Wingdings"/>
    </w:rPr>
  </w:style>
  <w:style w:type="paragraph" w:customStyle="1" w:styleId="TableHeading">
    <w:name w:val="Table Heading"/>
    <w:basedOn w:val="HeadingBase"/>
    <w:rsid w:val="00B06E16"/>
    <w:pPr>
      <w:keepLines/>
      <w:pBdr>
        <w:bottom w:val="single" w:sz="6" w:space="1" w:color="918585"/>
      </w:pBdr>
      <w:spacing w:before="240"/>
    </w:pPr>
  </w:style>
  <w:style w:type="character" w:customStyle="1" w:styleId="HotSpot">
    <w:name w:val="HotSpot"/>
    <w:rsid w:val="00B06E16"/>
    <w:rPr>
      <w:color w:val="0033CC"/>
      <w:u w:val="none"/>
    </w:rPr>
  </w:style>
  <w:style w:type="paragraph" w:customStyle="1" w:styleId="BodyTextRight">
    <w:name w:val="Body Text Right"/>
    <w:basedOn w:val="BodyText"/>
    <w:rsid w:val="00B06E16"/>
    <w:pPr>
      <w:spacing w:before="0" w:after="0"/>
      <w:jc w:val="right"/>
    </w:pPr>
  </w:style>
  <w:style w:type="paragraph" w:styleId="Index3">
    <w:name w:val="index 3"/>
    <w:basedOn w:val="ListNumber2"/>
    <w:next w:val="Normal"/>
    <w:semiHidden/>
    <w:rsid w:val="00B06E16"/>
    <w:pPr>
      <w:numPr>
        <w:numId w:val="0"/>
      </w:numPr>
      <w:tabs>
        <w:tab w:val="right" w:leader="dot" w:pos="4176"/>
      </w:tabs>
    </w:pPr>
  </w:style>
  <w:style w:type="paragraph" w:styleId="ListNumber2">
    <w:name w:val="List Number 2"/>
    <w:basedOn w:val="List2"/>
    <w:rsid w:val="00B06E16"/>
    <w:pPr>
      <w:numPr>
        <w:numId w:val="8"/>
      </w:numPr>
      <w:tabs>
        <w:tab w:val="clear" w:pos="1060"/>
      </w:tabs>
    </w:pPr>
  </w:style>
  <w:style w:type="paragraph" w:customStyle="1" w:styleId="MarginNote">
    <w:name w:val="Margin Note"/>
    <w:basedOn w:val="BodyText"/>
    <w:rsid w:val="00B06E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6E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6E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6E16"/>
    <w:rPr>
      <w:sz w:val="32"/>
    </w:rPr>
  </w:style>
  <w:style w:type="paragraph" w:customStyle="1" w:styleId="HeadingProcedure">
    <w:name w:val="Heading Procedure"/>
    <w:basedOn w:val="HeadingBase"/>
    <w:next w:val="Normal"/>
    <w:rsid w:val="00B06E16"/>
    <w:pPr>
      <w:tabs>
        <w:tab w:val="left" w:pos="0"/>
      </w:tabs>
      <w:spacing w:before="120" w:after="60"/>
    </w:pPr>
    <w:rPr>
      <w:i/>
      <w:color w:val="918585"/>
      <w:sz w:val="22"/>
    </w:rPr>
  </w:style>
  <w:style w:type="paragraph" w:customStyle="1" w:styleId="TableBodyText">
    <w:name w:val="Table Body Text"/>
    <w:basedOn w:val="BodyText"/>
    <w:rsid w:val="00B06E16"/>
    <w:pPr>
      <w:spacing w:before="60" w:after="60"/>
    </w:pPr>
  </w:style>
  <w:style w:type="paragraph" w:styleId="ListContinue">
    <w:name w:val="List Continue"/>
    <w:basedOn w:val="List"/>
    <w:rsid w:val="00B06E16"/>
    <w:pPr>
      <w:ind w:firstLine="0"/>
    </w:pPr>
  </w:style>
  <w:style w:type="paragraph" w:customStyle="1" w:styleId="ListNote">
    <w:name w:val="List Note"/>
    <w:basedOn w:val="List"/>
    <w:rsid w:val="00B06E16"/>
    <w:pPr>
      <w:pBdr>
        <w:top w:val="single" w:sz="6" w:space="2" w:color="918585"/>
        <w:bottom w:val="single" w:sz="6" w:space="2" w:color="918585"/>
      </w:pBdr>
      <w:tabs>
        <w:tab w:val="left" w:pos="1021"/>
      </w:tabs>
      <w:ind w:firstLine="0"/>
    </w:pPr>
  </w:style>
  <w:style w:type="paragraph" w:customStyle="1" w:styleId="Warning">
    <w:name w:val="Warning"/>
    <w:basedOn w:val="BodyText"/>
    <w:rsid w:val="00B06E16"/>
    <w:pPr>
      <w:shd w:val="clear" w:color="auto" w:fill="D9D9D9"/>
      <w:tabs>
        <w:tab w:val="left" w:pos="992"/>
      </w:tabs>
      <w:ind w:left="119" w:right="119"/>
    </w:pPr>
    <w:rPr>
      <w:sz w:val="20"/>
    </w:rPr>
  </w:style>
  <w:style w:type="paragraph" w:customStyle="1" w:styleId="MarginIcons">
    <w:name w:val="Margin Icons"/>
    <w:basedOn w:val="BodyText"/>
    <w:rsid w:val="00B06E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6E16"/>
    <w:rPr>
      <w:rFonts w:ascii="Courier New" w:hAnsi="Courier New"/>
    </w:rPr>
  </w:style>
  <w:style w:type="paragraph" w:customStyle="1" w:styleId="NoteBullet">
    <w:name w:val="Note Bullet"/>
    <w:basedOn w:val="Note"/>
    <w:rsid w:val="00B06E16"/>
    <w:pPr>
      <w:tabs>
        <w:tab w:val="clear" w:pos="680"/>
      </w:tabs>
      <w:spacing w:before="60" w:after="60"/>
    </w:pPr>
  </w:style>
  <w:style w:type="paragraph" w:customStyle="1" w:styleId="SubHeading2">
    <w:name w:val="SubHeading2"/>
    <w:basedOn w:val="HeadingBase"/>
    <w:rsid w:val="00B06E16"/>
    <w:pPr>
      <w:spacing w:before="240" w:after="60"/>
    </w:pPr>
    <w:rPr>
      <w:sz w:val="20"/>
    </w:rPr>
  </w:style>
  <w:style w:type="paragraph" w:customStyle="1" w:styleId="SubHeading1">
    <w:name w:val="SubHeading1"/>
    <w:basedOn w:val="HeadingBase"/>
    <w:rsid w:val="00B06E16"/>
    <w:pPr>
      <w:spacing w:before="240" w:after="60"/>
    </w:pPr>
    <w:rPr>
      <w:color w:val="918585"/>
      <w:sz w:val="22"/>
    </w:rPr>
  </w:style>
  <w:style w:type="paragraph" w:customStyle="1" w:styleId="SideHeading">
    <w:name w:val="Side Heading"/>
    <w:basedOn w:val="HeadingBase"/>
    <w:rsid w:val="00B06E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6E16"/>
    <w:pPr>
      <w:numPr>
        <w:numId w:val="9"/>
      </w:numPr>
    </w:pPr>
  </w:style>
  <w:style w:type="paragraph" w:styleId="PlainText">
    <w:name w:val="Plain Text"/>
    <w:basedOn w:val="Normal"/>
    <w:link w:val="PlainTextChar"/>
    <w:rsid w:val="00B06E16"/>
    <w:rPr>
      <w:sz w:val="20"/>
    </w:rPr>
  </w:style>
  <w:style w:type="character" w:customStyle="1" w:styleId="PlainTextChar">
    <w:name w:val="Plain Text Char"/>
    <w:basedOn w:val="DefaultParagraphFont"/>
    <w:link w:val="PlainText"/>
    <w:rsid w:val="00B06E16"/>
    <w:rPr>
      <w:rFonts w:ascii="Courier New" w:eastAsia="Times New Roman" w:hAnsi="Courier New" w:cs="Times New Roman"/>
      <w:sz w:val="20"/>
      <w:szCs w:val="20"/>
      <w:lang w:eastAsia="en-US"/>
    </w:rPr>
  </w:style>
  <w:style w:type="character" w:customStyle="1" w:styleId="MenuOption">
    <w:name w:val="Menu Option"/>
    <w:basedOn w:val="DefaultParagraphFont"/>
    <w:rsid w:val="00B06E16"/>
    <w:rPr>
      <w:b/>
      <w:smallCaps/>
    </w:rPr>
  </w:style>
  <w:style w:type="paragraph" w:customStyle="1" w:styleId="TableListNumber">
    <w:name w:val="Table List Number"/>
    <w:basedOn w:val="ListNumber"/>
    <w:rsid w:val="00B06E16"/>
    <w:pPr>
      <w:numPr>
        <w:numId w:val="0"/>
      </w:numPr>
    </w:pPr>
  </w:style>
  <w:style w:type="paragraph" w:styleId="TOC4">
    <w:name w:val="toc 4"/>
    <w:basedOn w:val="TOCBase"/>
    <w:next w:val="Normal"/>
    <w:semiHidden/>
    <w:rsid w:val="00B06E16"/>
    <w:pPr>
      <w:tabs>
        <w:tab w:val="right" w:leader="dot" w:pos="9071"/>
      </w:tabs>
      <w:ind w:left="1701"/>
    </w:pPr>
  </w:style>
  <w:style w:type="paragraph" w:customStyle="1" w:styleId="ListAlpha">
    <w:name w:val="List Alpha"/>
    <w:basedOn w:val="List"/>
    <w:rsid w:val="00B06E16"/>
    <w:pPr>
      <w:numPr>
        <w:numId w:val="7"/>
      </w:numPr>
    </w:pPr>
  </w:style>
  <w:style w:type="paragraph" w:customStyle="1" w:styleId="ListAlpha2">
    <w:name w:val="List Alpha 2"/>
    <w:basedOn w:val="List2"/>
    <w:rsid w:val="00B06E16"/>
    <w:pPr>
      <w:numPr>
        <w:numId w:val="6"/>
      </w:numPr>
    </w:pPr>
  </w:style>
  <w:style w:type="paragraph" w:styleId="List2">
    <w:name w:val="List 2"/>
    <w:basedOn w:val="BodyText"/>
    <w:rsid w:val="00B06E16"/>
    <w:pPr>
      <w:tabs>
        <w:tab w:val="left" w:pos="680"/>
      </w:tabs>
      <w:spacing w:before="60" w:after="60"/>
      <w:ind w:left="680" w:hanging="340"/>
    </w:pPr>
  </w:style>
  <w:style w:type="paragraph" w:styleId="List3">
    <w:name w:val="List 3"/>
    <w:basedOn w:val="BodyText"/>
    <w:rsid w:val="00B06E16"/>
    <w:pPr>
      <w:tabs>
        <w:tab w:val="left" w:pos="1021"/>
      </w:tabs>
      <w:spacing w:before="60" w:after="60"/>
      <w:ind w:left="1020" w:hanging="340"/>
    </w:pPr>
  </w:style>
  <w:style w:type="paragraph" w:styleId="List4">
    <w:name w:val="List 4"/>
    <w:basedOn w:val="BodyText"/>
    <w:rsid w:val="00B06E16"/>
    <w:pPr>
      <w:tabs>
        <w:tab w:val="left" w:pos="1361"/>
      </w:tabs>
      <w:spacing w:before="60" w:after="60"/>
      <w:ind w:left="1361" w:hanging="340"/>
    </w:pPr>
  </w:style>
  <w:style w:type="paragraph" w:styleId="List5">
    <w:name w:val="List 5"/>
    <w:basedOn w:val="BodyText"/>
    <w:rsid w:val="00B06E16"/>
    <w:pPr>
      <w:tabs>
        <w:tab w:val="left" w:pos="1701"/>
      </w:tabs>
      <w:spacing w:before="60" w:after="60"/>
      <w:ind w:left="1701" w:hanging="340"/>
    </w:pPr>
  </w:style>
  <w:style w:type="paragraph" w:styleId="ListBullet3">
    <w:name w:val="List Bullet 3"/>
    <w:basedOn w:val="List3"/>
    <w:rsid w:val="00B06E16"/>
    <w:pPr>
      <w:numPr>
        <w:numId w:val="12"/>
      </w:numPr>
      <w:tabs>
        <w:tab w:val="clear" w:pos="1021"/>
      </w:tabs>
      <w:ind w:left="1037" w:hanging="357"/>
    </w:pPr>
  </w:style>
  <w:style w:type="paragraph" w:styleId="ListBullet4">
    <w:name w:val="List Bullet 4"/>
    <w:basedOn w:val="List4"/>
    <w:rsid w:val="00B06E16"/>
    <w:pPr>
      <w:numPr>
        <w:numId w:val="1"/>
      </w:numPr>
      <w:tabs>
        <w:tab w:val="clear" w:pos="1361"/>
      </w:tabs>
    </w:pPr>
  </w:style>
  <w:style w:type="paragraph" w:styleId="ListBullet5">
    <w:name w:val="List Bullet 5"/>
    <w:basedOn w:val="List5"/>
    <w:rsid w:val="00B06E16"/>
    <w:pPr>
      <w:numPr>
        <w:numId w:val="2"/>
      </w:numPr>
    </w:pPr>
  </w:style>
  <w:style w:type="paragraph" w:styleId="ListContinue2">
    <w:name w:val="List Continue 2"/>
    <w:basedOn w:val="List2"/>
    <w:rsid w:val="00B06E16"/>
    <w:pPr>
      <w:ind w:firstLine="0"/>
    </w:pPr>
  </w:style>
  <w:style w:type="paragraph" w:styleId="ListContinue3">
    <w:name w:val="List Continue 3"/>
    <w:basedOn w:val="List3"/>
    <w:rsid w:val="00B06E16"/>
    <w:pPr>
      <w:ind w:left="1021" w:firstLine="0"/>
    </w:pPr>
  </w:style>
  <w:style w:type="paragraph" w:styleId="ListContinue4">
    <w:name w:val="List Continue 4"/>
    <w:basedOn w:val="List4"/>
    <w:rsid w:val="00B06E16"/>
    <w:pPr>
      <w:ind w:firstLine="0"/>
    </w:pPr>
  </w:style>
  <w:style w:type="paragraph" w:styleId="ListContinue5">
    <w:name w:val="List Continue 5"/>
    <w:basedOn w:val="List5"/>
    <w:rsid w:val="00B06E16"/>
    <w:pPr>
      <w:ind w:firstLine="0"/>
    </w:pPr>
  </w:style>
  <w:style w:type="paragraph" w:styleId="ListNumber3">
    <w:name w:val="List Number 3"/>
    <w:basedOn w:val="List3"/>
    <w:rsid w:val="00B06E16"/>
    <w:pPr>
      <w:numPr>
        <w:numId w:val="3"/>
      </w:numPr>
    </w:pPr>
  </w:style>
  <w:style w:type="paragraph" w:styleId="ListNumber4">
    <w:name w:val="List Number 4"/>
    <w:basedOn w:val="List4"/>
    <w:rsid w:val="00B06E16"/>
    <w:pPr>
      <w:numPr>
        <w:numId w:val="4"/>
      </w:numPr>
    </w:pPr>
  </w:style>
  <w:style w:type="paragraph" w:styleId="ListNumber5">
    <w:name w:val="List Number 5"/>
    <w:basedOn w:val="List5"/>
    <w:rsid w:val="00B06E16"/>
    <w:pPr>
      <w:numPr>
        <w:numId w:val="5"/>
      </w:numPr>
    </w:pPr>
  </w:style>
  <w:style w:type="paragraph" w:styleId="BlockText">
    <w:name w:val="Block Text"/>
    <w:basedOn w:val="Normal"/>
    <w:rsid w:val="00B06E16"/>
    <w:pPr>
      <w:spacing w:after="120"/>
      <w:ind w:left="1440" w:right="1440"/>
    </w:pPr>
  </w:style>
  <w:style w:type="character" w:customStyle="1" w:styleId="Subscript">
    <w:name w:val="Subscript"/>
    <w:basedOn w:val="DefaultParagraphFont"/>
    <w:rsid w:val="00B06E16"/>
    <w:rPr>
      <w:sz w:val="16"/>
      <w:vertAlign w:val="subscript"/>
    </w:rPr>
  </w:style>
  <w:style w:type="character" w:customStyle="1" w:styleId="Superscript">
    <w:name w:val="Superscript"/>
    <w:basedOn w:val="DefaultParagraphFont"/>
    <w:rsid w:val="00B06E16"/>
    <w:rPr>
      <w:sz w:val="16"/>
      <w:vertAlign w:val="superscript"/>
    </w:rPr>
  </w:style>
  <w:style w:type="character" w:customStyle="1" w:styleId="Symbols">
    <w:name w:val="Symbols"/>
    <w:basedOn w:val="DefaultParagraphFont"/>
    <w:rsid w:val="00B06E16"/>
    <w:rPr>
      <w:rFonts w:ascii="Symbol" w:hAnsi="Symbol"/>
    </w:rPr>
  </w:style>
  <w:style w:type="character" w:customStyle="1" w:styleId="MenuOptions">
    <w:name w:val="Menu Options"/>
    <w:basedOn w:val="DefaultParagraphFont"/>
    <w:rsid w:val="00B06E16"/>
    <w:rPr>
      <w:rFonts w:ascii="Arial Narrow" w:hAnsi="Arial Narrow"/>
      <w:smallCaps/>
    </w:rPr>
  </w:style>
  <w:style w:type="character" w:customStyle="1" w:styleId="Buttons">
    <w:name w:val="Buttons"/>
    <w:basedOn w:val="DefaultParagraphFont"/>
    <w:rsid w:val="00B06E16"/>
    <w:rPr>
      <w:b/>
    </w:rPr>
  </w:style>
  <w:style w:type="character" w:customStyle="1" w:styleId="Underlined">
    <w:name w:val="Underlined"/>
    <w:basedOn w:val="DefaultParagraphFont"/>
    <w:rsid w:val="00B06E16"/>
    <w:rPr>
      <w:u w:val="single"/>
    </w:rPr>
  </w:style>
  <w:style w:type="paragraph" w:customStyle="1" w:styleId="TableBodyTextRight">
    <w:name w:val="Table Body Text Right"/>
    <w:basedOn w:val="TableBodyText"/>
    <w:rsid w:val="00B06E16"/>
    <w:pPr>
      <w:widowControl w:val="0"/>
      <w:autoSpaceDE w:val="0"/>
      <w:autoSpaceDN w:val="0"/>
      <w:adjustRightInd w:val="0"/>
      <w:jc w:val="right"/>
    </w:pPr>
    <w:rPr>
      <w:rFonts w:cs="Arial"/>
      <w:szCs w:val="18"/>
    </w:rPr>
  </w:style>
  <w:style w:type="paragraph" w:customStyle="1" w:styleId="CopyrightText">
    <w:name w:val="Copyright Text"/>
    <w:basedOn w:val="BodyText"/>
    <w:rsid w:val="00B06E16"/>
    <w:rPr>
      <w:sz w:val="18"/>
    </w:rPr>
  </w:style>
  <w:style w:type="paragraph" w:customStyle="1" w:styleId="BodySmallRight">
    <w:name w:val="Body Small Right"/>
    <w:basedOn w:val="BodyTextRight"/>
    <w:rsid w:val="00B06E16"/>
    <w:rPr>
      <w:sz w:val="18"/>
      <w:szCs w:val="18"/>
    </w:rPr>
  </w:style>
  <w:style w:type="paragraph" w:customStyle="1" w:styleId="MarginEdition">
    <w:name w:val="Margin Edition"/>
    <w:basedOn w:val="MarginNote"/>
    <w:rsid w:val="00B06E16"/>
    <w:pPr>
      <w:spacing w:before="0" w:after="0"/>
    </w:pPr>
    <w:rPr>
      <w:rFonts w:ascii="Times New Roman" w:hAnsi="Times New Roman"/>
      <w:color w:val="999999"/>
    </w:rPr>
  </w:style>
  <w:style w:type="paragraph" w:customStyle="1" w:styleId="Spacer">
    <w:name w:val="Spacer"/>
    <w:basedOn w:val="Normal"/>
    <w:rsid w:val="00B06E16"/>
    <w:rPr>
      <w:sz w:val="2"/>
      <w:szCs w:val="2"/>
    </w:rPr>
  </w:style>
  <w:style w:type="character" w:customStyle="1" w:styleId="Small">
    <w:name w:val="Small"/>
    <w:basedOn w:val="DefaultParagraphFont"/>
    <w:rsid w:val="00B06E16"/>
    <w:rPr>
      <w:sz w:val="16"/>
    </w:rPr>
  </w:style>
  <w:style w:type="paragraph" w:customStyle="1" w:styleId="WideTable">
    <w:name w:val="Wide Table"/>
    <w:basedOn w:val="Normal"/>
    <w:rsid w:val="00B06E16"/>
    <w:pPr>
      <w:ind w:left="-1418"/>
    </w:pPr>
    <w:rPr>
      <w:sz w:val="2"/>
      <w:szCs w:val="2"/>
    </w:rPr>
  </w:style>
  <w:style w:type="character" w:styleId="PageNumber">
    <w:name w:val="page number"/>
    <w:basedOn w:val="DefaultParagraphFont"/>
    <w:rsid w:val="00B06E16"/>
  </w:style>
  <w:style w:type="paragraph" w:styleId="Quote">
    <w:name w:val="Quote"/>
    <w:basedOn w:val="Heading1"/>
    <w:link w:val="QuoteChar"/>
    <w:qFormat/>
    <w:rsid w:val="00B06E16"/>
    <w:rPr>
      <w:b w:val="0"/>
      <w:sz w:val="72"/>
      <w:szCs w:val="72"/>
      <w:lang w:val="en-NZ"/>
    </w:rPr>
  </w:style>
  <w:style w:type="character" w:customStyle="1" w:styleId="QuoteChar">
    <w:name w:val="Quote Char"/>
    <w:basedOn w:val="DefaultParagraphFont"/>
    <w:link w:val="Quote"/>
    <w:rsid w:val="00B06E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6E16"/>
    <w:pPr>
      <w:pageBreakBefore/>
    </w:pPr>
  </w:style>
  <w:style w:type="paragraph" w:customStyle="1" w:styleId="Border">
    <w:name w:val="Border"/>
    <w:basedOn w:val="Normal"/>
    <w:qFormat/>
    <w:rsid w:val="00B06E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6E16"/>
    <w:rPr>
      <w:b/>
      <w:bCs/>
      <w:i/>
      <w:iCs/>
      <w:color w:val="auto"/>
    </w:rPr>
  </w:style>
  <w:style w:type="paragraph" w:styleId="IntenseQuote">
    <w:name w:val="Intense Quote"/>
    <w:basedOn w:val="Normal"/>
    <w:next w:val="Normal"/>
    <w:link w:val="IntenseQuoteChar"/>
    <w:uiPriority w:val="30"/>
    <w:qFormat/>
    <w:rsid w:val="00B06E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6E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6E16"/>
    <w:rPr>
      <w:smallCaps/>
      <w:color w:val="auto"/>
      <w:u w:val="single"/>
    </w:rPr>
  </w:style>
  <w:style w:type="character" w:styleId="IntenseReference">
    <w:name w:val="Intense Reference"/>
    <w:basedOn w:val="DefaultParagraphFont"/>
    <w:uiPriority w:val="32"/>
    <w:qFormat/>
    <w:rsid w:val="00B06E16"/>
    <w:rPr>
      <w:b/>
      <w:bCs/>
      <w:smallCaps/>
      <w:color w:val="auto"/>
      <w:spacing w:val="5"/>
      <w:u w:val="single"/>
    </w:rPr>
  </w:style>
  <w:style w:type="paragraph" w:customStyle="1" w:styleId="2ColumnHeading">
    <w:name w:val="2Column Heading"/>
    <w:basedOn w:val="BodyText"/>
    <w:qFormat/>
    <w:rsid w:val="00B06E16"/>
    <w:pPr>
      <w:spacing w:after="60"/>
      <w:ind w:left="-2268"/>
    </w:pPr>
    <w:rPr>
      <w:b/>
    </w:rPr>
  </w:style>
  <w:style w:type="paragraph" w:customStyle="1" w:styleId="Heading1TOC">
    <w:name w:val="Heading1 TOC"/>
    <w:basedOn w:val="Normal"/>
    <w:qFormat/>
    <w:rsid w:val="00B06E16"/>
    <w:pPr>
      <w:spacing w:before="240" w:after="120"/>
    </w:pPr>
    <w:rPr>
      <w:rFonts w:ascii="Times New Roman" w:hAnsi="Times New Roman"/>
      <w:b/>
      <w:sz w:val="32"/>
    </w:rPr>
  </w:style>
  <w:style w:type="paragraph" w:customStyle="1" w:styleId="Heading2TOC">
    <w:name w:val="Heading2 TOC"/>
    <w:basedOn w:val="Normal"/>
    <w:qFormat/>
    <w:rsid w:val="00B06E16"/>
    <w:pPr>
      <w:spacing w:before="240" w:after="60"/>
    </w:pPr>
    <w:rPr>
      <w:rFonts w:ascii="Times New Roman" w:hAnsi="Times New Roman"/>
      <w:b/>
      <w:sz w:val="28"/>
    </w:rPr>
  </w:style>
  <w:style w:type="character" w:customStyle="1" w:styleId="Underline">
    <w:name w:val="Underline"/>
    <w:basedOn w:val="DefaultParagraphFont"/>
    <w:qFormat/>
    <w:rsid w:val="00B06E16"/>
    <w:rPr>
      <w:u w:val="single"/>
    </w:rPr>
  </w:style>
  <w:style w:type="character" w:customStyle="1" w:styleId="BoldandItalics">
    <w:name w:val="Bold and Italics"/>
    <w:qFormat/>
    <w:rsid w:val="00B06E16"/>
    <w:rPr>
      <w:b/>
      <w:i/>
      <w:u w:val="none"/>
    </w:rPr>
  </w:style>
  <w:style w:type="paragraph" w:styleId="BalloonText">
    <w:name w:val="Balloon Text"/>
    <w:basedOn w:val="Normal"/>
    <w:link w:val="BalloonTextChar"/>
    <w:rsid w:val="00B06E16"/>
    <w:rPr>
      <w:rFonts w:ascii="Tahoma" w:hAnsi="Tahoma" w:cs="Tahoma"/>
      <w:sz w:val="16"/>
      <w:szCs w:val="16"/>
    </w:rPr>
  </w:style>
  <w:style w:type="character" w:customStyle="1" w:styleId="BalloonTextChar">
    <w:name w:val="Balloon Text Char"/>
    <w:basedOn w:val="DefaultParagraphFont"/>
    <w:link w:val="BalloonText"/>
    <w:rsid w:val="00B06E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6E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6E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6E16"/>
    <w:rPr>
      <w:b/>
      <w:color w:val="660033"/>
      <w:spacing w:val="0"/>
    </w:rPr>
  </w:style>
  <w:style w:type="paragraph" w:customStyle="1" w:styleId="Nameditemlist">
    <w:name w:val="Named item list"/>
    <w:basedOn w:val="BodyText"/>
    <w:qFormat/>
    <w:rsid w:val="00B06E16"/>
    <w:pPr>
      <w:tabs>
        <w:tab w:val="left" w:pos="2835"/>
      </w:tabs>
      <w:ind w:left="2835" w:hanging="2835"/>
    </w:pPr>
  </w:style>
  <w:style w:type="paragraph" w:customStyle="1" w:styleId="BodyTextnopadding">
    <w:name w:val="Body Text no padding"/>
    <w:basedOn w:val="BodyText"/>
    <w:qFormat/>
    <w:rsid w:val="00B06E16"/>
    <w:pPr>
      <w:spacing w:before="0" w:after="0"/>
    </w:pPr>
  </w:style>
  <w:style w:type="paragraph" w:customStyle="1" w:styleId="BodyTextBold">
    <w:name w:val="Body Text Bold"/>
    <w:basedOn w:val="BodyText"/>
    <w:qFormat/>
    <w:rsid w:val="00B06E16"/>
    <w:rPr>
      <w:b/>
    </w:rPr>
  </w:style>
  <w:style w:type="character" w:styleId="Hyperlink">
    <w:name w:val="Hyperlink"/>
    <w:basedOn w:val="DefaultParagraphFont"/>
    <w:uiPriority w:val="99"/>
    <w:unhideWhenUsed/>
    <w:rsid w:val="002E72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663</Words>
  <Characters>4039</Characters>
  <Application>Microsoft Office Word</Application>
  <DocSecurity>0</DocSecurity>
  <Lines>201</Lines>
  <Paragraphs>97</Paragraphs>
  <ScaleCrop>false</ScaleCrop>
  <Company>Author-it Software Corporation Ltd.</Company>
  <LinksUpToDate>false</LinksUpToDate>
  <CharactersWithSpaces>4605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DEFDPL015 Address complex legal and ethical issues in a Defence environment</dc:title>
  <dc:subject>Approved</dc:subject>
  <dc:creator>Public Skills Australia</dc:creator>
  <cp:keywords>Release: 1</cp:keywords>
  <dc:description>Review Date: 12 April 2008</dc:description>
  <cp:lastModifiedBy>HSD_TPCMSd.prod</cp:lastModifiedBy>
  <cp:revision>3</cp:revision>
  <dcterms:created xsi:type="dcterms:W3CDTF">2024-11-07T12:10:00Z</dcterms:created>
  <dcterms:modified xsi:type="dcterms:W3CDTF">2024-11-07T12:10:00Z</dcterms:modified>
</cp:coreProperties>
</file>