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129E" w:rsidP="0024129E">
      <w:pPr>
        <w:pStyle w:val="Title"/>
      </w:pPr>
      <w:r>
        <w:fldChar w:fldCharType="begin"/>
      </w:r>
      <w:r>
        <w:instrText xml:space="preserve"> TITLE   \* MERGEFORMAT </w:instrText>
      </w:r>
      <w:r>
        <w:fldChar w:fldCharType="separate"/>
      </w:r>
      <w:r>
        <w:t>DEF52215 Diploma of Explosive</w:t>
      </w:r>
      <w:r>
        <w:t xml:space="preserve"> Ordnance Manufacture</w:t>
      </w:r>
      <w:r>
        <w:fldChar w:fldCharType="end"/>
      </w:r>
    </w:p>
    <w:p w:rsidR="0024129E" w:rsidP="0024129E">
      <w:pPr>
        <w:pStyle w:val="Version"/>
        <w:sectPr w:rsidSect="00C32D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2DAC" w:rsidP="00C32DAC">
      <w:pPr>
        <w:pStyle w:val="SuperHeading"/>
      </w:pPr>
      <w:r w:rsidRPr="00C32DAC">
        <w:t>DEF52215 Diploma of Explosive Ordnance Manufacture</w:t>
      </w:r>
    </w:p>
    <w:p w:rsidR="00000000" w:rsidRPr="00C32DAC" w:rsidP="00C32DAC">
      <w:pPr>
        <w:pStyle w:val="Heading1"/>
      </w:pPr>
      <w:bookmarkStart w:id="1" w:name="O_747046"/>
      <w:bookmarkEnd w:id="1"/>
      <w:r w:rsidRPr="00C32DAC">
        <w:t>Modification History</w:t>
      </w:r>
    </w:p>
    <w:tbl>
      <w:tblPr>
        <w:tblW w:w="0" w:type="auto"/>
        <w:tblLayout w:type="fixed"/>
        <w:tblCellMar>
          <w:left w:w="62" w:type="dxa"/>
          <w:right w:w="62" w:type="dxa"/>
        </w:tblCellMar>
        <w:tblLook w:val="0000"/>
      </w:tblPr>
      <w:tblGrid>
        <w:gridCol w:w="1134"/>
        <w:gridCol w:w="7937"/>
      </w:tblGrid>
      <w:tr w:rsidTr="0024129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DAC">
            <w:pPr>
              <w:pStyle w:val="TableHeading"/>
              <w:rPr>
                <w:lang w:val="en-NZ"/>
              </w:rPr>
            </w:pPr>
            <w:r w:rsidRPr="00C32DA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DAC">
            <w:pPr>
              <w:pStyle w:val="TableHeading"/>
              <w:rPr>
                <w:lang w:val="en-NZ"/>
              </w:rPr>
            </w:pPr>
            <w:r w:rsidRPr="00C32DAC">
              <w:t>Comments</w:t>
            </w:r>
          </w:p>
        </w:tc>
      </w:tr>
      <w:tr w:rsidTr="0024129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DAC">
            <w:pPr>
              <w:pStyle w:val="BodyText"/>
              <w:rPr>
                <w:lang w:val="en-NZ"/>
              </w:rPr>
            </w:pPr>
            <w:r w:rsidRPr="00C32DA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DAC" w:rsidP="00C32DAC">
            <w:pPr>
              <w:pStyle w:val="BodyText"/>
            </w:pPr>
            <w:r w:rsidRPr="00C32DAC">
              <w:t xml:space="preserve">This qualification was released in DEF Defence Training Package release 1.0 and meets the Standards for Training Packages. </w:t>
            </w:r>
          </w:p>
          <w:p w:rsidR="00000000" w:rsidRPr="00C32DAC" w:rsidP="00C32DAC">
            <w:pPr>
              <w:pStyle w:val="BodyText"/>
            </w:pPr>
          </w:p>
          <w:p w:rsidR="00000000" w:rsidRPr="00C32DAC" w:rsidP="00C32DAC">
            <w:pPr>
              <w:pStyle w:val="BodyText"/>
            </w:pPr>
            <w:r w:rsidRPr="00C32DAC">
              <w:t>This qualification supersedes and is equivalent to DEF51312 Diploma of Explosive O</w:t>
            </w:r>
            <w:r w:rsidRPr="00C32DAC">
              <w:t>rdnance Manufacture.</w:t>
            </w:r>
          </w:p>
          <w:p w:rsidR="00000000" w:rsidRPr="00C32DAC" w:rsidP="00C32DAC">
            <w:pPr>
              <w:pStyle w:val="BodyText"/>
            </w:pPr>
          </w:p>
          <w:p w:rsidR="00000000" w:rsidRPr="00C32DAC" w:rsidP="00C32DAC">
            <w:pPr>
              <w:pStyle w:val="ListBullet"/>
            </w:pPr>
            <w:r w:rsidRPr="00C32DAC">
              <w:t>DEF unit codes updated</w:t>
            </w:r>
          </w:p>
          <w:p w:rsidR="00000000" w:rsidRPr="00C32DAC" w:rsidP="00C32DAC">
            <w:pPr>
              <w:pStyle w:val="ListBullet"/>
            </w:pPr>
            <w:r w:rsidRPr="00C32DAC">
              <w:t>Imported units updated</w:t>
            </w:r>
          </w:p>
          <w:p w:rsidR="00000000" w:rsidRPr="00C32DAC" w:rsidP="00C32DAC">
            <w:pPr>
              <w:pStyle w:val="ListBullet"/>
            </w:pPr>
            <w:r w:rsidRPr="00C32DAC">
              <w:t>DEFEO210C removed</w:t>
            </w:r>
          </w:p>
          <w:p w:rsidR="00000000" w:rsidRPr="00C32DAC" w:rsidP="00C32DAC">
            <w:pPr>
              <w:pStyle w:val="ListBullet"/>
            </w:pPr>
            <w:r w:rsidRPr="00C32DAC">
              <w:t>DEFGEN026 added to electives</w:t>
            </w:r>
          </w:p>
        </w:tc>
      </w:tr>
    </w:tbl>
    <w:p w:rsidR="00000000" w:rsidRPr="00C32DAC" w:rsidP="00C32DAC">
      <w:pPr>
        <w:pStyle w:val="BodyText"/>
      </w:pPr>
    </w:p>
    <w:p w:rsidR="00000000" w:rsidRPr="00C32DAC" w:rsidP="00C32DAC">
      <w:pPr>
        <w:pStyle w:val="AllowPageBreak"/>
      </w:pPr>
    </w:p>
    <w:p w:rsidR="00000000" w:rsidRPr="00C32DAC" w:rsidP="00C32DAC">
      <w:pPr>
        <w:pStyle w:val="Heading1"/>
      </w:pPr>
      <w:bookmarkStart w:id="2" w:name="O_747047"/>
      <w:bookmarkEnd w:id="2"/>
      <w:r w:rsidRPr="00C32DAC">
        <w:t>Qualification Description</w:t>
      </w:r>
    </w:p>
    <w:p w:rsidR="00000000" w:rsidRPr="00C32DAC" w:rsidP="00C32DAC">
      <w:pPr>
        <w:pStyle w:val="BodyText"/>
      </w:pPr>
      <w:r w:rsidRPr="00C32DAC">
        <w:t>This qualification allows for the attainment of competencies in explosive ordnance manufacture.</w:t>
      </w:r>
    </w:p>
    <w:p w:rsidR="00000000" w:rsidRPr="00C32DAC" w:rsidP="00C32DAC">
      <w:pPr>
        <w:pStyle w:val="BodyText"/>
      </w:pPr>
    </w:p>
    <w:p w:rsidR="00000000" w:rsidRPr="00C32DAC" w:rsidP="00C32DAC">
      <w:pPr>
        <w:pStyle w:val="BodyText"/>
      </w:pPr>
      <w:r w:rsidRPr="00C32DAC">
        <w:t>No licensing, legislative or certification requirements apply to this qualification at the time of publication.</w:t>
      </w:r>
    </w:p>
    <w:p w:rsidR="00000000" w:rsidRPr="00C32DAC" w:rsidP="00C32DAC">
      <w:pPr>
        <w:pStyle w:val="AllowPageBreak"/>
      </w:pPr>
    </w:p>
    <w:p w:rsidR="00000000" w:rsidRPr="00C32DAC" w:rsidP="00C32DAC">
      <w:pPr>
        <w:pStyle w:val="Heading1"/>
      </w:pPr>
      <w:bookmarkStart w:id="3" w:name="O_747049"/>
      <w:bookmarkEnd w:id="3"/>
      <w:r w:rsidRPr="00C32DAC">
        <w:t>Packaging Rules</w:t>
      </w:r>
    </w:p>
    <w:p w:rsidR="00000000" w:rsidRPr="00C32DAC" w:rsidP="00C32DAC">
      <w:pPr>
        <w:pStyle w:val="BodyText"/>
      </w:pPr>
      <w:r w:rsidRPr="00C32DAC">
        <w:t>16 units of competency are required for this qualification:</w:t>
      </w:r>
    </w:p>
    <w:p w:rsidR="00000000" w:rsidRPr="00C32DAC" w:rsidP="00C32DAC">
      <w:pPr>
        <w:pStyle w:val="ListBullet"/>
      </w:pPr>
      <w:r w:rsidRPr="00C32DAC">
        <w:t>4 core units</w:t>
      </w:r>
    </w:p>
    <w:p w:rsidR="00000000" w:rsidRPr="00C32DAC" w:rsidP="00C32DAC">
      <w:pPr>
        <w:pStyle w:val="ListBullet"/>
      </w:pPr>
      <w:r w:rsidRPr="00C32DAC">
        <w:t>12 elective units</w:t>
      </w:r>
    </w:p>
    <w:p w:rsidR="00000000" w:rsidRPr="00C32DAC" w:rsidP="00C32DAC">
      <w:pPr>
        <w:pStyle w:val="BodyText"/>
      </w:pPr>
    </w:p>
    <w:p w:rsidR="00000000" w:rsidRPr="00C32DAC" w:rsidP="00C32DAC">
      <w:pPr>
        <w:pStyle w:val="BodyText"/>
      </w:pPr>
      <w:r w:rsidRPr="00C32DAC">
        <w:t>Choo</w:t>
      </w:r>
      <w:r w:rsidRPr="00C32DAC">
        <w:t>se a minimum of 10 electives from the list below, of which at least 5 must be taken from Group A.</w:t>
      </w:r>
    </w:p>
    <w:p w:rsidR="00000000" w:rsidRPr="00C32DAC" w:rsidP="00C32DAC">
      <w:pPr>
        <w:pStyle w:val="BodyText"/>
      </w:pPr>
    </w:p>
    <w:p w:rsidR="00000000" w:rsidRPr="00C32DAC" w:rsidP="00C32DAC">
      <w:pPr>
        <w:pStyle w:val="BodyText"/>
      </w:pPr>
      <w:r w:rsidRPr="00C32DAC">
        <w:t>Choose the remaining 2 electives from the list below or from elsewhere within this training package, or from another endorsed training package, or from an ac</w:t>
      </w:r>
      <w:r w:rsidRPr="00C32DAC">
        <w:t xml:space="preserve">credited course. </w:t>
      </w:r>
    </w:p>
    <w:p w:rsidR="00000000" w:rsidRPr="00C32DAC" w:rsidP="00C32DAC">
      <w:pPr>
        <w:pStyle w:val="BodyText"/>
      </w:pPr>
    </w:p>
    <w:p w:rsidR="00000000" w:rsidRPr="00C32DAC" w:rsidP="00C32DAC">
      <w:pPr>
        <w:pStyle w:val="BodyText"/>
      </w:pPr>
      <w:r w:rsidRPr="00C32DAC">
        <w:t>All elective units selected from outside this qualification must reflect the occupational and learning outcomes of this AQF qualification level. Seek further advice on selecting imported units of competency in the DEF Implementation Guid</w:t>
      </w:r>
      <w:r w:rsidRPr="00C32DAC">
        <w:t>e.</w:t>
      </w:r>
    </w:p>
    <w:p w:rsidR="00000000" w:rsidRPr="00C32DAC" w:rsidP="00C32DAC">
      <w:pPr>
        <w:pStyle w:val="BodyText"/>
      </w:pPr>
    </w:p>
    <w:p w:rsidR="00000000" w:rsidRPr="00C32DAC" w:rsidP="00C32DAC">
      <w:pPr>
        <w:pStyle w:val="BodyText"/>
      </w:pPr>
      <w:r w:rsidRPr="00C32DAC">
        <w:t xml:space="preserve">Where a prerequisite unit is attached to an elective unit it is identified by this symbol </w:t>
      </w:r>
      <w:r w:rsidRPr="00C32DAC">
        <w:t>∟</w:t>
      </w:r>
      <w:r w:rsidRPr="00C32DAC">
        <w:t>.</w:t>
      </w:r>
    </w:p>
    <w:p w:rsidR="00000000" w:rsidRPr="00C32DAC" w:rsidP="00C32DAC">
      <w:pPr>
        <w:pStyle w:val="BodyText"/>
      </w:pPr>
    </w:p>
    <w:p w:rsidR="00000000" w:rsidRPr="00C32DAC" w:rsidP="00C32DAC">
      <w:pPr>
        <w:pStyle w:val="BodyText"/>
      </w:pPr>
      <w:r w:rsidRPr="00C32DAC">
        <w:t>The prerequisite units attached to any of the elective units must be undertaken and are additional to the number of elective units required for the qualificat</w:t>
      </w:r>
      <w:r w:rsidRPr="00C32DAC">
        <w:t>ion.</w:t>
      </w:r>
    </w:p>
    <w:p w:rsidR="00000000" w:rsidRPr="00C32DAC" w:rsidP="00C32DAC">
      <w:pPr>
        <w:pStyle w:val="BodyText"/>
      </w:pPr>
    </w:p>
    <w:p w:rsidR="00000000" w:rsidRPr="00C32DAC" w:rsidP="00C32DAC">
      <w:pPr>
        <w:pStyle w:val="BodyText"/>
      </w:pPr>
      <w:r w:rsidRPr="00C32DAC">
        <w:rPr>
          <w:rStyle w:val="SpecialBold"/>
        </w:rPr>
        <w:t>Elective units selected must not duplicate content already covered by other units in this qualification.</w:t>
      </w:r>
    </w:p>
    <w:tbl>
      <w:tblPr>
        <w:tblW w:w="0" w:type="auto"/>
        <w:tblLayout w:type="fixed"/>
        <w:tblCellMar>
          <w:left w:w="62" w:type="dxa"/>
          <w:right w:w="62" w:type="dxa"/>
        </w:tblCellMar>
        <w:tblLook w:val="0000"/>
      </w:tblPr>
      <w:tblGrid>
        <w:gridCol w:w="2160"/>
        <w:gridCol w:w="6973"/>
      </w:tblGrid>
      <w:tr w:rsidTr="00C32DAC">
        <w:tblPrEx>
          <w:tblW w:w="0" w:type="auto"/>
          <w:tblLayout w:type="fixed"/>
          <w:tblCellMar>
            <w:left w:w="62" w:type="dxa"/>
            <w:right w:w="62" w:type="dxa"/>
          </w:tblCellMar>
          <w:tblLook w:val="0000"/>
        </w:tblPrEx>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rPr>
                <w:rStyle w:val="SpecialBold"/>
              </w:rPr>
              <w:t>Core units</w:t>
            </w:r>
          </w:p>
        </w:tc>
      </w:tr>
      <w:tr w:rsidTr="00C32DA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DEFEXO001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Work safely with explosive ordnance</w:t>
            </w:r>
          </w:p>
        </w:tc>
      </w:tr>
      <w:tr w:rsidTr="00C32DA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BSBWHS501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Ensure a safe workplace</w:t>
            </w:r>
          </w:p>
        </w:tc>
      </w:tr>
      <w:tr w:rsidTr="00C32DA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MSAPMOHS210B</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Undertake first response to non-fire incidents</w:t>
            </w:r>
          </w:p>
        </w:tc>
      </w:tr>
      <w:tr w:rsidTr="00C32DA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TLID1001A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Shift materials safely using manual handling methods</w:t>
            </w:r>
          </w:p>
        </w:tc>
      </w:tr>
      <w:tr w:rsidTr="00C32DAC">
        <w:tblPrEx>
          <w:tblW w:w="0" w:type="auto"/>
          <w:tblLayout w:type="fixed"/>
          <w:tblCellMar>
            <w:left w:w="62" w:type="dxa"/>
            <w:right w:w="62" w:type="dxa"/>
          </w:tblCellMar>
          <w:tblLook w:val="0000"/>
        </w:tblPrEx>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rPr>
                <w:rStyle w:val="SpecialBold"/>
              </w:rPr>
              <w:t>Group A: Specialisation units</w:t>
            </w:r>
          </w:p>
        </w:tc>
      </w:tr>
      <w:tr w:rsidTr="00C32DA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DEFEXO070</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Conduct technical explosive investigations</w:t>
            </w:r>
          </w:p>
        </w:tc>
      </w:tr>
      <w:tr w:rsidTr="00C32DA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DEFGEN026</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Manage engineering and logistic operations</w:t>
            </w:r>
          </w:p>
        </w:tc>
      </w:tr>
      <w:tr w:rsidTr="00C32DA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DEFEXO082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Apply a knowledge of explosives</w:t>
            </w:r>
          </w:p>
        </w:tc>
      </w:tr>
      <w:tr w:rsidTr="00C32DA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DEFEXO067</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License facilities and potential explosive sites</w:t>
            </w:r>
          </w:p>
        </w:tc>
      </w:tr>
      <w:tr w:rsidTr="00C32DA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DEFEXO122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Plan explosive trials</w:t>
            </w:r>
          </w:p>
        </w:tc>
      </w:tr>
      <w:tr w:rsidTr="00C32DA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DEFEXO123</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Conduct explosive trials</w:t>
            </w:r>
          </w:p>
        </w:tc>
      </w:tr>
      <w:tr w:rsidTr="00C32DA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DEFEXO124</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Perform explosive tests, measurements and analyses</w:t>
            </w:r>
          </w:p>
        </w:tc>
      </w:tr>
      <w:tr w:rsidTr="00C32DA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DEFEXO128</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Conduct expl</w:t>
            </w:r>
            <w:r w:rsidRPr="00C32DAC">
              <w:t>osive firings</w:t>
            </w:r>
          </w:p>
        </w:tc>
      </w:tr>
      <w:tr w:rsidTr="00C32DA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DEFEXO129</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Develop unique explosives</w:t>
            </w:r>
          </w:p>
        </w:tc>
      </w:tr>
      <w:tr w:rsidTr="00C32DA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DEFEXO125</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Determine the properties of explosives</w:t>
            </w:r>
          </w:p>
        </w:tc>
      </w:tr>
      <w:tr w:rsidTr="00C32DA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DEFEXO083</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Apply explosive ordnance design principles</w:t>
            </w:r>
          </w:p>
        </w:tc>
      </w:tr>
      <w:tr w:rsidTr="00C32DA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MSAPMOPS401A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Trial new process or product</w:t>
            </w:r>
          </w:p>
        </w:tc>
      </w:tr>
      <w:tr w:rsidTr="00C32DA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PMASUP540B</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Analyse equipment performance</w:t>
            </w:r>
          </w:p>
        </w:tc>
      </w:tr>
      <w:tr w:rsidTr="00C32DA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PUAEMR022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Establish context for emergency risk assessment</w:t>
            </w:r>
          </w:p>
        </w:tc>
      </w:tr>
      <w:tr w:rsidTr="00C32DA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PUAEMR023</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2DAC" w:rsidP="00C32DAC">
            <w:pPr>
              <w:pStyle w:val="BodyText"/>
            </w:pPr>
            <w:r w:rsidRPr="00C32DAC">
              <w:t>Assess emergency risk</w:t>
            </w:r>
          </w:p>
          <w:p w:rsidR="00000000" w:rsidP="00C32DAC">
            <w:pPr>
              <w:pStyle w:val="BodyText"/>
              <w:rPr>
                <w:lang w:val="en-NZ"/>
              </w:rPr>
            </w:pPr>
            <w:r w:rsidRPr="00C32DAC">
              <w:t>∟</w:t>
            </w:r>
            <w:r w:rsidRPr="00C32DAC">
              <w:t>PUAEMR022 Establish context for emergency risk assessment</w:t>
            </w:r>
          </w:p>
        </w:tc>
      </w:tr>
      <w:tr w:rsidTr="00C32DA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PUAEMR024</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Develop treatment options for emergency risk</w:t>
            </w:r>
          </w:p>
        </w:tc>
      </w:tr>
      <w:tr w:rsidTr="00C32DA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PUAEMR025</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Manage risk treatment implementation</w:t>
            </w:r>
          </w:p>
        </w:tc>
      </w:tr>
      <w:tr w:rsidTr="00C32DA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PUAEMR026</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2DAC" w:rsidP="00C32DAC">
            <w:pPr>
              <w:pStyle w:val="BodyText"/>
            </w:pPr>
            <w:r w:rsidRPr="00C32DAC">
              <w:t>Treat operational risk</w:t>
            </w:r>
          </w:p>
          <w:p w:rsidR="00000000" w:rsidP="00C32DAC">
            <w:pPr>
              <w:pStyle w:val="BodyText"/>
              <w:rPr>
                <w:lang w:val="en-NZ"/>
              </w:rPr>
            </w:pPr>
            <w:r w:rsidRPr="00C32DAC">
              <w:t>∟</w:t>
            </w:r>
            <w:r w:rsidRPr="00C32DAC">
              <w:t>PUAEMR027 Assess operational risk</w:t>
            </w:r>
          </w:p>
        </w:tc>
      </w:tr>
      <w:tr w:rsidTr="00C32DA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PUAEMR027</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Assess operational risk</w:t>
            </w:r>
          </w:p>
        </w:tc>
      </w:tr>
      <w:tr w:rsidTr="00C32DA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PUAEMR030</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Manage and evaluate emergency management exercises</w:t>
            </w:r>
          </w:p>
        </w:tc>
      </w:tr>
      <w:tr w:rsidTr="00C32DA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 xml:space="preserve">PUAEMR031 </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Design emergency management exercises</w:t>
            </w:r>
          </w:p>
        </w:tc>
      </w:tr>
      <w:tr w:rsidTr="00C32DAC">
        <w:tblPrEx>
          <w:tblW w:w="0" w:type="auto"/>
          <w:tblLayout w:type="fixed"/>
          <w:tblCellMar>
            <w:left w:w="62" w:type="dxa"/>
            <w:right w:w="62" w:type="dxa"/>
          </w:tblCellMar>
          <w:tblLook w:val="0000"/>
        </w:tblPrEx>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rPr>
                <w:rStyle w:val="SpecialBold"/>
              </w:rPr>
              <w:t>Group B: General elective units</w:t>
            </w:r>
          </w:p>
        </w:tc>
      </w:tr>
      <w:tr w:rsidTr="00C32DA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DEFEXO002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Respond to fire</w:t>
            </w:r>
          </w:p>
        </w:tc>
      </w:tr>
      <w:tr w:rsidTr="00C32DA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DEFEXO081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Apply a knowledge of the service environment</w:t>
            </w:r>
          </w:p>
        </w:tc>
      </w:tr>
      <w:tr w:rsidTr="00C32DA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BSBMGT502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Manage people performance</w:t>
            </w:r>
          </w:p>
        </w:tc>
      </w:tr>
      <w:tr w:rsidTr="00C32DA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BSBMGT517</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Manage operational plan</w:t>
            </w:r>
          </w:p>
        </w:tc>
      </w:tr>
      <w:tr w:rsidTr="00C32DA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BSBMGT516</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Facilitate continuous improvement</w:t>
            </w:r>
          </w:p>
        </w:tc>
      </w:tr>
      <w:tr w:rsidTr="00C32DA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BSBSUS301A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 xml:space="preserve">Implement and monitor environmentally sustainable work </w:t>
            </w:r>
            <w:r w:rsidRPr="00C32DAC">
              <w:t>practices</w:t>
            </w:r>
          </w:p>
        </w:tc>
      </w:tr>
      <w:tr w:rsidTr="00C32DA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BSBWOR501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Manage personal work priorities and professional development</w:t>
            </w:r>
          </w:p>
        </w:tc>
      </w:tr>
      <w:tr w:rsidTr="00C32DA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BSBWOR502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Ensure team effectiveness</w:t>
            </w:r>
          </w:p>
        </w:tc>
      </w:tr>
      <w:tr w:rsidTr="00C32DA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MSS405002A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Analyse and map a value stream</w:t>
            </w:r>
          </w:p>
        </w:tc>
      </w:tr>
      <w:tr w:rsidTr="00C32DA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MSS405003A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Manage a value stream</w:t>
            </w:r>
          </w:p>
        </w:tc>
      </w:tr>
      <w:tr w:rsidTr="00C32DA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MSS405021A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Develop a Just in Time system</w:t>
            </w:r>
          </w:p>
        </w:tc>
      </w:tr>
      <w:tr w:rsidTr="00C32DA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MSS405030A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Optimise cost of a product or service</w:t>
            </w:r>
          </w:p>
        </w:tc>
      </w:tr>
      <w:tr w:rsidTr="00C32DA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MSS405031A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Undertake value analysis of product or process cost in terms of customer requirements</w:t>
            </w:r>
          </w:p>
        </w:tc>
      </w:tr>
      <w:tr w:rsidTr="00C32DA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MSS015002A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Develop strategies for more sustainable use of resources</w:t>
            </w:r>
          </w:p>
        </w:tc>
      </w:tr>
      <w:tr w:rsidTr="00C32DA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MSS404052A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Apply statistics to processes in manufacturing</w:t>
            </w:r>
          </w:p>
        </w:tc>
      </w:tr>
      <w:tr w:rsidTr="00C32DA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MSS405001A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Develop competitive systems and practices for an organisation</w:t>
            </w:r>
          </w:p>
        </w:tc>
      </w:tr>
      <w:tr w:rsidTr="00C32DA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MSS405004A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Develop business plans in an organisation implementing competitive systems and practices</w:t>
            </w:r>
          </w:p>
        </w:tc>
      </w:tr>
      <w:tr w:rsidTr="00C32DA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MSS405020A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Develop quick changeov</w:t>
            </w:r>
            <w:r w:rsidRPr="00C32DAC">
              <w:t>er procedures</w:t>
            </w:r>
          </w:p>
        </w:tc>
      </w:tr>
      <w:tr w:rsidTr="00C32DA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MSS405040A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Manage 5S system in an organisation</w:t>
            </w:r>
          </w:p>
        </w:tc>
      </w:tr>
      <w:tr w:rsidTr="00C32DA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MSS405050A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2DAC" w:rsidP="00C32DAC">
            <w:pPr>
              <w:pStyle w:val="BodyText"/>
            </w:pPr>
            <w:r w:rsidRPr="00C32DAC">
              <w:t>Determine and improve process capability</w:t>
            </w:r>
          </w:p>
          <w:p w:rsidR="00000000" w:rsidP="00C32DAC">
            <w:pPr>
              <w:pStyle w:val="BodyText"/>
              <w:rPr>
                <w:lang w:val="en-NZ"/>
              </w:rPr>
            </w:pPr>
            <w:r w:rsidRPr="00C32DAC">
              <w:t>∟</w:t>
            </w:r>
            <w:r w:rsidRPr="00C32DAC">
              <w:t xml:space="preserve"> MSS404052A Apply statistics to processes in manufacturing</w:t>
            </w:r>
          </w:p>
        </w:tc>
      </w:tr>
      <w:tr w:rsidTr="00C32DA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MSS405060A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Develop the application of enterprise control systems in an organisat</w:t>
            </w:r>
            <w:r w:rsidRPr="00C32DAC">
              <w:t>ion</w:t>
            </w:r>
          </w:p>
        </w:tc>
      </w:tr>
      <w:tr w:rsidTr="00C32DA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MSS405061A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Determine and establish information collection requirements and processes</w:t>
            </w:r>
          </w:p>
        </w:tc>
      </w:tr>
      <w:tr w:rsidTr="00C32DA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MSS405070A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Develop and manage sustainable energy practices</w:t>
            </w:r>
          </w:p>
        </w:tc>
      </w:tr>
      <w:tr w:rsidTr="00C32DA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MSS405075A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2DAC" w:rsidP="00C32DAC">
            <w:pPr>
              <w:pStyle w:val="BodyText"/>
            </w:pPr>
            <w:r w:rsidRPr="00C32DAC">
              <w:t>Facilitate the development of a new product</w:t>
            </w:r>
          </w:p>
          <w:p w:rsidR="00000000" w:rsidP="00C32DAC">
            <w:pPr>
              <w:pStyle w:val="BodyText"/>
              <w:rPr>
                <w:lang w:val="en-NZ"/>
              </w:rPr>
            </w:pPr>
            <w:r w:rsidRPr="00C32DAC">
              <w:t>∟</w:t>
            </w:r>
            <w:r w:rsidRPr="00C32DAC">
              <w:t xml:space="preserve"> MSS404052A Apply statistics to processes in manufacturing</w:t>
            </w:r>
          </w:p>
        </w:tc>
      </w:tr>
      <w:tr w:rsidTr="00C32DA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MSS405081A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Develop a proactive maintenance strategy</w:t>
            </w:r>
          </w:p>
        </w:tc>
      </w:tr>
      <w:tr w:rsidTr="00C32DA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PUACOM002B</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Provide services to clients</w:t>
            </w:r>
          </w:p>
        </w:tc>
      </w:tr>
      <w:tr w:rsidTr="00C32DA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PUACOM007B</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Liaise with other organisations</w:t>
            </w:r>
          </w:p>
        </w:tc>
      </w:tr>
      <w:tr w:rsidTr="00C32DA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PUATEA003B</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2DAC" w:rsidP="00C32DAC">
            <w:pPr>
              <w:pStyle w:val="BodyText"/>
            </w:pPr>
            <w:r w:rsidRPr="00C32DAC">
              <w:t>Lead, manage and develop teams</w:t>
            </w:r>
          </w:p>
        </w:tc>
      </w:tr>
    </w:tbl>
    <w:p w:rsidR="00000000" w:rsidRPr="00C32DAC" w:rsidP="00C32DAC">
      <w:pPr>
        <w:pStyle w:val="BodyText"/>
      </w:pPr>
    </w:p>
    <w:p w:rsidR="00000000" w:rsidRPr="00C32DAC" w:rsidP="00C32DAC">
      <w:pPr>
        <w:pStyle w:val="AllowPageBreak"/>
      </w:pPr>
    </w:p>
    <w:p w:rsidR="00000000" w:rsidRPr="00C32DAC" w:rsidP="00C32DAC">
      <w:pPr>
        <w:pStyle w:val="Heading1"/>
      </w:pPr>
      <w:bookmarkStart w:id="4" w:name="O_747050"/>
      <w:bookmarkEnd w:id="4"/>
      <w:r w:rsidRPr="00C32DAC">
        <w:t>Qualification Mapping Information</w:t>
      </w:r>
    </w:p>
    <w:tbl>
      <w:tblPr>
        <w:tblW w:w="0" w:type="auto"/>
        <w:tblLayout w:type="fixed"/>
        <w:tblCellMar>
          <w:left w:w="62" w:type="dxa"/>
          <w:right w:w="62" w:type="dxa"/>
        </w:tblCellMar>
        <w:tblLook w:val="0000"/>
      </w:tblPr>
      <w:tblGrid>
        <w:gridCol w:w="1191"/>
        <w:gridCol w:w="1701"/>
        <w:gridCol w:w="850"/>
        <w:gridCol w:w="1191"/>
        <w:gridCol w:w="1701"/>
        <w:gridCol w:w="2268"/>
      </w:tblGrid>
      <w:tr w:rsidTr="00C32DAC">
        <w:tblPrEx>
          <w:tblW w:w="0" w:type="auto"/>
          <w:tblLayout w:type="fixed"/>
          <w:tblCellMar>
            <w:left w:w="62" w:type="dxa"/>
            <w:right w:w="62" w:type="dxa"/>
          </w:tblCellMar>
          <w:tblLook w:val="0000"/>
        </w:tblPrEx>
        <w:tc>
          <w:tcPr>
            <w:tcW w:w="1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2DAC" w:rsidP="00C32DAC">
            <w:pPr>
              <w:pStyle w:val="BodyText"/>
            </w:pPr>
            <w:r w:rsidRPr="00C32DAC">
              <w:rPr>
                <w:rStyle w:val="SpecialBold"/>
              </w:rPr>
              <w:t>DEF12 V2 Code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2DAC" w:rsidP="00C32DAC">
            <w:pPr>
              <w:pStyle w:val="BodyText"/>
            </w:pPr>
            <w:r w:rsidRPr="00C32DAC">
              <w:rPr>
                <w:rStyle w:val="SpecialBold"/>
              </w:rPr>
              <w:t>DEF12 V2 Title</w:t>
            </w:r>
          </w:p>
        </w:tc>
        <w:tc>
          <w:tcPr>
            <w:tcW w:w="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2DAC" w:rsidP="00C32DAC">
            <w:pPr>
              <w:pStyle w:val="BodyText"/>
            </w:pPr>
            <w:r w:rsidRPr="00C32DAC">
              <w:rPr>
                <w:rStyle w:val="SpecialBold"/>
              </w:rPr>
              <w:t>E/NE</w:t>
            </w:r>
          </w:p>
        </w:tc>
        <w:tc>
          <w:tcPr>
            <w:tcW w:w="1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2DAC" w:rsidP="00C32DAC">
            <w:pPr>
              <w:pStyle w:val="BodyText"/>
            </w:pPr>
            <w:r w:rsidRPr="00C32DAC">
              <w:rPr>
                <w:rStyle w:val="SpecialBold"/>
              </w:rPr>
              <w:t>DEF Code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2DAC" w:rsidP="00C32DAC">
            <w:pPr>
              <w:pStyle w:val="BodyText"/>
            </w:pPr>
            <w:r w:rsidRPr="00C32DAC">
              <w:rPr>
                <w:rStyle w:val="SpecialBold"/>
              </w:rPr>
              <w:t>DEF Title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rPr>
                <w:rStyle w:val="SpecialBold"/>
              </w:rPr>
              <w:t>Comments</w:t>
            </w:r>
          </w:p>
        </w:tc>
      </w:tr>
      <w:tr w:rsidTr="00C32DAC">
        <w:tblPrEx>
          <w:tblW w:w="0" w:type="auto"/>
          <w:tblLayout w:type="fixed"/>
          <w:tblCellMar>
            <w:left w:w="62" w:type="dxa"/>
            <w:right w:w="62" w:type="dxa"/>
          </w:tblCellMar>
          <w:tblLook w:val="0000"/>
        </w:tblPrEx>
        <w:tc>
          <w:tcPr>
            <w:tcW w:w="1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DEF51312</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Diploma of Explosive Ordnance Manufacture</w:t>
            </w:r>
          </w:p>
        </w:tc>
        <w:tc>
          <w:tcPr>
            <w:tcW w:w="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E</w:t>
            </w:r>
          </w:p>
        </w:tc>
        <w:tc>
          <w:tcPr>
            <w:tcW w:w="1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DEF52215</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DAC">
            <w:pPr>
              <w:pStyle w:val="BodyText"/>
              <w:rPr>
                <w:lang w:val="en-NZ"/>
              </w:rPr>
            </w:pPr>
            <w:r w:rsidRPr="00C32DAC">
              <w:t>Diploma of Explosive Ordnance Manufacture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2DAC" w:rsidP="00C32DAC">
            <w:pPr>
              <w:pStyle w:val="ListBullet"/>
            </w:pPr>
            <w:r w:rsidRPr="00C32DAC">
              <w:t>DEF unit codes updated</w:t>
            </w:r>
          </w:p>
          <w:p w:rsidR="00000000" w:rsidRPr="00C32DAC" w:rsidP="00C32DAC">
            <w:pPr>
              <w:pStyle w:val="ListBullet"/>
            </w:pPr>
            <w:r w:rsidRPr="00C32DAC">
              <w:t>Imported units updated</w:t>
            </w:r>
          </w:p>
          <w:p w:rsidR="00000000" w:rsidRPr="00C32DAC" w:rsidP="00C32DAC">
            <w:pPr>
              <w:pStyle w:val="ListBullet"/>
            </w:pPr>
            <w:r w:rsidRPr="00C32DAC">
              <w:t>DEFEO210C removed</w:t>
            </w:r>
          </w:p>
          <w:p w:rsidR="00000000" w:rsidRPr="00C32DAC" w:rsidP="00C32DAC">
            <w:pPr>
              <w:pStyle w:val="ListBullet"/>
            </w:pPr>
            <w:r w:rsidRPr="00C32DAC">
              <w:t>DEFGEN026 added to electives</w:t>
            </w:r>
          </w:p>
        </w:tc>
      </w:tr>
    </w:tbl>
    <w:p w:rsidR="00000000" w:rsidRPr="00C32DAC" w:rsidP="00C32DAC">
      <w:pPr>
        <w:pStyle w:val="BodyText"/>
      </w:pPr>
    </w:p>
    <w:p w:rsidR="00000000" w:rsidRPr="00C32DAC" w:rsidP="00C32DAC">
      <w:pPr>
        <w:pStyle w:val="AllowPageBreak"/>
      </w:pPr>
    </w:p>
    <w:p w:rsidR="00000000" w:rsidRPr="00C32DAC" w:rsidP="00C32DAC">
      <w:pPr>
        <w:pStyle w:val="Heading1"/>
      </w:pPr>
      <w:bookmarkStart w:id="5" w:name="O_747052"/>
      <w:bookmarkEnd w:id="5"/>
      <w:r w:rsidRPr="00C32DAC">
        <w:t>Links</w:t>
      </w:r>
    </w:p>
    <w:p w:rsidR="00000000" w:rsidRPr="00C32DAC" w:rsidP="00C32DAC">
      <w:pPr>
        <w:pStyle w:val="BodyText"/>
      </w:pPr>
      <w:r w:rsidRPr="00C32DAC">
        <w:t>GSA website - http://www.govskills.com.au</w:t>
      </w:r>
    </w:p>
    <w:p w:rsidR="00000000" w:rsidRPr="00C32DAC" w:rsidP="00C32DAC">
      <w:pPr>
        <w:pStyle w:val="BodyText"/>
      </w:pPr>
      <w:r w:rsidRPr="00C32DAC">
        <w:t>Implementation Guide - http://www.govskills.com.au/guides/defence/implementation-guide</w:t>
      </w:r>
    </w:p>
    <w:p w:rsidR="00000000" w:rsidRPr="00C32DAC" w:rsidP="00C32DAC">
      <w:pPr>
        <w:pStyle w:val="BodyText"/>
      </w:pPr>
      <w:r w:rsidRPr="00C32DAC">
        <w:t>Foundation Skills Guide - http://www.govskills.com.au/g</w:t>
      </w:r>
      <w:r w:rsidRPr="00C32DAC">
        <w:t>uides/defence/foundation-skills-guide</w:t>
      </w:r>
    </w:p>
    <w:p w:rsidR="00000000" w:rsidRPr="00C32DAC" w:rsidP="00C32DAC"/>
    <w:sectPr w:rsidSect="00C32D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D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DAC" w:rsidRPr="0024129E" w:rsidP="002412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D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29E" w:rsidP="00C32D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4129E" w:rsidP="00C32DAC">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Government Skills Australia</w:t>
    </w:r>
    <w:r>
      <w:fldChar w:fldCharType="end"/>
    </w:r>
  </w:p>
  <w:p w:rsidR="0024129E" w:rsidP="00C32D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D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DAC" w:rsidRPr="0024129E" w:rsidP="0024129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D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29E" w:rsidRPr="002D2AF8" w:rsidP="00C32DAC">
    <w:pPr>
      <w:pStyle w:val="Header"/>
      <w:framePr w:wrap="around"/>
    </w:pPr>
    <w:r>
      <w:fldChar w:fldCharType="begin"/>
    </w:r>
    <w:r>
      <w:instrText xml:space="preserve"> TITLE   \* MERGEFORMAT </w:instrText>
    </w:r>
    <w:r>
      <w:fldChar w:fldCharType="separate"/>
    </w:r>
    <w:r>
      <w:t>DEF52215 Diploma of Explosive Ordnance Manufacture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October 2015</w:t>
    </w:r>
    <w:r>
      <w:fldChar w:fldCharType="end"/>
    </w:r>
  </w:p>
  <w:p w:rsidR="0024129E" w:rsidP="00C32D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43EF7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088E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2D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2DAC"/>
    <w:pPr>
      <w:spacing w:before="360" w:after="60"/>
      <w:outlineLvl w:val="0"/>
    </w:pPr>
    <w:rPr>
      <w:sz w:val="32"/>
    </w:rPr>
  </w:style>
  <w:style w:type="paragraph" w:styleId="Heading2">
    <w:name w:val="heading 2"/>
    <w:basedOn w:val="HeadingBase"/>
    <w:next w:val="BodyText"/>
    <w:link w:val="Heading2Char"/>
    <w:qFormat/>
    <w:rsid w:val="00C32DAC"/>
    <w:pPr>
      <w:keepLines/>
      <w:spacing w:before="240" w:after="120"/>
      <w:outlineLvl w:val="1"/>
    </w:pPr>
    <w:rPr>
      <w:sz w:val="28"/>
      <w:szCs w:val="40"/>
    </w:rPr>
  </w:style>
  <w:style w:type="paragraph" w:styleId="Heading3">
    <w:name w:val="heading 3"/>
    <w:basedOn w:val="HeadingBase"/>
    <w:next w:val="BodyText"/>
    <w:link w:val="Heading3Char"/>
    <w:qFormat/>
    <w:rsid w:val="00C32DAC"/>
    <w:pPr>
      <w:spacing w:before="180" w:after="120"/>
      <w:outlineLvl w:val="2"/>
    </w:pPr>
    <w:rPr>
      <w:spacing w:val="-10"/>
      <w:kern w:val="32"/>
    </w:rPr>
  </w:style>
  <w:style w:type="paragraph" w:styleId="Heading4">
    <w:name w:val="heading 4"/>
    <w:basedOn w:val="HeadingBase"/>
    <w:next w:val="BodyText"/>
    <w:link w:val="Heading4Char"/>
    <w:qFormat/>
    <w:rsid w:val="00C32DAC"/>
    <w:pPr>
      <w:spacing w:before="160" w:after="120"/>
      <w:outlineLvl w:val="3"/>
    </w:pPr>
    <w:rPr>
      <w:sz w:val="22"/>
    </w:rPr>
  </w:style>
  <w:style w:type="paragraph" w:styleId="Heading5">
    <w:name w:val="heading 5"/>
    <w:basedOn w:val="HeadingBase"/>
    <w:next w:val="Normal"/>
    <w:link w:val="Heading5Char"/>
    <w:qFormat/>
    <w:rsid w:val="00C32DAC"/>
    <w:pPr>
      <w:spacing w:before="80"/>
      <w:outlineLvl w:val="4"/>
    </w:pPr>
    <w:rPr>
      <w:color w:val="918585"/>
      <w:sz w:val="20"/>
    </w:rPr>
  </w:style>
  <w:style w:type="paragraph" w:styleId="Heading6">
    <w:name w:val="heading 6"/>
    <w:basedOn w:val="HeadingBase"/>
    <w:next w:val="Normal"/>
    <w:link w:val="Heading6Char"/>
    <w:qFormat/>
    <w:rsid w:val="00C32DAC"/>
    <w:pPr>
      <w:spacing w:before="60"/>
      <w:outlineLvl w:val="5"/>
    </w:pPr>
    <w:rPr>
      <w:color w:val="918585"/>
      <w:sz w:val="20"/>
    </w:rPr>
  </w:style>
  <w:style w:type="paragraph" w:styleId="Heading7">
    <w:name w:val="heading 7"/>
    <w:basedOn w:val="Normal"/>
    <w:next w:val="Normal"/>
    <w:link w:val="Heading7Char"/>
    <w:qFormat/>
    <w:rsid w:val="00C32DAC"/>
    <w:pPr>
      <w:ind w:left="720"/>
      <w:outlineLvl w:val="6"/>
    </w:pPr>
    <w:rPr>
      <w:i/>
    </w:rPr>
  </w:style>
  <w:style w:type="paragraph" w:styleId="Heading8">
    <w:name w:val="heading 8"/>
    <w:basedOn w:val="Normal"/>
    <w:next w:val="Normal"/>
    <w:link w:val="Heading8Char"/>
    <w:qFormat/>
    <w:rsid w:val="00C32DAC"/>
    <w:pPr>
      <w:ind w:left="720"/>
      <w:outlineLvl w:val="7"/>
    </w:pPr>
    <w:rPr>
      <w:i/>
    </w:rPr>
  </w:style>
  <w:style w:type="paragraph" w:styleId="Heading9">
    <w:name w:val="heading 9"/>
    <w:basedOn w:val="Normal"/>
    <w:next w:val="Normal"/>
    <w:link w:val="Heading9Char"/>
    <w:qFormat/>
    <w:rsid w:val="00C32DAC"/>
    <w:pPr>
      <w:ind w:left="720"/>
      <w:outlineLvl w:val="8"/>
    </w:pPr>
    <w:rPr>
      <w:i/>
    </w:rPr>
  </w:style>
  <w:style w:type="character" w:default="1" w:styleId="DefaultParagraphFont">
    <w:name w:val="Default Paragraph Font"/>
    <w:uiPriority w:val="1"/>
    <w:unhideWhenUsed/>
    <w:rsid w:val="00C32D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2DAC"/>
  </w:style>
  <w:style w:type="character" w:customStyle="1" w:styleId="Heading1Char">
    <w:name w:val="Heading 1 Char"/>
    <w:basedOn w:val="DefaultParagraphFont"/>
    <w:link w:val="Heading1"/>
    <w:rsid w:val="00C32DAC"/>
    <w:rPr>
      <w:rFonts w:ascii="Times New Roman" w:eastAsia="Times New Roman" w:hAnsi="Times New Roman" w:cs="Times New Roman"/>
      <w:b/>
      <w:sz w:val="32"/>
      <w:szCs w:val="20"/>
      <w:lang w:eastAsia="en-US"/>
    </w:rPr>
  </w:style>
  <w:style w:type="paragraph" w:styleId="BodyText">
    <w:name w:val="Body Text"/>
    <w:basedOn w:val="Normal"/>
    <w:link w:val="BodyTextChar"/>
    <w:rsid w:val="00C32DA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2DAC"/>
    <w:rPr>
      <w:rFonts w:ascii="Times New Roman" w:eastAsia="Times New Roman" w:hAnsi="Times New Roman" w:cs="Times New Roman"/>
      <w:sz w:val="24"/>
      <w:lang w:eastAsia="en-US"/>
    </w:rPr>
  </w:style>
  <w:style w:type="paragraph" w:styleId="ListBullet">
    <w:name w:val="List Bullet"/>
    <w:basedOn w:val="List"/>
    <w:rsid w:val="00C32DAC"/>
    <w:pPr>
      <w:numPr>
        <w:numId w:val="12"/>
      </w:numPr>
      <w:tabs>
        <w:tab w:val="clear" w:pos="340"/>
      </w:tabs>
      <w:spacing w:before="40" w:after="40"/>
    </w:pPr>
  </w:style>
  <w:style w:type="character" w:customStyle="1" w:styleId="SpecialBold">
    <w:name w:val="Special Bold"/>
    <w:basedOn w:val="DefaultParagraphFont"/>
    <w:rsid w:val="00C32DAC"/>
    <w:rPr>
      <w:b/>
      <w:spacing w:val="0"/>
    </w:rPr>
  </w:style>
  <w:style w:type="paragraph" w:customStyle="1" w:styleId="SuperHeading">
    <w:name w:val="SuperHeading"/>
    <w:basedOn w:val="Normal"/>
    <w:rsid w:val="00C32DAC"/>
    <w:pPr>
      <w:spacing w:before="240" w:after="120"/>
      <w:outlineLvl w:val="0"/>
    </w:pPr>
    <w:rPr>
      <w:rFonts w:ascii="Times New Roman" w:hAnsi="Times New Roman"/>
      <w:b/>
      <w:sz w:val="32"/>
    </w:rPr>
  </w:style>
  <w:style w:type="paragraph" w:customStyle="1" w:styleId="TableHeading">
    <w:name w:val="Table Heading"/>
    <w:basedOn w:val="HeadingBase"/>
    <w:rsid w:val="00C32DAC"/>
    <w:pPr>
      <w:keepLines/>
      <w:pBdr>
        <w:bottom w:val="single" w:sz="6" w:space="1" w:color="918585"/>
      </w:pBdr>
      <w:spacing w:before="240"/>
    </w:pPr>
  </w:style>
  <w:style w:type="paragraph" w:customStyle="1" w:styleId="AllowPageBreak">
    <w:name w:val="AllowPageBreak"/>
    <w:rsid w:val="00C32D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2D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2D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2D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2D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2D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2D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2D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2DAC"/>
    <w:rPr>
      <w:rFonts w:ascii="Courier New" w:eastAsia="Times New Roman" w:hAnsi="Courier New" w:cs="Times New Roman"/>
      <w:i/>
      <w:szCs w:val="20"/>
      <w:lang w:eastAsia="en-US"/>
    </w:rPr>
  </w:style>
  <w:style w:type="paragraph" w:customStyle="1" w:styleId="HeadingBase">
    <w:name w:val="Heading Base"/>
    <w:rsid w:val="00C32D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2DAC"/>
    <w:pPr>
      <w:tabs>
        <w:tab w:val="right" w:leader="dot" w:pos="9072"/>
      </w:tabs>
      <w:ind w:left="567"/>
    </w:pPr>
    <w:rPr>
      <w:szCs w:val="22"/>
    </w:rPr>
  </w:style>
  <w:style w:type="paragraph" w:customStyle="1" w:styleId="TOCBase">
    <w:name w:val="TOC Base"/>
    <w:rsid w:val="00C32D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2DAC"/>
    <w:pPr>
      <w:tabs>
        <w:tab w:val="right" w:leader="dot" w:pos="9072"/>
      </w:tabs>
      <w:spacing w:before="40" w:after="40"/>
      <w:ind w:left="284"/>
    </w:pPr>
    <w:rPr>
      <w:rFonts w:ascii="Times New Roman" w:hAnsi="Times New Roman"/>
    </w:rPr>
  </w:style>
  <w:style w:type="paragraph" w:styleId="TOC1">
    <w:name w:val="toc 1"/>
    <w:basedOn w:val="TOCBase"/>
    <w:next w:val="Normal"/>
    <w:rsid w:val="00C32D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2D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2DAC"/>
    <w:rPr>
      <w:rFonts w:ascii="Times New Roman" w:eastAsia="Times New Roman" w:hAnsi="Times New Roman" w:cs="Times New Roman"/>
      <w:sz w:val="16"/>
      <w:lang w:eastAsia="en-US"/>
    </w:rPr>
  </w:style>
  <w:style w:type="paragraph" w:styleId="Title">
    <w:name w:val="Title"/>
    <w:basedOn w:val="HeadingBase"/>
    <w:link w:val="TitleChar"/>
    <w:qFormat/>
    <w:rsid w:val="00C32DAC"/>
    <w:pPr>
      <w:spacing w:before="5040"/>
      <w:jc w:val="center"/>
    </w:pPr>
    <w:rPr>
      <w:sz w:val="48"/>
      <w:szCs w:val="72"/>
      <w:lang w:val="en-US"/>
    </w:rPr>
  </w:style>
  <w:style w:type="character" w:customStyle="1" w:styleId="TitleChar">
    <w:name w:val="Title Char"/>
    <w:basedOn w:val="DefaultParagraphFont"/>
    <w:link w:val="Title"/>
    <w:rsid w:val="00C32D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2DAC"/>
    <w:pPr>
      <w:tabs>
        <w:tab w:val="left" w:pos="3600"/>
        <w:tab w:val="left" w:pos="3958"/>
      </w:tabs>
    </w:pPr>
  </w:style>
  <w:style w:type="paragraph" w:styleId="List">
    <w:name w:val="List"/>
    <w:basedOn w:val="BodyText"/>
    <w:next w:val="BodyText"/>
    <w:rsid w:val="00C32DAC"/>
    <w:pPr>
      <w:tabs>
        <w:tab w:val="left" w:pos="340"/>
      </w:tabs>
      <w:spacing w:before="60" w:after="60"/>
      <w:ind w:left="340" w:hanging="340"/>
    </w:pPr>
  </w:style>
  <w:style w:type="paragraph" w:customStyle="1" w:styleId="Note">
    <w:name w:val="Note"/>
    <w:basedOn w:val="BodyText"/>
    <w:rsid w:val="00C32D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2DAC"/>
    <w:pPr>
      <w:framePr w:wrap="auto" w:hAnchor="text" w:y="6049"/>
    </w:pPr>
    <w:rPr>
      <w:color w:val="000000"/>
      <w:sz w:val="40"/>
    </w:rPr>
  </w:style>
  <w:style w:type="paragraph" w:customStyle="1" w:styleId="TOCTitle">
    <w:name w:val="TOCTitle"/>
    <w:basedOn w:val="Heading1"/>
    <w:rsid w:val="00C32DAC"/>
    <w:pPr>
      <w:spacing w:after="240"/>
      <w:jc w:val="center"/>
      <w:outlineLvl w:val="9"/>
    </w:pPr>
    <w:rPr>
      <w:caps/>
    </w:rPr>
  </w:style>
  <w:style w:type="paragraph" w:customStyle="1" w:styleId="Version">
    <w:name w:val="Version"/>
    <w:rsid w:val="00C32D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2DAC"/>
    <w:pPr>
      <w:numPr>
        <w:numId w:val="13"/>
      </w:numPr>
      <w:tabs>
        <w:tab w:val="clear" w:pos="680"/>
      </w:tabs>
    </w:pPr>
  </w:style>
  <w:style w:type="paragraph" w:styleId="Index1">
    <w:name w:val="index 1"/>
    <w:basedOn w:val="Normal"/>
    <w:next w:val="Normal"/>
    <w:semiHidden/>
    <w:rsid w:val="00C32DAC"/>
    <w:pPr>
      <w:keepNext w:val="0"/>
      <w:tabs>
        <w:tab w:val="right" w:pos="4176"/>
      </w:tabs>
      <w:ind w:left="198" w:hanging="198"/>
    </w:pPr>
    <w:rPr>
      <w:rFonts w:ascii="Garamond" w:hAnsi="Garamond"/>
    </w:rPr>
  </w:style>
  <w:style w:type="paragraph" w:styleId="IndexHeading">
    <w:name w:val="index heading"/>
    <w:basedOn w:val="Normal"/>
    <w:next w:val="Index1"/>
    <w:semiHidden/>
    <w:rsid w:val="00C32DAC"/>
    <w:pPr>
      <w:spacing w:before="120" w:after="120"/>
    </w:pPr>
    <w:rPr>
      <w:rFonts w:ascii="Arial" w:hAnsi="Arial"/>
      <w:b/>
      <w:color w:val="918585"/>
      <w:sz w:val="24"/>
    </w:rPr>
  </w:style>
  <w:style w:type="paragraph" w:styleId="Header">
    <w:name w:val="header"/>
    <w:basedOn w:val="Normal"/>
    <w:link w:val="HeaderChar"/>
    <w:rsid w:val="00C32D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2DAC"/>
    <w:rPr>
      <w:rFonts w:ascii="Times New Roman" w:eastAsia="Times New Roman" w:hAnsi="Times New Roman" w:cs="Times New Roman"/>
      <w:sz w:val="16"/>
      <w:szCs w:val="20"/>
      <w:lang w:val="en-GB" w:eastAsia="en-US"/>
    </w:rPr>
  </w:style>
  <w:style w:type="paragraph" w:customStyle="1" w:styleId="Chapter">
    <w:name w:val="Chapter"/>
    <w:basedOn w:val="Normal"/>
    <w:rsid w:val="00C32DAC"/>
    <w:pPr>
      <w:spacing w:before="240"/>
    </w:pPr>
    <w:rPr>
      <w:rFonts w:ascii="Times New Roman" w:hAnsi="Times New Roman"/>
      <w:smallCaps/>
      <w:spacing w:val="80"/>
      <w:sz w:val="28"/>
    </w:rPr>
  </w:style>
  <w:style w:type="paragraph" w:customStyle="1" w:styleId="InChapter">
    <w:name w:val="InChapter"/>
    <w:basedOn w:val="Heading3"/>
    <w:rsid w:val="00C32DAC"/>
    <w:pPr>
      <w:spacing w:after="240"/>
      <w:outlineLvl w:val="9"/>
    </w:pPr>
    <w:rPr>
      <w:noProof/>
    </w:rPr>
  </w:style>
  <w:style w:type="paragraph" w:styleId="Index2">
    <w:name w:val="index 2"/>
    <w:basedOn w:val="Normal"/>
    <w:next w:val="Normal"/>
    <w:semiHidden/>
    <w:rsid w:val="00C32DAC"/>
    <w:pPr>
      <w:tabs>
        <w:tab w:val="right" w:pos="4176"/>
      </w:tabs>
      <w:ind w:left="568" w:hanging="284"/>
    </w:pPr>
    <w:rPr>
      <w:rFonts w:ascii="Garamond" w:hAnsi="Garamond"/>
    </w:rPr>
  </w:style>
  <w:style w:type="paragraph" w:customStyle="1" w:styleId="Byline">
    <w:name w:val="Byline"/>
    <w:rsid w:val="00C32D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2DAC"/>
    <w:pPr>
      <w:tabs>
        <w:tab w:val="clear" w:pos="3600"/>
        <w:tab w:val="clear" w:pos="3958"/>
      </w:tabs>
      <w:jc w:val="right"/>
    </w:pPr>
  </w:style>
  <w:style w:type="character" w:styleId="Emphasis">
    <w:name w:val="Emphasis"/>
    <w:basedOn w:val="DefaultParagraphFont"/>
    <w:qFormat/>
    <w:rsid w:val="00C32DAC"/>
    <w:rPr>
      <w:i/>
    </w:rPr>
  </w:style>
  <w:style w:type="paragraph" w:styleId="Caption">
    <w:name w:val="caption"/>
    <w:basedOn w:val="BodyText"/>
    <w:next w:val="Normal"/>
    <w:qFormat/>
    <w:rsid w:val="00C32DAC"/>
    <w:pPr>
      <w:framePr w:w="2268" w:hSpace="181" w:vSpace="181" w:wrap="around" w:vAnchor="text" w:hAnchor="page" w:x="1135" w:y="285" w:anchorLock="1"/>
    </w:pPr>
    <w:rPr>
      <w:i/>
    </w:rPr>
  </w:style>
  <w:style w:type="paragraph" w:customStyle="1" w:styleId="MiniTOCTitle">
    <w:name w:val="MiniTOCTitle"/>
    <w:basedOn w:val="Heading4"/>
    <w:rsid w:val="00C32DAC"/>
    <w:pPr>
      <w:spacing w:before="240"/>
      <w:outlineLvl w:val="9"/>
    </w:pPr>
    <w:rPr>
      <w:noProof/>
      <w:sz w:val="24"/>
    </w:rPr>
  </w:style>
  <w:style w:type="paragraph" w:customStyle="1" w:styleId="MiniTOCItem">
    <w:name w:val="MiniTOCItem"/>
    <w:basedOn w:val="ListBullet"/>
    <w:rsid w:val="00C32DAC"/>
    <w:pPr>
      <w:numPr>
        <w:numId w:val="0"/>
      </w:numPr>
      <w:tabs>
        <w:tab w:val="right" w:leader="dot" w:pos="6521"/>
      </w:tabs>
      <w:spacing w:before="0" w:after="0"/>
    </w:pPr>
  </w:style>
  <w:style w:type="paragraph" w:customStyle="1" w:styleId="TOFTitle">
    <w:name w:val="TOFTitle"/>
    <w:basedOn w:val="TOCTitle"/>
    <w:rsid w:val="00C32DAC"/>
  </w:style>
  <w:style w:type="paragraph" w:styleId="TableofFigures">
    <w:name w:val="table of figures"/>
    <w:basedOn w:val="Normal"/>
    <w:next w:val="Normal"/>
    <w:semiHidden/>
    <w:rsid w:val="00C32DAC"/>
    <w:pPr>
      <w:tabs>
        <w:tab w:val="right" w:leader="dot" w:pos="9072"/>
      </w:tabs>
      <w:ind w:left="970" w:hanging="403"/>
    </w:pPr>
    <w:rPr>
      <w:rFonts w:ascii="Times New Roman" w:hAnsi="Times New Roman"/>
      <w:b/>
    </w:rPr>
  </w:style>
  <w:style w:type="paragraph" w:styleId="ListNumber">
    <w:name w:val="List Number"/>
    <w:basedOn w:val="List"/>
    <w:rsid w:val="00C32DAC"/>
    <w:pPr>
      <w:numPr>
        <w:numId w:val="10"/>
      </w:numPr>
    </w:pPr>
  </w:style>
  <w:style w:type="character" w:customStyle="1" w:styleId="WingdingSymbols">
    <w:name w:val="Wingding Symbols"/>
    <w:rsid w:val="00C32DAC"/>
    <w:rPr>
      <w:rFonts w:ascii="Wingdings" w:hAnsi="Wingdings"/>
    </w:rPr>
  </w:style>
  <w:style w:type="character" w:customStyle="1" w:styleId="HotSpot">
    <w:name w:val="HotSpot"/>
    <w:rsid w:val="00C32DAC"/>
    <w:rPr>
      <w:color w:val="0033CC"/>
      <w:u w:val="none"/>
    </w:rPr>
  </w:style>
  <w:style w:type="paragraph" w:customStyle="1" w:styleId="BodyTextRight">
    <w:name w:val="Body Text Right"/>
    <w:basedOn w:val="BodyText"/>
    <w:rsid w:val="00C32DAC"/>
    <w:pPr>
      <w:spacing w:before="0" w:after="0"/>
      <w:jc w:val="right"/>
    </w:pPr>
  </w:style>
  <w:style w:type="paragraph" w:styleId="Index3">
    <w:name w:val="index 3"/>
    <w:basedOn w:val="ListNumber2"/>
    <w:next w:val="Normal"/>
    <w:semiHidden/>
    <w:rsid w:val="00C32DAC"/>
    <w:pPr>
      <w:numPr>
        <w:numId w:val="0"/>
      </w:numPr>
      <w:tabs>
        <w:tab w:val="right" w:leader="dot" w:pos="4176"/>
      </w:tabs>
    </w:pPr>
  </w:style>
  <w:style w:type="paragraph" w:styleId="ListNumber2">
    <w:name w:val="List Number 2"/>
    <w:basedOn w:val="List2"/>
    <w:rsid w:val="00C32DAC"/>
    <w:pPr>
      <w:numPr>
        <w:numId w:val="9"/>
      </w:numPr>
      <w:tabs>
        <w:tab w:val="clear" w:pos="1060"/>
      </w:tabs>
    </w:pPr>
  </w:style>
  <w:style w:type="paragraph" w:customStyle="1" w:styleId="MarginNote">
    <w:name w:val="Margin Note"/>
    <w:basedOn w:val="BodyText"/>
    <w:rsid w:val="00C32D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2D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2D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2DAC"/>
    <w:rPr>
      <w:sz w:val="32"/>
    </w:rPr>
  </w:style>
  <w:style w:type="paragraph" w:customStyle="1" w:styleId="HeadingProcedure">
    <w:name w:val="Heading Procedure"/>
    <w:basedOn w:val="HeadingBase"/>
    <w:next w:val="Normal"/>
    <w:rsid w:val="00C32DAC"/>
    <w:pPr>
      <w:tabs>
        <w:tab w:val="left" w:pos="0"/>
      </w:tabs>
      <w:spacing w:before="120" w:after="60"/>
    </w:pPr>
    <w:rPr>
      <w:i/>
      <w:color w:val="918585"/>
      <w:sz w:val="22"/>
    </w:rPr>
  </w:style>
  <w:style w:type="paragraph" w:customStyle="1" w:styleId="TableBodyText">
    <w:name w:val="Table Body Text"/>
    <w:basedOn w:val="BodyText"/>
    <w:rsid w:val="00C32DAC"/>
    <w:pPr>
      <w:spacing w:before="60" w:after="60"/>
    </w:pPr>
  </w:style>
  <w:style w:type="paragraph" w:styleId="ListContinue">
    <w:name w:val="List Continue"/>
    <w:basedOn w:val="List"/>
    <w:rsid w:val="00C32DAC"/>
    <w:pPr>
      <w:ind w:firstLine="0"/>
    </w:pPr>
  </w:style>
  <w:style w:type="paragraph" w:customStyle="1" w:styleId="ListNote">
    <w:name w:val="List Note"/>
    <w:basedOn w:val="List"/>
    <w:rsid w:val="00C32DAC"/>
    <w:pPr>
      <w:pBdr>
        <w:top w:val="single" w:sz="6" w:space="2" w:color="918585"/>
        <w:bottom w:val="single" w:sz="6" w:space="2" w:color="918585"/>
      </w:pBdr>
      <w:tabs>
        <w:tab w:val="left" w:pos="1021"/>
      </w:tabs>
      <w:ind w:firstLine="0"/>
    </w:pPr>
  </w:style>
  <w:style w:type="paragraph" w:customStyle="1" w:styleId="Warning">
    <w:name w:val="Warning"/>
    <w:basedOn w:val="BodyText"/>
    <w:rsid w:val="00C32DAC"/>
    <w:pPr>
      <w:shd w:val="clear" w:color="auto" w:fill="D9D9D9"/>
      <w:tabs>
        <w:tab w:val="left" w:pos="992"/>
      </w:tabs>
      <w:ind w:left="119" w:right="119"/>
    </w:pPr>
    <w:rPr>
      <w:sz w:val="20"/>
    </w:rPr>
  </w:style>
  <w:style w:type="paragraph" w:customStyle="1" w:styleId="MarginIcons">
    <w:name w:val="Margin Icons"/>
    <w:basedOn w:val="BodyText"/>
    <w:rsid w:val="00C32D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2DAC"/>
    <w:rPr>
      <w:rFonts w:ascii="Courier New" w:hAnsi="Courier New"/>
    </w:rPr>
  </w:style>
  <w:style w:type="paragraph" w:customStyle="1" w:styleId="NoteBullet">
    <w:name w:val="Note Bullet"/>
    <w:basedOn w:val="Note"/>
    <w:rsid w:val="00C32DAC"/>
    <w:pPr>
      <w:tabs>
        <w:tab w:val="clear" w:pos="680"/>
      </w:tabs>
      <w:spacing w:before="60" w:after="60"/>
    </w:pPr>
  </w:style>
  <w:style w:type="paragraph" w:customStyle="1" w:styleId="SubHeading2">
    <w:name w:val="SubHeading2"/>
    <w:basedOn w:val="HeadingBase"/>
    <w:rsid w:val="00C32DAC"/>
    <w:pPr>
      <w:spacing w:before="240" w:after="60"/>
    </w:pPr>
    <w:rPr>
      <w:sz w:val="20"/>
    </w:rPr>
  </w:style>
  <w:style w:type="paragraph" w:customStyle="1" w:styleId="SubHeading1">
    <w:name w:val="SubHeading1"/>
    <w:basedOn w:val="HeadingBase"/>
    <w:rsid w:val="00C32DAC"/>
    <w:pPr>
      <w:spacing w:before="240" w:after="60"/>
    </w:pPr>
    <w:rPr>
      <w:color w:val="918585"/>
      <w:sz w:val="22"/>
    </w:rPr>
  </w:style>
  <w:style w:type="paragraph" w:customStyle="1" w:styleId="SideHeading">
    <w:name w:val="Side Heading"/>
    <w:basedOn w:val="HeadingBase"/>
    <w:rsid w:val="00C32D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2DAC"/>
    <w:pPr>
      <w:tabs>
        <w:tab w:val="num" w:pos="360"/>
      </w:tabs>
    </w:pPr>
  </w:style>
  <w:style w:type="paragraph" w:styleId="PlainText">
    <w:name w:val="Plain Text"/>
    <w:basedOn w:val="Normal"/>
    <w:link w:val="PlainTextChar"/>
    <w:rsid w:val="00C32DAC"/>
    <w:rPr>
      <w:sz w:val="20"/>
    </w:rPr>
  </w:style>
  <w:style w:type="character" w:customStyle="1" w:styleId="PlainTextChar">
    <w:name w:val="Plain Text Char"/>
    <w:basedOn w:val="DefaultParagraphFont"/>
    <w:link w:val="PlainText"/>
    <w:rsid w:val="00C32DAC"/>
    <w:rPr>
      <w:rFonts w:ascii="Courier New" w:eastAsia="Times New Roman" w:hAnsi="Courier New" w:cs="Times New Roman"/>
      <w:sz w:val="20"/>
      <w:szCs w:val="20"/>
      <w:lang w:eastAsia="en-US"/>
    </w:rPr>
  </w:style>
  <w:style w:type="character" w:customStyle="1" w:styleId="MenuOption">
    <w:name w:val="Menu Option"/>
    <w:basedOn w:val="DefaultParagraphFont"/>
    <w:rsid w:val="00C32DAC"/>
    <w:rPr>
      <w:b/>
      <w:smallCaps/>
    </w:rPr>
  </w:style>
  <w:style w:type="paragraph" w:customStyle="1" w:styleId="TableListNumber">
    <w:name w:val="Table List Number"/>
    <w:basedOn w:val="ListNumber"/>
    <w:rsid w:val="00C32DAC"/>
    <w:pPr>
      <w:numPr>
        <w:numId w:val="0"/>
      </w:numPr>
    </w:pPr>
  </w:style>
  <w:style w:type="paragraph" w:styleId="TOC4">
    <w:name w:val="toc 4"/>
    <w:basedOn w:val="TOCBase"/>
    <w:next w:val="Normal"/>
    <w:semiHidden/>
    <w:rsid w:val="00C32DAC"/>
    <w:pPr>
      <w:tabs>
        <w:tab w:val="right" w:leader="dot" w:pos="9071"/>
      </w:tabs>
      <w:ind w:left="1701"/>
    </w:pPr>
  </w:style>
  <w:style w:type="paragraph" w:customStyle="1" w:styleId="ListAlpha">
    <w:name w:val="List Alpha"/>
    <w:basedOn w:val="List"/>
    <w:rsid w:val="00C32DAC"/>
    <w:pPr>
      <w:numPr>
        <w:numId w:val="8"/>
      </w:numPr>
    </w:pPr>
  </w:style>
  <w:style w:type="paragraph" w:customStyle="1" w:styleId="ListAlpha2">
    <w:name w:val="List Alpha 2"/>
    <w:basedOn w:val="List2"/>
    <w:rsid w:val="00C32DAC"/>
    <w:pPr>
      <w:numPr>
        <w:numId w:val="7"/>
      </w:numPr>
    </w:pPr>
  </w:style>
  <w:style w:type="paragraph" w:styleId="List2">
    <w:name w:val="List 2"/>
    <w:basedOn w:val="BodyText"/>
    <w:rsid w:val="00C32DAC"/>
    <w:pPr>
      <w:tabs>
        <w:tab w:val="left" w:pos="680"/>
      </w:tabs>
      <w:spacing w:before="60" w:after="60"/>
      <w:ind w:left="680" w:hanging="340"/>
    </w:pPr>
  </w:style>
  <w:style w:type="paragraph" w:styleId="List3">
    <w:name w:val="List 3"/>
    <w:basedOn w:val="BodyText"/>
    <w:rsid w:val="00C32DAC"/>
    <w:pPr>
      <w:tabs>
        <w:tab w:val="left" w:pos="1021"/>
      </w:tabs>
      <w:spacing w:before="60" w:after="60"/>
      <w:ind w:left="1020" w:hanging="340"/>
    </w:pPr>
  </w:style>
  <w:style w:type="paragraph" w:styleId="List4">
    <w:name w:val="List 4"/>
    <w:basedOn w:val="BodyText"/>
    <w:rsid w:val="00C32DAC"/>
    <w:pPr>
      <w:tabs>
        <w:tab w:val="left" w:pos="1361"/>
      </w:tabs>
      <w:spacing w:before="60" w:after="60"/>
      <w:ind w:left="1361" w:hanging="340"/>
    </w:pPr>
  </w:style>
  <w:style w:type="paragraph" w:styleId="List5">
    <w:name w:val="List 5"/>
    <w:basedOn w:val="BodyText"/>
    <w:rsid w:val="00C32DAC"/>
    <w:pPr>
      <w:tabs>
        <w:tab w:val="left" w:pos="1701"/>
      </w:tabs>
      <w:spacing w:before="60" w:after="60"/>
      <w:ind w:left="1701" w:hanging="340"/>
    </w:pPr>
  </w:style>
  <w:style w:type="paragraph" w:styleId="ListBullet3">
    <w:name w:val="List Bullet 3"/>
    <w:basedOn w:val="List3"/>
    <w:rsid w:val="00C32DAC"/>
    <w:pPr>
      <w:numPr>
        <w:numId w:val="14"/>
      </w:numPr>
      <w:tabs>
        <w:tab w:val="clear" w:pos="1021"/>
      </w:tabs>
      <w:ind w:left="1037" w:hanging="357"/>
    </w:pPr>
  </w:style>
  <w:style w:type="paragraph" w:styleId="ListBullet4">
    <w:name w:val="List Bullet 4"/>
    <w:basedOn w:val="List4"/>
    <w:rsid w:val="00C32DAC"/>
    <w:pPr>
      <w:numPr>
        <w:numId w:val="2"/>
      </w:numPr>
      <w:tabs>
        <w:tab w:val="clear" w:pos="1361"/>
      </w:tabs>
    </w:pPr>
  </w:style>
  <w:style w:type="paragraph" w:styleId="ListBullet5">
    <w:name w:val="List Bullet 5"/>
    <w:basedOn w:val="List5"/>
    <w:rsid w:val="00C32DAC"/>
    <w:pPr>
      <w:numPr>
        <w:numId w:val="3"/>
      </w:numPr>
    </w:pPr>
  </w:style>
  <w:style w:type="paragraph" w:styleId="ListContinue2">
    <w:name w:val="List Continue 2"/>
    <w:basedOn w:val="List2"/>
    <w:rsid w:val="00C32DAC"/>
    <w:pPr>
      <w:ind w:firstLine="0"/>
    </w:pPr>
  </w:style>
  <w:style w:type="paragraph" w:styleId="ListContinue3">
    <w:name w:val="List Continue 3"/>
    <w:basedOn w:val="List3"/>
    <w:rsid w:val="00C32DAC"/>
    <w:pPr>
      <w:ind w:left="1021" w:firstLine="0"/>
    </w:pPr>
  </w:style>
  <w:style w:type="paragraph" w:styleId="ListContinue4">
    <w:name w:val="List Continue 4"/>
    <w:basedOn w:val="List4"/>
    <w:rsid w:val="00C32DAC"/>
    <w:pPr>
      <w:ind w:firstLine="0"/>
    </w:pPr>
  </w:style>
  <w:style w:type="paragraph" w:styleId="ListContinue5">
    <w:name w:val="List Continue 5"/>
    <w:basedOn w:val="List5"/>
    <w:rsid w:val="00C32DAC"/>
    <w:pPr>
      <w:ind w:firstLine="0"/>
    </w:pPr>
  </w:style>
  <w:style w:type="paragraph" w:styleId="ListNumber3">
    <w:name w:val="List Number 3"/>
    <w:basedOn w:val="List3"/>
    <w:rsid w:val="00C32DAC"/>
    <w:pPr>
      <w:numPr>
        <w:numId w:val="4"/>
      </w:numPr>
    </w:pPr>
  </w:style>
  <w:style w:type="paragraph" w:styleId="ListNumber4">
    <w:name w:val="List Number 4"/>
    <w:basedOn w:val="List4"/>
    <w:rsid w:val="00C32DAC"/>
    <w:pPr>
      <w:numPr>
        <w:numId w:val="5"/>
      </w:numPr>
    </w:pPr>
  </w:style>
  <w:style w:type="paragraph" w:styleId="ListNumber5">
    <w:name w:val="List Number 5"/>
    <w:basedOn w:val="List5"/>
    <w:rsid w:val="00C32DAC"/>
    <w:pPr>
      <w:numPr>
        <w:numId w:val="6"/>
      </w:numPr>
    </w:pPr>
  </w:style>
  <w:style w:type="paragraph" w:styleId="BlockText">
    <w:name w:val="Block Text"/>
    <w:basedOn w:val="Normal"/>
    <w:rsid w:val="00C32DAC"/>
    <w:pPr>
      <w:spacing w:after="120"/>
      <w:ind w:left="1440" w:right="1440"/>
    </w:pPr>
  </w:style>
  <w:style w:type="character" w:customStyle="1" w:styleId="Subscript">
    <w:name w:val="Subscript"/>
    <w:basedOn w:val="DefaultParagraphFont"/>
    <w:rsid w:val="00C32DAC"/>
    <w:rPr>
      <w:sz w:val="16"/>
      <w:vertAlign w:val="subscript"/>
    </w:rPr>
  </w:style>
  <w:style w:type="character" w:customStyle="1" w:styleId="Superscript">
    <w:name w:val="Superscript"/>
    <w:basedOn w:val="DefaultParagraphFont"/>
    <w:rsid w:val="00C32DAC"/>
    <w:rPr>
      <w:sz w:val="16"/>
      <w:vertAlign w:val="superscript"/>
    </w:rPr>
  </w:style>
  <w:style w:type="character" w:customStyle="1" w:styleId="Symbols">
    <w:name w:val="Symbols"/>
    <w:basedOn w:val="DefaultParagraphFont"/>
    <w:rsid w:val="00C32DAC"/>
    <w:rPr>
      <w:rFonts w:ascii="Symbol" w:hAnsi="Symbol"/>
    </w:rPr>
  </w:style>
  <w:style w:type="character" w:customStyle="1" w:styleId="MenuOptions">
    <w:name w:val="Menu Options"/>
    <w:basedOn w:val="DefaultParagraphFont"/>
    <w:rsid w:val="00C32DAC"/>
    <w:rPr>
      <w:rFonts w:ascii="Arial Narrow" w:hAnsi="Arial Narrow"/>
      <w:smallCaps/>
    </w:rPr>
  </w:style>
  <w:style w:type="character" w:customStyle="1" w:styleId="Buttons">
    <w:name w:val="Buttons"/>
    <w:basedOn w:val="DefaultParagraphFont"/>
    <w:rsid w:val="00C32DAC"/>
    <w:rPr>
      <w:b/>
    </w:rPr>
  </w:style>
  <w:style w:type="character" w:customStyle="1" w:styleId="Underlined">
    <w:name w:val="Underlined"/>
    <w:basedOn w:val="DefaultParagraphFont"/>
    <w:rsid w:val="00C32DAC"/>
    <w:rPr>
      <w:u w:val="single"/>
    </w:rPr>
  </w:style>
  <w:style w:type="paragraph" w:customStyle="1" w:styleId="TableBodyTextRight">
    <w:name w:val="Table Body Text Right"/>
    <w:basedOn w:val="TableBodyText"/>
    <w:rsid w:val="00C32DAC"/>
    <w:pPr>
      <w:widowControl w:val="0"/>
      <w:autoSpaceDE w:val="0"/>
      <w:autoSpaceDN w:val="0"/>
      <w:adjustRightInd w:val="0"/>
      <w:jc w:val="right"/>
    </w:pPr>
    <w:rPr>
      <w:rFonts w:cs="Arial"/>
      <w:szCs w:val="18"/>
    </w:rPr>
  </w:style>
  <w:style w:type="paragraph" w:customStyle="1" w:styleId="CopyrightText">
    <w:name w:val="Copyright Text"/>
    <w:basedOn w:val="BodyText"/>
    <w:rsid w:val="00C32DAC"/>
    <w:rPr>
      <w:sz w:val="18"/>
    </w:rPr>
  </w:style>
  <w:style w:type="paragraph" w:customStyle="1" w:styleId="BodySmallRight">
    <w:name w:val="Body Small Right"/>
    <w:basedOn w:val="BodyTextRight"/>
    <w:rsid w:val="00C32DAC"/>
    <w:rPr>
      <w:sz w:val="18"/>
      <w:szCs w:val="18"/>
    </w:rPr>
  </w:style>
  <w:style w:type="paragraph" w:customStyle="1" w:styleId="MarginEdition">
    <w:name w:val="Margin Edition"/>
    <w:basedOn w:val="MarginNote"/>
    <w:rsid w:val="00C32DAC"/>
    <w:pPr>
      <w:spacing w:before="0" w:after="0"/>
    </w:pPr>
    <w:rPr>
      <w:rFonts w:ascii="Times New Roman" w:hAnsi="Times New Roman"/>
      <w:color w:val="999999"/>
    </w:rPr>
  </w:style>
  <w:style w:type="paragraph" w:customStyle="1" w:styleId="Spacer">
    <w:name w:val="Spacer"/>
    <w:basedOn w:val="Normal"/>
    <w:rsid w:val="00C32DAC"/>
    <w:rPr>
      <w:sz w:val="2"/>
      <w:szCs w:val="2"/>
    </w:rPr>
  </w:style>
  <w:style w:type="character" w:customStyle="1" w:styleId="Small">
    <w:name w:val="Small"/>
    <w:basedOn w:val="DefaultParagraphFont"/>
    <w:rsid w:val="00C32DAC"/>
    <w:rPr>
      <w:sz w:val="16"/>
    </w:rPr>
  </w:style>
  <w:style w:type="paragraph" w:customStyle="1" w:styleId="WideTable">
    <w:name w:val="Wide Table"/>
    <w:basedOn w:val="Normal"/>
    <w:rsid w:val="00C32DAC"/>
    <w:pPr>
      <w:ind w:left="-1418"/>
    </w:pPr>
    <w:rPr>
      <w:sz w:val="2"/>
      <w:szCs w:val="2"/>
    </w:rPr>
  </w:style>
  <w:style w:type="character" w:styleId="PageNumber">
    <w:name w:val="page number"/>
    <w:basedOn w:val="DefaultParagraphFont"/>
    <w:rsid w:val="00C32DAC"/>
  </w:style>
  <w:style w:type="paragraph" w:styleId="Quote">
    <w:name w:val="Quote"/>
    <w:basedOn w:val="Heading1"/>
    <w:link w:val="QuoteChar"/>
    <w:qFormat/>
    <w:rsid w:val="00C32DAC"/>
    <w:rPr>
      <w:b w:val="0"/>
      <w:sz w:val="72"/>
      <w:szCs w:val="72"/>
      <w:lang w:val="en-NZ"/>
    </w:rPr>
  </w:style>
  <w:style w:type="character" w:customStyle="1" w:styleId="QuoteChar">
    <w:name w:val="Quote Char"/>
    <w:basedOn w:val="DefaultParagraphFont"/>
    <w:link w:val="Quote"/>
    <w:rsid w:val="00C32D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2DAC"/>
    <w:pPr>
      <w:pageBreakBefore/>
    </w:pPr>
  </w:style>
  <w:style w:type="paragraph" w:customStyle="1" w:styleId="Border">
    <w:name w:val="Border"/>
    <w:basedOn w:val="Normal"/>
    <w:qFormat/>
    <w:rsid w:val="00C32D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2DAC"/>
    <w:rPr>
      <w:b/>
      <w:bCs/>
      <w:i/>
      <w:iCs/>
      <w:color w:val="auto"/>
    </w:rPr>
  </w:style>
  <w:style w:type="paragraph" w:styleId="IntenseQuote">
    <w:name w:val="Intense Quote"/>
    <w:basedOn w:val="Normal"/>
    <w:next w:val="Normal"/>
    <w:link w:val="IntenseQuoteChar"/>
    <w:uiPriority w:val="30"/>
    <w:qFormat/>
    <w:rsid w:val="00C32D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2D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2DAC"/>
    <w:rPr>
      <w:smallCaps/>
      <w:color w:val="auto"/>
      <w:u w:val="single"/>
    </w:rPr>
  </w:style>
  <w:style w:type="character" w:styleId="IntenseReference">
    <w:name w:val="Intense Reference"/>
    <w:basedOn w:val="DefaultParagraphFont"/>
    <w:uiPriority w:val="32"/>
    <w:qFormat/>
    <w:rsid w:val="00C32DAC"/>
    <w:rPr>
      <w:b/>
      <w:bCs/>
      <w:smallCaps/>
      <w:color w:val="auto"/>
      <w:spacing w:val="5"/>
      <w:u w:val="single"/>
    </w:rPr>
  </w:style>
  <w:style w:type="paragraph" w:customStyle="1" w:styleId="2ColumnHeading">
    <w:name w:val="2Column Heading"/>
    <w:basedOn w:val="BodyText"/>
    <w:qFormat/>
    <w:rsid w:val="00C32DAC"/>
    <w:pPr>
      <w:spacing w:after="60"/>
      <w:ind w:left="-2268"/>
    </w:pPr>
    <w:rPr>
      <w:b/>
    </w:rPr>
  </w:style>
  <w:style w:type="paragraph" w:customStyle="1" w:styleId="Heading1TOC">
    <w:name w:val="Heading1 TOC"/>
    <w:basedOn w:val="Normal"/>
    <w:qFormat/>
    <w:rsid w:val="00C32DAC"/>
    <w:pPr>
      <w:spacing w:before="240" w:after="120"/>
    </w:pPr>
    <w:rPr>
      <w:rFonts w:ascii="Times New Roman" w:hAnsi="Times New Roman"/>
      <w:b/>
      <w:sz w:val="32"/>
    </w:rPr>
  </w:style>
  <w:style w:type="paragraph" w:customStyle="1" w:styleId="Heading2TOC">
    <w:name w:val="Heading2 TOC"/>
    <w:basedOn w:val="Normal"/>
    <w:qFormat/>
    <w:rsid w:val="00C32DAC"/>
    <w:pPr>
      <w:spacing w:before="240" w:after="60"/>
    </w:pPr>
    <w:rPr>
      <w:rFonts w:ascii="Times New Roman" w:hAnsi="Times New Roman"/>
      <w:b/>
      <w:sz w:val="28"/>
    </w:rPr>
  </w:style>
  <w:style w:type="character" w:customStyle="1" w:styleId="Underline">
    <w:name w:val="Underline"/>
    <w:basedOn w:val="DefaultParagraphFont"/>
    <w:qFormat/>
    <w:rsid w:val="00C32DAC"/>
    <w:rPr>
      <w:u w:val="single"/>
    </w:rPr>
  </w:style>
  <w:style w:type="character" w:customStyle="1" w:styleId="BoldandItalics">
    <w:name w:val="Bold and Italics"/>
    <w:qFormat/>
    <w:rsid w:val="00C32DAC"/>
    <w:rPr>
      <w:b/>
      <w:i/>
      <w:u w:val="none"/>
    </w:rPr>
  </w:style>
  <w:style w:type="paragraph" w:styleId="BalloonText">
    <w:name w:val="Balloon Text"/>
    <w:basedOn w:val="Normal"/>
    <w:link w:val="BalloonTextChar"/>
    <w:rsid w:val="00C32DAC"/>
    <w:rPr>
      <w:rFonts w:ascii="Tahoma" w:hAnsi="Tahoma" w:cs="Tahoma"/>
      <w:sz w:val="16"/>
      <w:szCs w:val="16"/>
    </w:rPr>
  </w:style>
  <w:style w:type="character" w:customStyle="1" w:styleId="BalloonTextChar">
    <w:name w:val="Balloon Text Char"/>
    <w:basedOn w:val="DefaultParagraphFont"/>
    <w:link w:val="BalloonText"/>
    <w:rsid w:val="00C32D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2DA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2D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2DAC"/>
    <w:rPr>
      <w:b/>
      <w:color w:val="660033"/>
      <w:spacing w:val="0"/>
    </w:rPr>
  </w:style>
  <w:style w:type="paragraph" w:customStyle="1" w:styleId="Nameditemlist">
    <w:name w:val="Named item list"/>
    <w:basedOn w:val="BodyText"/>
    <w:qFormat/>
    <w:rsid w:val="00C32DA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674</Words>
  <Characters>4528</Characters>
  <Application>Microsoft Office Word</Application>
  <DocSecurity>0</DocSecurity>
  <Lines>205</Lines>
  <Paragraphs>159</Paragraphs>
  <ScaleCrop>false</ScaleCrop>
  <Company>Author-it Software Corporation Ltd.</Company>
  <LinksUpToDate>false</LinksUpToDate>
  <CharactersWithSpaces>5056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DEF52215 Diploma of Explosive Ordnance Manufacture</dc:title>
  <dc:subject>Approved</dc:subject>
  <dc:creator>Government Skills Australia</dc:creator>
  <cp:keywords>Release 1</cp:keywords>
  <dc:description>Review Date: 12 April 2008</dc:description>
  <cp:lastModifiedBy>HSD_TPCMSd.prod</cp:lastModifiedBy>
  <cp:revision>3</cp:revision>
  <dcterms:created xsi:type="dcterms:W3CDTF">2015-10-22T17:56:28Z</dcterms:created>
  <dcterms:modified xsi:type="dcterms:W3CDTF">2015-10-21T23:43:00Z</dcterms:modified>
</cp:coreProperties>
</file>