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416" w:rsidP="00692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DEF52115 Diploma of</w:t>
      </w:r>
      <w:r>
        <w:t xml:space="preserve"> Explosive Ordnance</w:t>
      </w:r>
      <w:r>
        <w:fldChar w:fldCharType="end"/>
      </w:r>
    </w:p>
    <w:p w:rsidR="00692416" w:rsidP="00692416">
      <w:pPr>
        <w:pStyle w:val="Version"/>
        <w:sectPr w:rsidSect="001A2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A2033" w:rsidP="001A2033">
      <w:pPr>
        <w:pStyle w:val="SuperHeading"/>
      </w:pPr>
      <w:r w:rsidRPr="001A2033">
        <w:t>DEF52115 Diploma of Explosive Ordnance</w:t>
      </w:r>
    </w:p>
    <w:p w:rsidR="00000000" w:rsidRPr="001A2033" w:rsidP="001A2033">
      <w:pPr>
        <w:pStyle w:val="Heading1"/>
      </w:pPr>
      <w:bookmarkStart w:id="1" w:name="O_747038"/>
      <w:bookmarkEnd w:id="1"/>
      <w:r w:rsidRPr="001A2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92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TableHeading"/>
              <w:rPr>
                <w:lang w:val="en-NZ"/>
              </w:rPr>
            </w:pPr>
            <w:r w:rsidRPr="001A203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TableHeading"/>
              <w:rPr>
                <w:lang w:val="en-NZ"/>
              </w:rPr>
            </w:pPr>
            <w:r w:rsidRPr="001A2033">
              <w:t>Comments</w:t>
            </w:r>
          </w:p>
        </w:tc>
      </w:tr>
      <w:tr w:rsidTr="00692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t xml:space="preserve">This qualification was released in DEF Defence Training Package release 1.0 and meets the Standards for Training Packages. </w:t>
            </w:r>
          </w:p>
          <w:p w:rsidR="00000000" w:rsidRPr="001A2033" w:rsidP="001A2033">
            <w:pPr>
              <w:pStyle w:val="BodyText"/>
            </w:pPr>
          </w:p>
          <w:p w:rsidR="00000000" w:rsidRPr="001A2033" w:rsidP="001A2033">
            <w:pPr>
              <w:pStyle w:val="BodyText"/>
            </w:pPr>
            <w:r w:rsidRPr="001A2033">
              <w:t>This qualification supersedes and is equivalent to DEF50612 Diploma of Explosive Ordnance.</w:t>
            </w:r>
          </w:p>
          <w:p w:rsidR="00000000" w:rsidRPr="001A2033" w:rsidP="001A2033">
            <w:pPr>
              <w:pStyle w:val="BodyText"/>
            </w:pPr>
          </w:p>
          <w:p w:rsidR="00000000" w:rsidRPr="001A2033" w:rsidP="001A2033">
            <w:pPr>
              <w:pStyle w:val="ListBullet"/>
            </w:pPr>
            <w:r w:rsidRPr="001A2033">
              <w:t xml:space="preserve">DEF unit codes updated </w:t>
            </w:r>
          </w:p>
          <w:p w:rsidR="00000000" w:rsidRPr="001A2033" w:rsidP="001A2033">
            <w:pPr>
              <w:pStyle w:val="ListBullet"/>
            </w:pPr>
            <w:r w:rsidRPr="001A2033">
              <w:t>Imported units updated</w:t>
            </w:r>
          </w:p>
          <w:p w:rsidR="00000000" w:rsidRPr="001A2033" w:rsidP="001A2033">
            <w:pPr>
              <w:pStyle w:val="ListBullet"/>
            </w:pPr>
            <w:r w:rsidRPr="001A2033">
              <w:t>DEFEO210C removed</w:t>
            </w:r>
          </w:p>
          <w:p w:rsidR="00000000" w:rsidRPr="001A2033" w:rsidP="001A2033">
            <w:pPr>
              <w:pStyle w:val="ListBullet"/>
            </w:pPr>
            <w:r w:rsidRPr="001A2033">
              <w:t>DEFGEN026 added to electives</w:t>
            </w:r>
          </w:p>
        </w:tc>
      </w:tr>
    </w:tbl>
    <w:p w:rsidR="00000000" w:rsidRPr="001A2033" w:rsidP="001A2033">
      <w:pPr>
        <w:pStyle w:val="BodyText"/>
      </w:pPr>
    </w:p>
    <w:p w:rsidR="00000000" w:rsidRPr="001A2033" w:rsidP="001A2033">
      <w:pPr>
        <w:pStyle w:val="AllowPageBreak"/>
      </w:pPr>
    </w:p>
    <w:p w:rsidR="00000000" w:rsidRPr="001A2033" w:rsidP="001A2033">
      <w:pPr>
        <w:pStyle w:val="Heading1"/>
      </w:pPr>
      <w:bookmarkStart w:id="2" w:name="O_747039"/>
      <w:bookmarkEnd w:id="2"/>
      <w:r w:rsidRPr="001A2033">
        <w:t>Qualification Description</w:t>
      </w:r>
    </w:p>
    <w:p w:rsidR="00000000" w:rsidRPr="001A2033" w:rsidP="001A2033">
      <w:pPr>
        <w:pStyle w:val="BodyText"/>
      </w:pPr>
      <w:r w:rsidRPr="001A2033">
        <w:t>This qualification allows for the attainment of competencies in explosive ordnance.</w:t>
      </w:r>
    </w:p>
    <w:p w:rsidR="00000000" w:rsidRPr="001A2033" w:rsidP="001A2033">
      <w:pPr>
        <w:pStyle w:val="BodyText"/>
      </w:pPr>
    </w:p>
    <w:p w:rsidR="00000000" w:rsidRPr="001A2033" w:rsidP="001A2033">
      <w:pPr>
        <w:pStyle w:val="BodyText"/>
      </w:pPr>
      <w:r w:rsidRPr="001A2033">
        <w:t>No licensing, legislative or certification requirements apply to this qualification at the time of publication.</w:t>
      </w:r>
    </w:p>
    <w:p w:rsidR="00000000" w:rsidRPr="001A2033" w:rsidP="001A2033">
      <w:pPr>
        <w:pStyle w:val="AllowPageBreak"/>
      </w:pPr>
    </w:p>
    <w:p w:rsidR="00000000" w:rsidRPr="001A2033" w:rsidP="001A2033">
      <w:pPr>
        <w:pStyle w:val="Heading1"/>
      </w:pPr>
      <w:bookmarkStart w:id="3" w:name="O_747041"/>
      <w:bookmarkEnd w:id="3"/>
      <w:r w:rsidRPr="001A2033">
        <w:t>Packaging Rules</w:t>
      </w:r>
    </w:p>
    <w:p w:rsidR="00000000" w:rsidRPr="001A2033" w:rsidP="001A2033">
      <w:pPr>
        <w:pStyle w:val="BodyText"/>
      </w:pPr>
      <w:r w:rsidRPr="001A2033">
        <w:t>14 units of competency are required for this qualification:</w:t>
      </w:r>
    </w:p>
    <w:p w:rsidR="00000000" w:rsidRPr="001A2033" w:rsidP="001A2033">
      <w:pPr>
        <w:pStyle w:val="ListBullet"/>
      </w:pPr>
      <w:r w:rsidRPr="001A2033">
        <w:t>4 core units</w:t>
      </w:r>
    </w:p>
    <w:p w:rsidR="00000000" w:rsidRPr="001A2033" w:rsidP="001A2033">
      <w:pPr>
        <w:pStyle w:val="ListBullet"/>
      </w:pPr>
      <w:r w:rsidRPr="001A2033">
        <w:t>10 elective units</w:t>
      </w:r>
    </w:p>
    <w:p w:rsidR="00000000" w:rsidRPr="001A2033" w:rsidP="001A2033">
      <w:pPr>
        <w:pStyle w:val="BodyText"/>
      </w:pPr>
    </w:p>
    <w:p w:rsidR="00000000" w:rsidRPr="001A2033" w:rsidP="001A2033">
      <w:pPr>
        <w:pStyle w:val="BodyText"/>
      </w:pPr>
      <w:r w:rsidRPr="001A2033">
        <w:t>Choose a minimum of 8 electives from the list below, of which at least 4 must be taken from Group A.</w:t>
      </w:r>
    </w:p>
    <w:p w:rsidR="00000000" w:rsidRPr="001A2033" w:rsidP="001A2033">
      <w:pPr>
        <w:pStyle w:val="BodyText"/>
      </w:pPr>
    </w:p>
    <w:p w:rsidR="00000000" w:rsidRPr="001A2033" w:rsidP="001A2033">
      <w:pPr>
        <w:pStyle w:val="BodyText"/>
      </w:pPr>
      <w:r w:rsidRPr="001A2033">
        <w:t>No more than 1 HLTAID unit from this list can be used for this qualification.</w:t>
      </w:r>
    </w:p>
    <w:p w:rsidR="00000000" w:rsidRPr="001A2033" w:rsidP="001A2033">
      <w:pPr>
        <w:pStyle w:val="BodyText"/>
      </w:pPr>
    </w:p>
    <w:p w:rsidR="00000000" w:rsidRPr="001A2033" w:rsidP="001A2033">
      <w:pPr>
        <w:pStyle w:val="BodyText"/>
      </w:pPr>
      <w:r w:rsidRPr="001A2033">
        <w:t>Choose the remaining 2 electives from the list below or from elsewhere with</w:t>
      </w:r>
      <w:r w:rsidRPr="001A2033">
        <w:t xml:space="preserve">in this training package, or from another endorsed training package, or from an accredited course. </w:t>
      </w:r>
    </w:p>
    <w:p w:rsidR="00000000" w:rsidRPr="001A2033" w:rsidP="001A2033">
      <w:pPr>
        <w:pStyle w:val="BodyText"/>
      </w:pPr>
    </w:p>
    <w:p w:rsidR="00000000" w:rsidRPr="001A2033" w:rsidP="001A2033">
      <w:pPr>
        <w:pStyle w:val="BodyText"/>
      </w:pPr>
      <w:r w:rsidRPr="001A2033">
        <w:t>All elective units selected from outside this qualification must reflect the occupational and learning outcomes of this AQF qualification level. Seek furth</w:t>
      </w:r>
      <w:r w:rsidRPr="001A2033">
        <w:t>er advice on selecting imported units of competency in the DEF Implementation Guide.</w:t>
      </w:r>
    </w:p>
    <w:p w:rsidR="00000000" w:rsidRPr="001A2033" w:rsidP="001A2033">
      <w:pPr>
        <w:pStyle w:val="BodyText"/>
      </w:pPr>
    </w:p>
    <w:p w:rsidR="00000000" w:rsidRPr="001A2033" w:rsidP="001A2033">
      <w:pPr>
        <w:pStyle w:val="BodyText"/>
      </w:pPr>
      <w:r w:rsidRPr="001A2033">
        <w:t xml:space="preserve">Where a prerequisite unit is attached to an elective unit it is identified by this symbol </w:t>
      </w:r>
      <w:r w:rsidRPr="001A2033">
        <w:t>∟</w:t>
      </w:r>
      <w:r w:rsidRPr="001A2033">
        <w:t>.</w:t>
      </w:r>
    </w:p>
    <w:p w:rsidR="00000000" w:rsidRPr="001A2033" w:rsidP="001A2033">
      <w:pPr>
        <w:pStyle w:val="BodyText"/>
      </w:pPr>
    </w:p>
    <w:p w:rsidR="00000000" w:rsidRPr="001A2033" w:rsidP="001A2033">
      <w:pPr>
        <w:pStyle w:val="BodyText"/>
      </w:pPr>
      <w:r w:rsidRPr="001A2033">
        <w:t>The prerequisite units attached to any of the elective units must be underta</w:t>
      </w:r>
      <w:r w:rsidRPr="001A2033">
        <w:t>ken and are additional to the number of elective units required for the qualification.</w:t>
      </w:r>
    </w:p>
    <w:p w:rsidR="00000000" w:rsidRPr="001A2033" w:rsidP="001A2033">
      <w:pPr>
        <w:pStyle w:val="BodyText"/>
      </w:pPr>
    </w:p>
    <w:p w:rsidR="00000000" w:rsidRPr="001A2033" w:rsidP="001A2033">
      <w:pPr>
        <w:pStyle w:val="BodyText"/>
      </w:pPr>
      <w:r w:rsidRPr="001A2033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rPr>
                <w:rStyle w:val="SpecialBold"/>
              </w:rPr>
              <w:t>Core units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Work safely with explosive ordnance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 xml:space="preserve">Work with equity and diversity 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Maintain workplace safety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Shift materials safely using manual handling methods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rPr>
                <w:rStyle w:val="SpecialBold"/>
              </w:rPr>
              <w:t>Group A: Specialisation units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DEFMIL088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Coordinate area and route search, and clearance of explosive ordnance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DEFEXO070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Conduct technical explosive investigations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DEFGEN026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Manage engineering and logistic operations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DEFEXO069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Plan loading of dangerous goods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DEFEXO129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Develop unique explosives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DEFEXO125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Determine the properties of explosives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DEFEXO117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 xml:space="preserve">Manage </w:t>
            </w:r>
            <w:r w:rsidRPr="001A2033">
              <w:t>military explosive operations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DEFEXO106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Conduct explosive ordnance disposal operations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DEFEXO107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Conduct improvised explosive ordnance device disposal operations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DEFEXO083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Apply explosive ordnance design principles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DEFEXO061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Render explosive ordnance inert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DEFEXO113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Remove explosive ordnance from damaged aircraft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DEFEXO112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Detect, record and collect evidence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TLIA5029A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Plan and manage storage of dangerous goods and hazardous substances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rPr>
                <w:rStyle w:val="SpecialBold"/>
              </w:rPr>
              <w:t>Group: B General elective units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DEFGEN027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Manage equity and diversity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DEFEXO126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Conduct post blast analysis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DEFWHS009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Develop laser safety plans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BSBAUD501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Initiate a quality audit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BSBAUD503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Lead a quality audit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BSBAUD504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Report on a quality audit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BSBMGT502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Manage people performance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BSBWHS401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Implement and monitor WHS policies, procedures and programs to meet legislative requirements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BSBSUS301A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Implement and monitor environmentally sustainable work practices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BSBWOR501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Manage personal work priorities and professional development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B</w:t>
            </w:r>
            <w:r w:rsidRPr="001A2033">
              <w:t>SBWOR502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Lead and manage team effectiveness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HLTAID002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Provide basic emergency life support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HLTAID003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Provide first aid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MSL974003A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Perform chemical tests and procedures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PUACOM002B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Provide services to clients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PUACOM007B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Liaise with other organisations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PUAEMR022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Establish context for emergency risk assessment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PUAEMR023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t>Assess emergency risk</w:t>
            </w:r>
          </w:p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∟</w:t>
            </w:r>
            <w:r w:rsidRPr="001A2033">
              <w:t>PUAEMR022 Establish context for emergency risk assessment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PUAEMR024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Develop treatment options for emergency risk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PUAEMR025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Manage risk treatment implementation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PUAEMR030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Manage and evaluate emergency management exercises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PUAEMR031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Design emergency management exercises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PUAEMR026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t>Treat operational risk</w:t>
            </w:r>
          </w:p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∟</w:t>
            </w:r>
            <w:r w:rsidRPr="001A2033">
              <w:t>PUAEMR027 Assess operational risk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PUAEMR027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Assess operational risk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PUATEA003B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Lead, manage and develop teams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PUAWER004B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t>Respond to workplace emergencies</w:t>
            </w:r>
          </w:p>
        </w:tc>
      </w:tr>
    </w:tbl>
    <w:p w:rsidR="00000000" w:rsidRPr="001A2033" w:rsidP="001A2033">
      <w:pPr>
        <w:pStyle w:val="BodyText"/>
      </w:pPr>
    </w:p>
    <w:p w:rsidR="00000000" w:rsidRPr="001A2033" w:rsidP="001A2033">
      <w:pPr>
        <w:pStyle w:val="AllowPageBreak"/>
      </w:pPr>
    </w:p>
    <w:p w:rsidR="00000000" w:rsidRPr="001A2033" w:rsidP="001A2033">
      <w:pPr>
        <w:pStyle w:val="Heading1"/>
      </w:pPr>
      <w:bookmarkStart w:id="4" w:name="O_747042"/>
      <w:bookmarkEnd w:id="4"/>
      <w:r w:rsidRPr="001A203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rPr>
                <w:rStyle w:val="SpecialBold"/>
              </w:rPr>
              <w:t>DEF12 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rPr>
                <w:rStyle w:val="SpecialBold"/>
              </w:rPr>
              <w:t>Comments</w:t>
            </w:r>
          </w:p>
        </w:tc>
      </w:tr>
      <w:tr w:rsidTr="001A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DEF50612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Diploma of Explosive Ordnance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DEF52115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033">
            <w:pPr>
              <w:pStyle w:val="BodyText"/>
              <w:rPr>
                <w:lang w:val="en-NZ"/>
              </w:rPr>
            </w:pPr>
            <w:r w:rsidRPr="001A2033">
              <w:t>Diploma of Explosive Ordnance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033" w:rsidP="001A2033">
            <w:pPr>
              <w:pStyle w:val="BodyText"/>
            </w:pPr>
            <w:r w:rsidRPr="001A2033">
              <w:t>DEF unit codes updated</w:t>
            </w:r>
          </w:p>
          <w:p w:rsidR="00000000" w:rsidRPr="001A2033" w:rsidP="001A2033">
            <w:pPr>
              <w:pStyle w:val="BodyText"/>
            </w:pPr>
            <w:r w:rsidRPr="001A2033">
              <w:t>Imported units updated</w:t>
            </w:r>
          </w:p>
          <w:p w:rsidR="00000000" w:rsidRPr="001A2033" w:rsidP="001A2033">
            <w:pPr>
              <w:pStyle w:val="BodyText"/>
            </w:pPr>
            <w:r w:rsidRPr="001A2033">
              <w:t>DEFEO210C removed</w:t>
            </w:r>
          </w:p>
          <w:p w:rsidR="00000000" w:rsidRPr="001A2033" w:rsidP="001A2033">
            <w:pPr>
              <w:pStyle w:val="BodyText"/>
            </w:pPr>
            <w:r w:rsidRPr="001A2033">
              <w:t>DEFGEN026 added to electives</w:t>
            </w:r>
          </w:p>
        </w:tc>
      </w:tr>
    </w:tbl>
    <w:p w:rsidR="00000000" w:rsidRPr="001A2033" w:rsidP="001A2033">
      <w:pPr>
        <w:pStyle w:val="BodyText"/>
      </w:pPr>
    </w:p>
    <w:p w:rsidR="00000000" w:rsidRPr="001A2033" w:rsidP="001A2033">
      <w:pPr>
        <w:pStyle w:val="AllowPageBreak"/>
      </w:pPr>
    </w:p>
    <w:p w:rsidR="00000000" w:rsidRPr="001A2033" w:rsidP="001A2033">
      <w:pPr>
        <w:pStyle w:val="Heading1"/>
      </w:pPr>
      <w:bookmarkStart w:id="5" w:name="O_747044"/>
      <w:bookmarkEnd w:id="5"/>
      <w:r w:rsidRPr="001A2033">
        <w:t>Links</w:t>
      </w:r>
    </w:p>
    <w:p w:rsidR="00000000" w:rsidRPr="001A2033" w:rsidP="001A2033">
      <w:pPr>
        <w:pStyle w:val="BodyText"/>
      </w:pPr>
      <w:r w:rsidRPr="001A2033">
        <w:t>GSA website - http://www.govskills.com.au</w:t>
      </w:r>
    </w:p>
    <w:p w:rsidR="00000000" w:rsidRPr="001A2033" w:rsidP="001A2033">
      <w:pPr>
        <w:pStyle w:val="BodyText"/>
      </w:pPr>
      <w:r w:rsidRPr="001A2033">
        <w:t>Implementation Guide - http://www.govskills.com.au/guides/defence/implementation-guide</w:t>
      </w:r>
    </w:p>
    <w:p w:rsidR="00000000" w:rsidRPr="001A2033" w:rsidP="001A2033">
      <w:pPr>
        <w:pStyle w:val="BodyText"/>
      </w:pPr>
      <w:r w:rsidRPr="001A2033">
        <w:t>Foundation Skills Guide - http://www.govskills.com.au/guides/defence/foundation-skills-guide</w:t>
      </w:r>
    </w:p>
    <w:p w:rsidR="00000000" w:rsidRPr="001A2033" w:rsidP="001A2033"/>
    <w:sectPr w:rsidSect="001A20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33" w:rsidRPr="00692416" w:rsidP="00692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16" w:rsidP="001A2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92416" w:rsidP="001A2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2416" w:rsidP="001A2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33" w:rsidRPr="00692416" w:rsidP="006924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16" w:rsidRPr="002D2AF8" w:rsidP="001A2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DEF52115 Diploma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692416" w:rsidP="001A2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240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C2D2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033"/>
  </w:style>
  <w:style w:type="character" w:customStyle="1" w:styleId="Heading1Char">
    <w:name w:val="Heading 1 Char"/>
    <w:basedOn w:val="DefaultParagraphFont"/>
    <w:link w:val="Heading1"/>
    <w:rsid w:val="001A2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0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0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0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033"/>
    <w:rPr>
      <w:b/>
      <w:spacing w:val="0"/>
    </w:rPr>
  </w:style>
  <w:style w:type="paragraph" w:customStyle="1" w:styleId="SuperHeading">
    <w:name w:val="SuperHeading"/>
    <w:basedOn w:val="Normal"/>
    <w:rsid w:val="001A2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20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2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0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0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0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0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033"/>
    <w:rPr>
      <w:i/>
    </w:rPr>
  </w:style>
  <w:style w:type="paragraph" w:styleId="Caption">
    <w:name w:val="caption"/>
    <w:basedOn w:val="BodyText"/>
    <w:next w:val="Normal"/>
    <w:qFormat/>
    <w:rsid w:val="001A2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033"/>
  </w:style>
  <w:style w:type="paragraph" w:styleId="TableofFigures">
    <w:name w:val="table of figures"/>
    <w:basedOn w:val="Normal"/>
    <w:next w:val="Normal"/>
    <w:semiHidden/>
    <w:rsid w:val="001A2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033"/>
    <w:pPr>
      <w:numPr>
        <w:numId w:val="10"/>
      </w:numPr>
    </w:pPr>
  </w:style>
  <w:style w:type="character" w:customStyle="1" w:styleId="WingdingSymbols">
    <w:name w:val="Wingding Symbols"/>
    <w:rsid w:val="001A2033"/>
    <w:rPr>
      <w:rFonts w:ascii="Wingdings" w:hAnsi="Wingdings"/>
    </w:rPr>
  </w:style>
  <w:style w:type="character" w:customStyle="1" w:styleId="HotSpot">
    <w:name w:val="HotSpot"/>
    <w:rsid w:val="001A2033"/>
    <w:rPr>
      <w:color w:val="0033CC"/>
      <w:u w:val="none"/>
    </w:rPr>
  </w:style>
  <w:style w:type="paragraph" w:customStyle="1" w:styleId="BodyTextRight">
    <w:name w:val="Body Text Right"/>
    <w:basedOn w:val="BodyText"/>
    <w:rsid w:val="001A2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0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033"/>
    <w:rPr>
      <w:sz w:val="32"/>
    </w:rPr>
  </w:style>
  <w:style w:type="paragraph" w:customStyle="1" w:styleId="HeadingProcedure">
    <w:name w:val="Heading Procedure"/>
    <w:basedOn w:val="HeadingBase"/>
    <w:next w:val="Normal"/>
    <w:rsid w:val="001A2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033"/>
    <w:pPr>
      <w:spacing w:before="60" w:after="60"/>
    </w:pPr>
  </w:style>
  <w:style w:type="paragraph" w:styleId="ListContinue">
    <w:name w:val="List Continue"/>
    <w:basedOn w:val="List"/>
    <w:rsid w:val="001A2033"/>
    <w:pPr>
      <w:ind w:firstLine="0"/>
    </w:pPr>
  </w:style>
  <w:style w:type="paragraph" w:customStyle="1" w:styleId="ListNote">
    <w:name w:val="List Note"/>
    <w:basedOn w:val="List"/>
    <w:rsid w:val="001A2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033"/>
    <w:rPr>
      <w:rFonts w:ascii="Courier New" w:hAnsi="Courier New"/>
    </w:rPr>
  </w:style>
  <w:style w:type="paragraph" w:customStyle="1" w:styleId="NoteBullet">
    <w:name w:val="Note Bullet"/>
    <w:basedOn w:val="Note"/>
    <w:rsid w:val="001A2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0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033"/>
    <w:rPr>
      <w:b/>
      <w:smallCaps/>
    </w:rPr>
  </w:style>
  <w:style w:type="paragraph" w:customStyle="1" w:styleId="TableListNumber">
    <w:name w:val="Table List Number"/>
    <w:basedOn w:val="ListNumber"/>
    <w:rsid w:val="001A2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033"/>
    <w:pPr>
      <w:numPr>
        <w:numId w:val="8"/>
      </w:numPr>
    </w:pPr>
  </w:style>
  <w:style w:type="paragraph" w:customStyle="1" w:styleId="ListAlpha2">
    <w:name w:val="List Alpha 2"/>
    <w:basedOn w:val="List2"/>
    <w:rsid w:val="001A2033"/>
    <w:pPr>
      <w:numPr>
        <w:numId w:val="7"/>
      </w:numPr>
    </w:pPr>
  </w:style>
  <w:style w:type="paragraph" w:styleId="List2">
    <w:name w:val="List 2"/>
    <w:basedOn w:val="BodyText"/>
    <w:rsid w:val="001A2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0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0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033"/>
    <w:pPr>
      <w:numPr>
        <w:numId w:val="3"/>
      </w:numPr>
    </w:pPr>
  </w:style>
  <w:style w:type="paragraph" w:styleId="ListContinue2">
    <w:name w:val="List Continue 2"/>
    <w:basedOn w:val="List2"/>
    <w:rsid w:val="001A2033"/>
    <w:pPr>
      <w:ind w:firstLine="0"/>
    </w:pPr>
  </w:style>
  <w:style w:type="paragraph" w:styleId="ListContinue3">
    <w:name w:val="List Continue 3"/>
    <w:basedOn w:val="List3"/>
    <w:rsid w:val="001A2033"/>
    <w:pPr>
      <w:ind w:left="1021" w:firstLine="0"/>
    </w:pPr>
  </w:style>
  <w:style w:type="paragraph" w:styleId="ListContinue4">
    <w:name w:val="List Continue 4"/>
    <w:basedOn w:val="List4"/>
    <w:rsid w:val="001A2033"/>
    <w:pPr>
      <w:ind w:firstLine="0"/>
    </w:pPr>
  </w:style>
  <w:style w:type="paragraph" w:styleId="ListContinue5">
    <w:name w:val="List Continue 5"/>
    <w:basedOn w:val="List5"/>
    <w:rsid w:val="001A2033"/>
    <w:pPr>
      <w:ind w:firstLine="0"/>
    </w:pPr>
  </w:style>
  <w:style w:type="paragraph" w:styleId="ListNumber3">
    <w:name w:val="List Number 3"/>
    <w:basedOn w:val="List3"/>
    <w:rsid w:val="001A2033"/>
    <w:pPr>
      <w:numPr>
        <w:numId w:val="4"/>
      </w:numPr>
    </w:pPr>
  </w:style>
  <w:style w:type="paragraph" w:styleId="ListNumber4">
    <w:name w:val="List Number 4"/>
    <w:basedOn w:val="List4"/>
    <w:rsid w:val="001A2033"/>
    <w:pPr>
      <w:numPr>
        <w:numId w:val="5"/>
      </w:numPr>
    </w:pPr>
  </w:style>
  <w:style w:type="paragraph" w:styleId="ListNumber5">
    <w:name w:val="List Number 5"/>
    <w:basedOn w:val="List5"/>
    <w:rsid w:val="001A2033"/>
    <w:pPr>
      <w:numPr>
        <w:numId w:val="6"/>
      </w:numPr>
    </w:pPr>
  </w:style>
  <w:style w:type="paragraph" w:styleId="BlockText">
    <w:name w:val="Block Text"/>
    <w:basedOn w:val="Normal"/>
    <w:rsid w:val="001A2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033"/>
    <w:rPr>
      <w:sz w:val="16"/>
      <w:vertAlign w:val="superscript"/>
    </w:rPr>
  </w:style>
  <w:style w:type="character" w:customStyle="1" w:styleId="Symbols">
    <w:name w:val="Symbols"/>
    <w:basedOn w:val="DefaultParagraphFont"/>
    <w:rsid w:val="001A2033"/>
    <w:rPr>
      <w:rFonts w:ascii="Symbol" w:hAnsi="Symbol"/>
    </w:rPr>
  </w:style>
  <w:style w:type="character" w:customStyle="1" w:styleId="MenuOptions">
    <w:name w:val="Menu Options"/>
    <w:basedOn w:val="DefaultParagraphFont"/>
    <w:rsid w:val="001A2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033"/>
    <w:rPr>
      <w:b/>
    </w:rPr>
  </w:style>
  <w:style w:type="character" w:customStyle="1" w:styleId="Underlined">
    <w:name w:val="Underlined"/>
    <w:basedOn w:val="DefaultParagraphFont"/>
    <w:rsid w:val="001A2033"/>
    <w:rPr>
      <w:u w:val="single"/>
    </w:rPr>
  </w:style>
  <w:style w:type="paragraph" w:customStyle="1" w:styleId="TableBodyTextRight">
    <w:name w:val="Table Body Text Right"/>
    <w:basedOn w:val="TableBodyText"/>
    <w:rsid w:val="001A2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033"/>
    <w:rPr>
      <w:sz w:val="18"/>
    </w:rPr>
  </w:style>
  <w:style w:type="paragraph" w:customStyle="1" w:styleId="BodySmallRight">
    <w:name w:val="Body Small Right"/>
    <w:basedOn w:val="BodyTextRight"/>
    <w:rsid w:val="001A2033"/>
    <w:rPr>
      <w:sz w:val="18"/>
      <w:szCs w:val="18"/>
    </w:rPr>
  </w:style>
  <w:style w:type="paragraph" w:customStyle="1" w:styleId="MarginEdition">
    <w:name w:val="Margin Edition"/>
    <w:basedOn w:val="MarginNote"/>
    <w:rsid w:val="001A2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033"/>
    <w:rPr>
      <w:sz w:val="2"/>
      <w:szCs w:val="2"/>
    </w:rPr>
  </w:style>
  <w:style w:type="character" w:customStyle="1" w:styleId="Small">
    <w:name w:val="Small"/>
    <w:basedOn w:val="DefaultParagraphFont"/>
    <w:rsid w:val="001A2033"/>
    <w:rPr>
      <w:sz w:val="16"/>
    </w:rPr>
  </w:style>
  <w:style w:type="paragraph" w:customStyle="1" w:styleId="WideTable">
    <w:name w:val="Wide Table"/>
    <w:basedOn w:val="Normal"/>
    <w:rsid w:val="001A2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033"/>
  </w:style>
  <w:style w:type="paragraph" w:styleId="Quote">
    <w:name w:val="Quote"/>
    <w:basedOn w:val="Heading1"/>
    <w:link w:val="QuoteChar"/>
    <w:qFormat/>
    <w:rsid w:val="001A2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033"/>
    <w:pPr>
      <w:pageBreakBefore/>
    </w:pPr>
  </w:style>
  <w:style w:type="paragraph" w:customStyle="1" w:styleId="Border">
    <w:name w:val="Border"/>
    <w:basedOn w:val="Normal"/>
    <w:qFormat/>
    <w:rsid w:val="001A2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033"/>
    <w:rPr>
      <w:u w:val="single"/>
    </w:rPr>
  </w:style>
  <w:style w:type="character" w:customStyle="1" w:styleId="BoldandItalics">
    <w:name w:val="Bold and Italics"/>
    <w:qFormat/>
    <w:rsid w:val="001A2033"/>
    <w:rPr>
      <w:b/>
      <w:i/>
      <w:u w:val="none"/>
    </w:rPr>
  </w:style>
  <w:style w:type="paragraph" w:styleId="BalloonText">
    <w:name w:val="Balloon Text"/>
    <w:basedOn w:val="Normal"/>
    <w:link w:val="BalloonTextChar"/>
    <w:rsid w:val="001A2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0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0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598</Words>
  <Characters>3939</Characters>
  <Application>Microsoft Office Word</Application>
  <DocSecurity>0</DocSecurity>
  <Lines>181</Lines>
  <Paragraphs>140</Paragraphs>
  <ScaleCrop>false</ScaleCrop>
  <Company>Author-it Software Corporation Ltd.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DEF52115 Diploma of Explosive Ordnance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2015-10-22T17:44:01Z</dcterms:created>
  <dcterms:modified xsi:type="dcterms:W3CDTF">2015-10-22T00:00:00Z</dcterms:modified>
</cp:coreProperties>
</file>