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28F6" w:rsidP="00F628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DEF41022 Certificate IV in Test and Evaluation</w:t>
      </w:r>
      <w:r>
        <w:fldChar w:fldCharType="end"/>
      </w:r>
    </w:p>
    <w:p w:rsidR="00F628F6" w:rsidP="00F628F6">
      <w:pPr>
        <w:pStyle w:val="Version"/>
        <w:sectPr w:rsidSect="00DA13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A136B" w:rsidP="00DA136B">
      <w:pPr>
        <w:pStyle w:val="SuperHeading"/>
      </w:pPr>
      <w:r w:rsidRPr="00DA136B">
        <w:t>DEF41022 Certificate IV in Test and Evaluation</w:t>
      </w:r>
    </w:p>
    <w:p w:rsidR="00000000" w:rsidRPr="00DA136B" w:rsidP="00DA136B">
      <w:pPr>
        <w:pStyle w:val="Heading1"/>
      </w:pPr>
      <w:bookmarkStart w:id="1" w:name="O_1240186"/>
      <w:bookmarkEnd w:id="1"/>
      <w:r w:rsidRPr="00DA13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36B" w:rsidP="00DA136B">
            <w:pPr>
              <w:pStyle w:val="BodyText"/>
            </w:pPr>
            <w:r w:rsidRPr="00DA136B">
              <w:t>Release 1. This is the first release of this qualification in the DEF Defence Training Package.</w:t>
            </w:r>
          </w:p>
        </w:tc>
      </w:tr>
    </w:tbl>
    <w:p w:rsidR="00000000" w:rsidRPr="00DA136B" w:rsidP="00DA136B">
      <w:pPr>
        <w:pStyle w:val="NoPaddingFontSize1"/>
      </w:pPr>
    </w:p>
    <w:p w:rsidR="00000000" w:rsidRPr="00DA136B" w:rsidP="00DA136B">
      <w:pPr>
        <w:pStyle w:val="AllowPageBreak"/>
      </w:pPr>
    </w:p>
    <w:p w:rsidR="00000000" w:rsidRPr="00DA136B" w:rsidP="00DA136B">
      <w:pPr>
        <w:pStyle w:val="Heading1"/>
      </w:pPr>
      <w:bookmarkStart w:id="2" w:name="O_1240187"/>
      <w:bookmarkEnd w:id="2"/>
      <w:r w:rsidRPr="00DA136B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36B" w:rsidP="00DA136B">
            <w:pPr>
              <w:pStyle w:val="BodyText"/>
            </w:pPr>
            <w:r w:rsidRPr="00DA136B">
              <w:t>This qualification allows for the attainment of competencies in test and evaluation</w:t>
            </w:r>
            <w:r w:rsidRPr="00DA136B">
              <w:t xml:space="preserve"> required to plan, prepare, conduct and report test and evaluation processes. Applying knowledge of test and evaluation processes is specific to work undertaken for Defence and may be included within a variety of areas such as management, acquisitions, aud</w:t>
            </w:r>
            <w:r w:rsidRPr="00DA136B">
              <w:t>its, inspections, policy implementation, technical manual development, platform integration, configuration, staff processes, transport and inter-operability.</w:t>
            </w:r>
          </w:p>
          <w:p w:rsidR="00000000" w:rsidRPr="00DA136B" w:rsidP="00DA136B">
            <w:pPr>
              <w:pStyle w:val="BodyText"/>
            </w:pPr>
            <w:r w:rsidRPr="00DA136B">
              <w:rPr>
                <w:rStyle w:val="SpecialBold"/>
              </w:rPr>
              <w:t>Job Roles</w:t>
            </w:r>
          </w:p>
          <w:p w:rsidR="00000000" w:rsidRPr="00DA136B" w:rsidP="00DA136B">
            <w:pPr>
              <w:pStyle w:val="BodyText"/>
            </w:pPr>
            <w:r w:rsidRPr="00DA136B">
              <w:t>Job roles and titles vary across different sectors. Possible job titles relevant to this</w:t>
            </w:r>
            <w:r w:rsidRPr="00DA136B">
              <w:t xml:space="preserve"> qualification include:</w:t>
            </w:r>
          </w:p>
          <w:p w:rsidR="00000000" w:rsidRPr="00DA136B" w:rsidP="00DA136B">
            <w:pPr>
              <w:pStyle w:val="ListBullet"/>
            </w:pPr>
            <w:r w:rsidRPr="00DA136B">
              <w:t>Test and Evaluation Practitioner</w:t>
            </w:r>
          </w:p>
          <w:p w:rsidR="00000000" w:rsidRPr="00DA136B" w:rsidP="00DA136B">
            <w:pPr>
              <w:pStyle w:val="ListBullet"/>
            </w:pPr>
            <w:r w:rsidRPr="00DA136B">
              <w:t>Senior Test and Evaluation Practitioner</w:t>
            </w:r>
          </w:p>
          <w:p w:rsidR="00000000" w:rsidRPr="00DA136B" w:rsidP="00DA136B">
            <w:pPr>
              <w:pStyle w:val="BodyText"/>
            </w:pPr>
            <w:r w:rsidRPr="00DA136B">
              <w:t>No licensing, legislative or certification requirements apply to this qualification at the time of publication.</w:t>
            </w:r>
          </w:p>
        </w:tc>
      </w:tr>
    </w:tbl>
    <w:p w:rsidR="00000000" w:rsidRPr="00DA136B" w:rsidP="00DA136B">
      <w:pPr>
        <w:pStyle w:val="NoPaddingFontSize1"/>
      </w:pPr>
    </w:p>
    <w:p w:rsidR="00000000" w:rsidRPr="00DA136B" w:rsidP="00DA136B">
      <w:pPr>
        <w:pStyle w:val="AllowPageBreak"/>
      </w:pPr>
    </w:p>
    <w:p w:rsidR="00000000" w:rsidRPr="00DA136B" w:rsidP="00DA136B">
      <w:pPr>
        <w:pStyle w:val="Heading1"/>
      </w:pPr>
      <w:bookmarkStart w:id="3" w:name="O_1240188"/>
      <w:bookmarkEnd w:id="3"/>
      <w:r w:rsidRPr="00DA136B">
        <w:t>Entry Requirements</w:t>
      </w:r>
    </w:p>
    <w:p w:rsidR="00000000" w:rsidRPr="00DA136B" w:rsidP="00F628F6">
      <w:pPr>
        <w:pStyle w:val="BodyText"/>
      </w:pPr>
      <w:r w:rsidRPr="00DA136B">
        <w:t>Nil</w:t>
      </w:r>
    </w:p>
    <w:p w:rsidR="00000000" w:rsidRPr="00DA136B" w:rsidP="00DA136B">
      <w:pPr>
        <w:pStyle w:val="Heading1"/>
      </w:pPr>
      <w:bookmarkStart w:id="4" w:name="O_1240189"/>
      <w:bookmarkEnd w:id="4"/>
      <w:r w:rsidRPr="00DA136B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2"/>
        <w:gridCol w:w="6825"/>
      </w:tblGrid>
      <w:tr w:rsidTr="00DA1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36B" w:rsidP="00DA136B">
            <w:pPr>
              <w:pStyle w:val="BodyText"/>
            </w:pPr>
            <w:r w:rsidRPr="00DA136B">
              <w:rPr>
                <w:rStyle w:val="SpecialBold"/>
              </w:rPr>
              <w:t>12 units of competency</w:t>
            </w:r>
            <w:r w:rsidRPr="00DA136B">
              <w:t xml:space="preserve"> are required for this qualification comprising:</w:t>
            </w:r>
          </w:p>
          <w:p w:rsidR="00000000" w:rsidRPr="00DA136B" w:rsidP="00DA136B">
            <w:pPr>
              <w:pStyle w:val="ListBullet"/>
            </w:pPr>
            <w:r w:rsidRPr="00DA136B">
              <w:rPr>
                <w:rStyle w:val="SpecialBold"/>
              </w:rPr>
              <w:t>8 core units</w:t>
            </w:r>
            <w:r w:rsidRPr="00DA136B">
              <w:t>, plus</w:t>
            </w:r>
          </w:p>
          <w:p w:rsidR="00000000" w:rsidRPr="00DA136B" w:rsidP="00DA136B">
            <w:pPr>
              <w:pStyle w:val="ListBullet"/>
            </w:pPr>
            <w:r w:rsidRPr="00DA136B">
              <w:rPr>
                <w:rStyle w:val="SpecialBold"/>
              </w:rPr>
              <w:t>4 general elective units</w:t>
            </w:r>
            <w:r w:rsidRPr="00DA136B">
              <w:t>.</w:t>
            </w:r>
          </w:p>
          <w:p w:rsidR="00000000" w:rsidRPr="00DA136B" w:rsidP="00DA136B">
            <w:pPr>
              <w:pStyle w:val="BodyText"/>
            </w:pPr>
            <w:r w:rsidRPr="00DA136B">
              <w:t xml:space="preserve">Choose a minimum of </w:t>
            </w:r>
            <w:r w:rsidRPr="00DA136B">
              <w:rPr>
                <w:rStyle w:val="SpecialBold"/>
              </w:rPr>
              <w:t>2 elective units</w:t>
            </w:r>
            <w:r w:rsidRPr="00DA136B">
              <w:t xml:space="preserve"> from the general elective units listed below.</w:t>
            </w:r>
          </w:p>
          <w:p w:rsidR="00000000" w:rsidRPr="00DA136B" w:rsidP="00DA136B">
            <w:pPr>
              <w:pStyle w:val="BodyText"/>
            </w:pPr>
            <w:r w:rsidRPr="00DA136B">
              <w:t xml:space="preserve">Choose the remaining </w:t>
            </w:r>
            <w:r w:rsidRPr="00DA136B">
              <w:rPr>
                <w:rStyle w:val="SpecialBold"/>
              </w:rPr>
              <w:t>2</w:t>
            </w:r>
            <w:r w:rsidRPr="00DA136B">
              <w:rPr>
                <w:rStyle w:val="SpecialBold"/>
              </w:rPr>
              <w:t xml:space="preserve"> elective units</w:t>
            </w:r>
            <w:r w:rsidRPr="00DA136B">
              <w:t xml:space="preserve"> from the general elective units listed below or from elsewhere within this Training Package, or from another endorsed Training Package, or from an accredited course.</w:t>
            </w:r>
          </w:p>
          <w:p w:rsidR="00000000" w:rsidRPr="00DA136B" w:rsidP="00DA136B">
            <w:pPr>
              <w:pStyle w:val="BodyText"/>
            </w:pPr>
            <w:r w:rsidRPr="00DA136B">
              <w:t>All elective units chosen from outside this qualification must reflect the</w:t>
            </w:r>
            <w:r w:rsidRPr="00DA136B">
              <w:t xml:space="preserve"> occupational and learning outcomes of this AQF qualification level.</w:t>
            </w:r>
          </w:p>
          <w:p w:rsidR="00000000" w:rsidRPr="00DA136B" w:rsidP="00DA136B">
            <w:pPr>
              <w:pStyle w:val="BodyText"/>
            </w:pPr>
            <w:r w:rsidRPr="00DA136B">
              <w:rPr>
                <w:rStyle w:val="SpecialBold"/>
              </w:rPr>
              <w:t>Elective units chosen must not duplicate content already covered by other units in this qualification.</w:t>
            </w:r>
          </w:p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Where imported units are selected, care must be taken to ensure that all prerequisit</w:t>
            </w:r>
            <w:r w:rsidRPr="00DA136B">
              <w:t xml:space="preserve">e units </w:t>
            </w:r>
            <w:r w:rsidRPr="00DA136B">
              <w:t>specified are complied with.</w:t>
            </w:r>
          </w:p>
        </w:tc>
      </w:tr>
      <w:tr w:rsidTr="00DA1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rPr>
                <w:rStyle w:val="SpecialBold"/>
              </w:rPr>
              <w:t xml:space="preserve">Core units </w:t>
            </w:r>
          </w:p>
        </w:tc>
      </w:tr>
      <w:tr w:rsidTr="00DA1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DEFGEN008</w:t>
            </w:r>
          </w:p>
        </w:tc>
        <w:tc>
          <w:tcPr>
            <w:tcW w:w="6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Treat risk within Defence at an operational level</w:t>
            </w:r>
          </w:p>
        </w:tc>
      </w:tr>
      <w:tr w:rsidTr="00DA1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DEFGEN011</w:t>
            </w:r>
          </w:p>
        </w:tc>
        <w:tc>
          <w:tcPr>
            <w:tcW w:w="6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Interpret policy, legislation and regulations</w:t>
            </w:r>
          </w:p>
        </w:tc>
      </w:tr>
      <w:tr w:rsidTr="00DA1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DEFGEN012</w:t>
            </w:r>
          </w:p>
        </w:tc>
        <w:tc>
          <w:tcPr>
            <w:tcW w:w="6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Provide technical advice</w:t>
            </w:r>
          </w:p>
        </w:tc>
      </w:tr>
      <w:tr w:rsidTr="00DA1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DEFTST006</w:t>
            </w:r>
          </w:p>
        </w:tc>
        <w:tc>
          <w:tcPr>
            <w:tcW w:w="6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Analyse test data</w:t>
            </w:r>
          </w:p>
        </w:tc>
      </w:tr>
      <w:tr w:rsidTr="00DA1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DEFTST010</w:t>
            </w:r>
          </w:p>
        </w:tc>
        <w:tc>
          <w:tcPr>
            <w:tcW w:w="6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Conduct test and evaluation processes</w:t>
            </w:r>
          </w:p>
        </w:tc>
      </w:tr>
      <w:tr w:rsidTr="00DA1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DEFTST013</w:t>
            </w:r>
          </w:p>
        </w:tc>
        <w:tc>
          <w:tcPr>
            <w:tcW w:w="6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Plan test and evaluation processes</w:t>
            </w:r>
          </w:p>
        </w:tc>
      </w:tr>
      <w:tr w:rsidTr="00DA1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DEFTST014</w:t>
            </w:r>
          </w:p>
        </w:tc>
        <w:tc>
          <w:tcPr>
            <w:tcW w:w="6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Prepare test and evaluation processes</w:t>
            </w:r>
          </w:p>
        </w:tc>
      </w:tr>
      <w:tr w:rsidTr="00DA1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DEFTST015</w:t>
            </w:r>
          </w:p>
        </w:tc>
        <w:tc>
          <w:tcPr>
            <w:tcW w:w="6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Produce test and evaluation reports</w:t>
            </w:r>
          </w:p>
        </w:tc>
      </w:tr>
      <w:tr w:rsidTr="00DA1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rPr>
                <w:rStyle w:val="SpecialBold"/>
              </w:rPr>
              <w:t>General elective units</w:t>
            </w:r>
          </w:p>
        </w:tc>
      </w:tr>
      <w:tr w:rsidTr="00DA1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BSBPMG420</w:t>
            </w:r>
          </w:p>
        </w:tc>
        <w:tc>
          <w:tcPr>
            <w:tcW w:w="6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Apply project scope management techniques</w:t>
            </w:r>
          </w:p>
        </w:tc>
      </w:tr>
      <w:tr w:rsidTr="00DA1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BSBPMG424</w:t>
            </w:r>
          </w:p>
        </w:tc>
        <w:tc>
          <w:tcPr>
            <w:tcW w:w="6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Apply project human resources management approaches</w:t>
            </w:r>
          </w:p>
        </w:tc>
      </w:tr>
      <w:tr w:rsidTr="00DA1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BSBPMG425</w:t>
            </w:r>
          </w:p>
        </w:tc>
        <w:tc>
          <w:tcPr>
            <w:tcW w:w="6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Apply project information management and communications techniques</w:t>
            </w:r>
          </w:p>
        </w:tc>
      </w:tr>
      <w:tr w:rsidTr="00DA1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BSBPMG428</w:t>
            </w:r>
          </w:p>
        </w:tc>
        <w:tc>
          <w:tcPr>
            <w:tcW w:w="6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Apply project life cycle management processes</w:t>
            </w:r>
          </w:p>
        </w:tc>
      </w:tr>
      <w:tr w:rsidTr="00DA1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BSBPMG430</w:t>
            </w:r>
          </w:p>
        </w:tc>
        <w:tc>
          <w:tcPr>
            <w:tcW w:w="6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Undertake project work</w:t>
            </w:r>
          </w:p>
        </w:tc>
      </w:tr>
      <w:tr w:rsidTr="00DA1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BSBWHS411</w:t>
            </w:r>
          </w:p>
        </w:tc>
        <w:tc>
          <w:tcPr>
            <w:tcW w:w="6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Implement and monitor WHS policies, procedures and programs</w:t>
            </w:r>
          </w:p>
        </w:tc>
      </w:tr>
      <w:tr w:rsidTr="00DA1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BSBWHS414</w:t>
            </w:r>
          </w:p>
        </w:tc>
        <w:tc>
          <w:tcPr>
            <w:tcW w:w="6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Contribute to WHS risk management</w:t>
            </w:r>
          </w:p>
        </w:tc>
      </w:tr>
      <w:tr w:rsidTr="00DA1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DEFGEN005</w:t>
            </w:r>
          </w:p>
        </w:tc>
        <w:tc>
          <w:tcPr>
            <w:tcW w:w="6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Develop relationships with other organisations</w:t>
            </w:r>
          </w:p>
        </w:tc>
      </w:tr>
      <w:tr w:rsidTr="00DA1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PSPGEN105</w:t>
            </w:r>
          </w:p>
        </w:tc>
        <w:tc>
          <w:tcPr>
            <w:tcW w:w="6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Gather and analyse information</w:t>
            </w:r>
          </w:p>
        </w:tc>
      </w:tr>
      <w:tr w:rsidTr="00DA1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6B">
            <w:pPr>
              <w:pStyle w:val="BodyText"/>
              <w:rPr>
                <w:lang w:val="en-NZ"/>
              </w:rPr>
            </w:pPr>
            <w:r w:rsidRPr="00DA136B">
              <w:t>PSPGEN130</w:t>
            </w:r>
          </w:p>
        </w:tc>
        <w:tc>
          <w:tcPr>
            <w:tcW w:w="6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36B" w:rsidP="00DA136B">
            <w:pPr>
              <w:pStyle w:val="BodyText"/>
            </w:pPr>
            <w:r w:rsidRPr="00DA136B">
              <w:t>Use re</w:t>
            </w:r>
            <w:r w:rsidRPr="00DA136B">
              <w:t>sources to achieve work unit goals</w:t>
            </w:r>
          </w:p>
        </w:tc>
      </w:tr>
    </w:tbl>
    <w:p w:rsidR="00000000" w:rsidRPr="00DA136B" w:rsidP="00DA136B">
      <w:pPr>
        <w:pStyle w:val="NoPaddingFontSize1"/>
      </w:pPr>
    </w:p>
    <w:p w:rsidR="00000000" w:rsidRPr="00DA136B" w:rsidP="00DA136B">
      <w:pPr>
        <w:pStyle w:val="AllowPageBreak"/>
      </w:pPr>
    </w:p>
    <w:p w:rsidR="00000000" w:rsidRPr="00DA136B" w:rsidP="00DA136B">
      <w:pPr>
        <w:pStyle w:val="Heading1"/>
      </w:pPr>
      <w:bookmarkStart w:id="5" w:name="O_1240190"/>
      <w:bookmarkEnd w:id="5"/>
      <w:r w:rsidRPr="00DA136B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36B" w:rsidP="00DA136B">
            <w:pPr>
              <w:pStyle w:val="BodyText"/>
            </w:pPr>
            <w:r w:rsidRPr="00DA136B">
              <w:t>This qualification replaces but is not equivalent to DEF40517 Certificate IV in Test and Evaluation.</w:t>
            </w:r>
          </w:p>
        </w:tc>
      </w:tr>
    </w:tbl>
    <w:p w:rsidR="00000000" w:rsidRPr="00DA136B" w:rsidP="00DA136B">
      <w:pPr>
        <w:pStyle w:val="NoPaddingFontSize1"/>
      </w:pPr>
    </w:p>
    <w:p w:rsidR="00000000" w:rsidRPr="00DA136B" w:rsidP="00DA136B">
      <w:pPr>
        <w:pStyle w:val="AllowPageBreak"/>
      </w:pPr>
    </w:p>
    <w:p w:rsidR="00000000" w:rsidRPr="00DA136B" w:rsidP="00DA136B">
      <w:pPr>
        <w:pStyle w:val="Heading1"/>
      </w:pPr>
      <w:bookmarkStart w:id="6" w:name="O_1240192"/>
      <w:bookmarkEnd w:id="6"/>
      <w:r w:rsidRPr="00DA136B">
        <w:t>Links</w:t>
      </w:r>
    </w:p>
    <w:p w:rsidR="00000000" w:rsidRPr="00DA136B" w:rsidP="00F628F6">
      <w:pPr>
        <w:pStyle w:val="BodyText"/>
      </w:pPr>
      <w:r w:rsidRPr="00DA136B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A670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A136B" w:rsidP="00DA136B"/>
    <w:sectPr w:rsidSect="00DA13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3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36B" w:rsidRPr="00F628F6" w:rsidP="00F628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3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8F6" w:rsidP="00DA13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28F6" w:rsidP="00DA13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628F6" w:rsidP="00DA13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3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8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136B" w:rsidRPr="00F628F6" w:rsidP="00F628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3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8F6" w:rsidRPr="002D2AF8" w:rsidP="00DA13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DEF41022 Certificate IV in Test and Evaluation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2022</w:t>
    </w:r>
    <w:r>
      <w:fldChar w:fldCharType="end"/>
    </w:r>
  </w:p>
  <w:p w:rsidR="00F628F6" w:rsidP="00DA13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924B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EC69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3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13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13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13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13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13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13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13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13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13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13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136B"/>
  </w:style>
  <w:style w:type="character" w:customStyle="1" w:styleId="Heading1Char">
    <w:name w:val="Heading 1 Char"/>
    <w:basedOn w:val="DefaultParagraphFont"/>
    <w:link w:val="Heading1"/>
    <w:rsid w:val="00DA13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13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13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13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136B"/>
    <w:rPr>
      <w:b/>
      <w:spacing w:val="0"/>
    </w:rPr>
  </w:style>
  <w:style w:type="paragraph" w:customStyle="1" w:styleId="SuperHeading">
    <w:name w:val="SuperHeading"/>
    <w:basedOn w:val="Normal"/>
    <w:rsid w:val="00DA13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13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A13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13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13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13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13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13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13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13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13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13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13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13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13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13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13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13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13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13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13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13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13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13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13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13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13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13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13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13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13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13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13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13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13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136B"/>
    <w:rPr>
      <w:i/>
    </w:rPr>
  </w:style>
  <w:style w:type="paragraph" w:styleId="Caption">
    <w:name w:val="caption"/>
    <w:basedOn w:val="BodyText"/>
    <w:next w:val="Normal"/>
    <w:qFormat/>
    <w:rsid w:val="00DA13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13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13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136B"/>
  </w:style>
  <w:style w:type="paragraph" w:styleId="TableofFigures">
    <w:name w:val="table of figures"/>
    <w:basedOn w:val="Normal"/>
    <w:next w:val="Normal"/>
    <w:semiHidden/>
    <w:rsid w:val="00DA13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13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136B"/>
    <w:rPr>
      <w:rFonts w:ascii="Wingdings" w:hAnsi="Wingdings"/>
    </w:rPr>
  </w:style>
  <w:style w:type="paragraph" w:customStyle="1" w:styleId="TableHeading">
    <w:name w:val="Table Heading"/>
    <w:basedOn w:val="HeadingBase"/>
    <w:rsid w:val="00DA13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136B"/>
    <w:rPr>
      <w:color w:val="0033CC"/>
      <w:u w:val="none"/>
    </w:rPr>
  </w:style>
  <w:style w:type="paragraph" w:customStyle="1" w:styleId="BodyTextRight">
    <w:name w:val="Body Text Right"/>
    <w:basedOn w:val="BodyText"/>
    <w:rsid w:val="00DA13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13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13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13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13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13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136B"/>
    <w:rPr>
      <w:sz w:val="32"/>
    </w:rPr>
  </w:style>
  <w:style w:type="paragraph" w:customStyle="1" w:styleId="HeadingProcedure">
    <w:name w:val="Heading Procedure"/>
    <w:basedOn w:val="HeadingBase"/>
    <w:next w:val="Normal"/>
    <w:rsid w:val="00DA13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136B"/>
    <w:pPr>
      <w:spacing w:before="60" w:after="60"/>
    </w:pPr>
  </w:style>
  <w:style w:type="paragraph" w:styleId="ListContinue">
    <w:name w:val="List Continue"/>
    <w:basedOn w:val="List"/>
    <w:rsid w:val="00DA136B"/>
    <w:pPr>
      <w:ind w:firstLine="0"/>
    </w:pPr>
  </w:style>
  <w:style w:type="paragraph" w:customStyle="1" w:styleId="ListNote">
    <w:name w:val="List Note"/>
    <w:basedOn w:val="List"/>
    <w:rsid w:val="00DA13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13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13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136B"/>
    <w:rPr>
      <w:rFonts w:ascii="Courier New" w:hAnsi="Courier New"/>
    </w:rPr>
  </w:style>
  <w:style w:type="paragraph" w:customStyle="1" w:styleId="NoteBullet">
    <w:name w:val="Note Bullet"/>
    <w:basedOn w:val="Note"/>
    <w:rsid w:val="00DA13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13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13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13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13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13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13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136B"/>
    <w:rPr>
      <w:b/>
      <w:smallCaps/>
    </w:rPr>
  </w:style>
  <w:style w:type="paragraph" w:customStyle="1" w:styleId="TableListNumber">
    <w:name w:val="Table List Number"/>
    <w:basedOn w:val="ListNumber"/>
    <w:rsid w:val="00DA13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13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136B"/>
    <w:pPr>
      <w:numPr>
        <w:numId w:val="8"/>
      </w:numPr>
    </w:pPr>
  </w:style>
  <w:style w:type="paragraph" w:customStyle="1" w:styleId="ListAlpha2">
    <w:name w:val="List Alpha 2"/>
    <w:basedOn w:val="List2"/>
    <w:rsid w:val="00DA136B"/>
    <w:pPr>
      <w:numPr>
        <w:numId w:val="7"/>
      </w:numPr>
    </w:pPr>
  </w:style>
  <w:style w:type="paragraph" w:styleId="List2">
    <w:name w:val="List 2"/>
    <w:basedOn w:val="BodyText"/>
    <w:rsid w:val="00DA13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13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13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13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13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13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136B"/>
    <w:pPr>
      <w:numPr>
        <w:numId w:val="3"/>
      </w:numPr>
    </w:pPr>
  </w:style>
  <w:style w:type="paragraph" w:styleId="ListContinue2">
    <w:name w:val="List Continue 2"/>
    <w:basedOn w:val="List2"/>
    <w:rsid w:val="00DA136B"/>
    <w:pPr>
      <w:ind w:firstLine="0"/>
    </w:pPr>
  </w:style>
  <w:style w:type="paragraph" w:styleId="ListContinue3">
    <w:name w:val="List Continue 3"/>
    <w:basedOn w:val="List3"/>
    <w:rsid w:val="00DA136B"/>
    <w:pPr>
      <w:ind w:left="1021" w:firstLine="0"/>
    </w:pPr>
  </w:style>
  <w:style w:type="paragraph" w:styleId="ListContinue4">
    <w:name w:val="List Continue 4"/>
    <w:basedOn w:val="List4"/>
    <w:rsid w:val="00DA136B"/>
    <w:pPr>
      <w:ind w:firstLine="0"/>
    </w:pPr>
  </w:style>
  <w:style w:type="paragraph" w:styleId="ListContinue5">
    <w:name w:val="List Continue 5"/>
    <w:basedOn w:val="List5"/>
    <w:rsid w:val="00DA136B"/>
    <w:pPr>
      <w:ind w:firstLine="0"/>
    </w:pPr>
  </w:style>
  <w:style w:type="paragraph" w:styleId="ListNumber3">
    <w:name w:val="List Number 3"/>
    <w:basedOn w:val="List3"/>
    <w:rsid w:val="00DA136B"/>
    <w:pPr>
      <w:numPr>
        <w:numId w:val="4"/>
      </w:numPr>
    </w:pPr>
  </w:style>
  <w:style w:type="paragraph" w:styleId="ListNumber4">
    <w:name w:val="List Number 4"/>
    <w:basedOn w:val="List4"/>
    <w:rsid w:val="00DA136B"/>
    <w:pPr>
      <w:numPr>
        <w:numId w:val="5"/>
      </w:numPr>
    </w:pPr>
  </w:style>
  <w:style w:type="paragraph" w:styleId="ListNumber5">
    <w:name w:val="List Number 5"/>
    <w:basedOn w:val="List5"/>
    <w:rsid w:val="00DA136B"/>
    <w:pPr>
      <w:numPr>
        <w:numId w:val="6"/>
      </w:numPr>
    </w:pPr>
  </w:style>
  <w:style w:type="paragraph" w:styleId="BlockText">
    <w:name w:val="Block Text"/>
    <w:basedOn w:val="Normal"/>
    <w:rsid w:val="00DA13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13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136B"/>
    <w:rPr>
      <w:sz w:val="16"/>
      <w:vertAlign w:val="superscript"/>
    </w:rPr>
  </w:style>
  <w:style w:type="character" w:customStyle="1" w:styleId="Symbols">
    <w:name w:val="Symbols"/>
    <w:basedOn w:val="DefaultParagraphFont"/>
    <w:rsid w:val="00DA136B"/>
    <w:rPr>
      <w:rFonts w:ascii="Symbol" w:hAnsi="Symbol"/>
    </w:rPr>
  </w:style>
  <w:style w:type="character" w:customStyle="1" w:styleId="MenuOptions">
    <w:name w:val="Menu Options"/>
    <w:basedOn w:val="DefaultParagraphFont"/>
    <w:rsid w:val="00DA13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136B"/>
    <w:rPr>
      <w:b/>
    </w:rPr>
  </w:style>
  <w:style w:type="character" w:customStyle="1" w:styleId="Underlined">
    <w:name w:val="Underlined"/>
    <w:basedOn w:val="DefaultParagraphFont"/>
    <w:rsid w:val="00DA136B"/>
    <w:rPr>
      <w:u w:val="single"/>
    </w:rPr>
  </w:style>
  <w:style w:type="paragraph" w:customStyle="1" w:styleId="TableBodyTextRight">
    <w:name w:val="Table Body Text Right"/>
    <w:basedOn w:val="TableBodyText"/>
    <w:rsid w:val="00DA13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136B"/>
    <w:rPr>
      <w:sz w:val="18"/>
    </w:rPr>
  </w:style>
  <w:style w:type="paragraph" w:customStyle="1" w:styleId="BodySmallRight">
    <w:name w:val="Body Small Right"/>
    <w:basedOn w:val="BodyTextRight"/>
    <w:rsid w:val="00DA136B"/>
    <w:rPr>
      <w:sz w:val="18"/>
      <w:szCs w:val="18"/>
    </w:rPr>
  </w:style>
  <w:style w:type="paragraph" w:customStyle="1" w:styleId="MarginEdition">
    <w:name w:val="Margin Edition"/>
    <w:basedOn w:val="MarginNote"/>
    <w:rsid w:val="00DA13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136B"/>
    <w:rPr>
      <w:sz w:val="2"/>
      <w:szCs w:val="2"/>
    </w:rPr>
  </w:style>
  <w:style w:type="character" w:customStyle="1" w:styleId="Small">
    <w:name w:val="Small"/>
    <w:basedOn w:val="DefaultParagraphFont"/>
    <w:rsid w:val="00DA136B"/>
    <w:rPr>
      <w:sz w:val="16"/>
    </w:rPr>
  </w:style>
  <w:style w:type="paragraph" w:customStyle="1" w:styleId="WideTable">
    <w:name w:val="Wide Table"/>
    <w:basedOn w:val="Normal"/>
    <w:rsid w:val="00DA13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136B"/>
  </w:style>
  <w:style w:type="paragraph" w:styleId="Quote">
    <w:name w:val="Quote"/>
    <w:basedOn w:val="Heading1"/>
    <w:link w:val="QuoteChar"/>
    <w:qFormat/>
    <w:rsid w:val="00DA13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13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136B"/>
    <w:pPr>
      <w:pageBreakBefore/>
    </w:pPr>
  </w:style>
  <w:style w:type="paragraph" w:customStyle="1" w:styleId="Border">
    <w:name w:val="Border"/>
    <w:basedOn w:val="Normal"/>
    <w:qFormat/>
    <w:rsid w:val="00DA13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13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3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3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13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13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13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13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13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136B"/>
    <w:rPr>
      <w:u w:val="single"/>
    </w:rPr>
  </w:style>
  <w:style w:type="character" w:customStyle="1" w:styleId="BoldandItalics">
    <w:name w:val="Bold and Italics"/>
    <w:qFormat/>
    <w:rsid w:val="00DA136B"/>
    <w:rPr>
      <w:b/>
      <w:i/>
      <w:u w:val="none"/>
    </w:rPr>
  </w:style>
  <w:style w:type="paragraph" w:styleId="BalloonText">
    <w:name w:val="Balloon Text"/>
    <w:basedOn w:val="Normal"/>
    <w:link w:val="BalloonTextChar"/>
    <w:rsid w:val="00DA13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13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13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13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13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13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136B"/>
    <w:pPr>
      <w:spacing w:before="0" w:after="0"/>
    </w:pPr>
  </w:style>
  <w:style w:type="paragraph" w:customStyle="1" w:styleId="BodyTextBold">
    <w:name w:val="Body Text Bold"/>
    <w:basedOn w:val="BodyText"/>
    <w:qFormat/>
    <w:rsid w:val="00DA136B"/>
    <w:rPr>
      <w:b/>
    </w:rPr>
  </w:style>
  <w:style w:type="character" w:styleId="Hyperlink">
    <w:name w:val="Hyperlink"/>
    <w:basedOn w:val="DefaultParagraphFont"/>
    <w:uiPriority w:val="99"/>
    <w:unhideWhenUsed/>
    <w:rsid w:val="00F628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2856</Characters>
  <Application>Microsoft Office Word</Application>
  <DocSecurity>0</DocSecurity>
  <Lines>98</Lines>
  <Paragraphs>78</Paragraphs>
  <ScaleCrop>false</ScaleCrop>
  <Company>Author-it Software Corporation Ltd.</Company>
  <LinksUpToDate>false</LinksUpToDate>
  <CharactersWithSpaces>3216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DEF41022 Certificate IV in Test and Evaluation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2022-10-21T17:08:18Z</dcterms:created>
  <dcterms:modified xsi:type="dcterms:W3CDTF">2022-10-20T21:50:00Z</dcterms:modified>
</cp:coreProperties>
</file>