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55E" w:rsidP="004415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DEF40420 Certificate IV in Explosive Ordnance Proof and Experimental</w:t>
      </w:r>
      <w:r>
        <w:fldChar w:fldCharType="end"/>
      </w:r>
    </w:p>
    <w:p w:rsidR="0044155E" w:rsidP="0044155E">
      <w:pPr>
        <w:pStyle w:val="Version"/>
        <w:sectPr w:rsidSect="00CE51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E511E" w:rsidP="00CE511E">
      <w:pPr>
        <w:pStyle w:val="SuperHeading"/>
      </w:pPr>
      <w:r w:rsidRPr="00CE511E">
        <w:t>DEF40420 Certificate IV in Explosive Ordnance Proof and Experimental</w:t>
      </w:r>
    </w:p>
    <w:p w:rsidR="00000000" w:rsidRPr="00CE511E" w:rsidP="00CE511E">
      <w:pPr>
        <w:pStyle w:val="Heading1"/>
      </w:pPr>
      <w:bookmarkStart w:id="1" w:name="O_1096890"/>
      <w:bookmarkEnd w:id="1"/>
      <w:r w:rsidRPr="00CE51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11E" w:rsidP="00CE511E">
            <w:pPr>
              <w:pStyle w:val="BodyText"/>
            </w:pPr>
            <w:r w:rsidRPr="00CE511E">
              <w:t>Release 1. This qualification was released in DEF Defence Training Package release 3.0.</w:t>
            </w:r>
          </w:p>
        </w:tc>
      </w:tr>
    </w:tbl>
    <w:p w:rsidR="0044155E" w:rsidP="00CE511E">
      <w:pPr>
        <w:pStyle w:val="NoPaddingFontSize1"/>
      </w:pPr>
    </w:p>
    <w:p w:rsidR="0044155E" w:rsidP="00CE511E">
      <w:pPr>
        <w:pStyle w:val="NoPaddingFontSize1"/>
      </w:pPr>
    </w:p>
    <w:p w:rsidR="00000000" w:rsidRPr="00CE511E" w:rsidP="00CE511E">
      <w:pPr>
        <w:pStyle w:val="Heading1"/>
      </w:pPr>
      <w:bookmarkStart w:id="2" w:name="O_1096891"/>
      <w:bookmarkEnd w:id="2"/>
      <w:r w:rsidRPr="00CE511E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11E" w:rsidP="00CE511E">
            <w:pPr>
              <w:pStyle w:val="BodyText"/>
            </w:pPr>
            <w:r w:rsidRPr="00CE511E">
              <w:t xml:space="preserve">This qualification allows for the attainment of competencies in explosive ordnance proof and experimental operations. </w:t>
            </w:r>
          </w:p>
          <w:p w:rsidR="00000000" w:rsidRPr="00CE511E" w:rsidP="00CE511E">
            <w:pPr>
              <w:pStyle w:val="BodyText"/>
            </w:pPr>
            <w:r w:rsidRPr="00CE511E">
              <w:t>No licensing, legislative or certification requirements apply to this qualification at the time of publication.</w:t>
            </w:r>
          </w:p>
        </w:tc>
      </w:tr>
    </w:tbl>
    <w:p w:rsidR="0044155E" w:rsidP="00CE511E">
      <w:pPr>
        <w:pStyle w:val="NoPaddingFontSize1"/>
      </w:pPr>
    </w:p>
    <w:p w:rsidR="0044155E" w:rsidP="00CE511E">
      <w:pPr>
        <w:pStyle w:val="NoPaddingFontSize1"/>
      </w:pPr>
    </w:p>
    <w:p w:rsidR="00000000" w:rsidRPr="00CE511E" w:rsidP="00CE511E">
      <w:pPr>
        <w:pStyle w:val="Heading1"/>
      </w:pPr>
      <w:bookmarkStart w:id="3" w:name="O_1096892"/>
      <w:bookmarkEnd w:id="3"/>
      <w:r w:rsidRPr="00CE511E">
        <w:t>Ent</w:t>
      </w:r>
      <w:r w:rsidRPr="00CE511E">
        <w:t>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11E" w:rsidP="00CE511E">
            <w:pPr>
              <w:pStyle w:val="BodyText"/>
            </w:pPr>
            <w:r w:rsidRPr="00CE511E">
              <w:t>Nil</w:t>
            </w:r>
          </w:p>
        </w:tc>
      </w:tr>
    </w:tbl>
    <w:p w:rsidR="0044155E" w:rsidP="00CE511E">
      <w:pPr>
        <w:pStyle w:val="NoPaddingFontSize1"/>
      </w:pPr>
    </w:p>
    <w:p w:rsidR="0044155E" w:rsidP="00CE511E">
      <w:pPr>
        <w:pStyle w:val="NoPaddingFontSize1"/>
      </w:pPr>
    </w:p>
    <w:p w:rsidR="00000000" w:rsidRPr="00CE511E" w:rsidP="00CE511E">
      <w:pPr>
        <w:pStyle w:val="Heading1"/>
      </w:pPr>
      <w:bookmarkStart w:id="4" w:name="O_1096893"/>
      <w:bookmarkEnd w:id="4"/>
      <w:r w:rsidRPr="00CE511E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11E" w:rsidP="00CE511E">
            <w:pPr>
              <w:pStyle w:val="BodyText"/>
            </w:pPr>
            <w:r w:rsidRPr="00CE511E">
              <w:t>14 units of competency are required for this qualification:</w:t>
            </w:r>
          </w:p>
          <w:p w:rsidR="00000000" w:rsidRPr="00CE511E" w:rsidP="00CE511E">
            <w:pPr>
              <w:pStyle w:val="ListBullet"/>
            </w:pPr>
            <w:r w:rsidRPr="00CE511E">
              <w:t>2 core units</w:t>
            </w:r>
          </w:p>
          <w:p w:rsidR="00000000" w:rsidRPr="00CE511E" w:rsidP="00CE511E">
            <w:pPr>
              <w:pStyle w:val="ListBullet"/>
            </w:pPr>
            <w:r w:rsidRPr="00CE511E">
              <w:t>12 elective units</w:t>
            </w:r>
          </w:p>
          <w:p w:rsidR="00000000" w:rsidRPr="00CE511E" w:rsidP="00CE511E">
            <w:pPr>
              <w:pStyle w:val="BodyText"/>
            </w:pPr>
            <w:r w:rsidRPr="00CE511E">
              <w:t>Choose a minimum of 10 electives from the list below, of which at least 7 must be taken from Group A.</w:t>
            </w:r>
          </w:p>
          <w:p w:rsidR="00000000" w:rsidRPr="00CE511E" w:rsidP="00CE511E">
            <w:pPr>
              <w:pStyle w:val="BodyText"/>
            </w:pPr>
            <w:r w:rsidRPr="00CE511E">
              <w:t xml:space="preserve">Choose the remaining 2 electives from the list below or from elsewhere within this training package, or from another endorsed training package, or from an accredited course. </w:t>
            </w:r>
          </w:p>
          <w:p w:rsidR="00000000" w:rsidRPr="00CE511E" w:rsidP="00CE511E">
            <w:pPr>
              <w:pStyle w:val="BodyText"/>
            </w:pPr>
            <w:r w:rsidRPr="00CE511E">
              <w:t>All elective units selected from outside this qualification must reflect the occu</w:t>
            </w:r>
            <w:r w:rsidRPr="00CE511E">
              <w:t>pational and learning outcomes of this AQF qualification level. Seek further advice on selecting imported units of competency in the DEF Implementation Guide.</w:t>
            </w:r>
          </w:p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rPr>
                <w:rStyle w:val="SpecialBold"/>
              </w:rPr>
              <w:t>Elective units selected must not duplicate content already covered by other units in this qualifi</w:t>
            </w:r>
            <w:r w:rsidRPr="00CE511E">
              <w:rPr>
                <w:rStyle w:val="SpecialBold"/>
              </w:rPr>
              <w:t>cation.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rPr>
                <w:rStyle w:val="SpecialBold"/>
              </w:rPr>
              <w:t>Core units</w:t>
            </w:r>
            <w:r w:rsidRPr="00CE511E">
              <w:t xml:space="preserve"> 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DEFEXO001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Work safely with explosive ordnance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TLID1001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 xml:space="preserve">Shift materials safely using manual handling methods 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rPr>
                <w:rStyle w:val="SpecialBold"/>
              </w:rPr>
              <w:t>Group A: Specialisation units</w:t>
            </w:r>
            <w:r w:rsidRPr="00CE511E">
              <w:t xml:space="preserve"> 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DEFEXO081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Apply a knowledge of the service environment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DEFEXO082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Apply a knowledge of explosives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DEFEXO121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Assess explosive firings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DEFEXO122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Plan explosive trials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DEFEXO144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Conduct static tests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DEFEXO145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Conduct dynamic small arms tests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DEFEXO146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Conduct dynamic other calibre tests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DEFEXO147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Conduct environmental tests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DEFEXO150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Acquire data related to velocity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DEFEXO151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Acquire data related to pressure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DEFEXO152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Acquire data related to time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DEFEXO153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Acquire data related to environment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DEFEXO154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Acquire data related to imagery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DEFEXO155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Provide survey data for proof and experimental firing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DEFEXO156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Operate small watercraft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DEFMIL063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Produce meteorological data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DEFTST003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 xml:space="preserve">Conduct testing processes 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rPr>
                <w:rStyle w:val="SpecialBold"/>
              </w:rPr>
              <w:t>Group B: General elective units</w:t>
            </w:r>
            <w:r w:rsidRPr="00CE511E">
              <w:t xml:space="preserve"> 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BSBSUS411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Implement and monitor environmentally sustainable work practices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BSBWHS411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Implement and monitor WHS policies, procedures and programs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DEFEXO003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Establish and maintain the safety and security of explosive warehouses and workshops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DEFGEN007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 xml:space="preserve">Conduct risk </w:t>
            </w:r>
            <w:r w:rsidRPr="00CE511E">
              <w:t>assessment in a Defence environment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DEFGEN008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Treat risk within Defence at an operational level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DEFGEN010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Supervise equity and diversity in the workplace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DEFGEN014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Act as a range safety officer on a permanent range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DEFGEN015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Conduct basic range practices on a permanent range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DEFGEN024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Supervise engineering and logistic tasks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DEFGEN025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Control engineering and logistic processes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DEFMIL069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Supervise indirect fire weapons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DEFMIL127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Conduct range practices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DEFMIL128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Manage ran</w:t>
            </w:r>
            <w:r w:rsidRPr="00CE511E">
              <w:t>ge practices and qualifications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DEFMIL135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Supervise the operation of mortars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DEFMIL136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Supervise the operation of direct fire support weapons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DEFWHS010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Identify confined space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DEFWHS011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Enter confined space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DEFWHS012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Test confined space environment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DEFWHS013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Control entry to confined spaces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 xml:space="preserve">PUAFER004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Respond to facility emergencies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TLID2016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Load and unload explosives/dangerous goods</w:t>
            </w:r>
          </w:p>
        </w:tc>
      </w:tr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11E">
            <w:pPr>
              <w:pStyle w:val="BodyText"/>
              <w:rPr>
                <w:lang w:val="en-NZ"/>
              </w:rPr>
            </w:pPr>
            <w:r w:rsidRPr="00CE511E">
              <w:t>TLIF4007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11E" w:rsidP="00CE511E">
            <w:pPr>
              <w:pStyle w:val="BodyText"/>
            </w:pPr>
            <w:r w:rsidRPr="00CE511E">
              <w:t>Implement and coordinate accident-emergency procedures</w:t>
            </w:r>
          </w:p>
        </w:tc>
      </w:tr>
    </w:tbl>
    <w:p w:rsidR="0044155E" w:rsidP="00CE511E">
      <w:pPr>
        <w:pStyle w:val="NoPaddingFontSize1"/>
      </w:pPr>
    </w:p>
    <w:p w:rsidR="0044155E" w:rsidP="00CE511E">
      <w:pPr>
        <w:pStyle w:val="NoPaddingFontSize1"/>
      </w:pPr>
    </w:p>
    <w:p w:rsidR="00000000" w:rsidRPr="00CE511E" w:rsidP="00CE511E">
      <w:pPr>
        <w:pStyle w:val="Heading1"/>
      </w:pPr>
      <w:bookmarkStart w:id="5" w:name="O_1096894"/>
      <w:bookmarkEnd w:id="5"/>
      <w:r w:rsidRPr="00CE511E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51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11E" w:rsidP="00CE511E">
            <w:pPr>
              <w:pStyle w:val="BodyText"/>
            </w:pPr>
            <w:r w:rsidRPr="00CE511E">
              <w:t>This qualification supersedes and is equivalent to DEF42215 Certificate IV in Explosive Ordnance Proof and Experimental.</w:t>
            </w:r>
          </w:p>
        </w:tc>
      </w:tr>
    </w:tbl>
    <w:p w:rsidR="0044155E" w:rsidP="00CE511E">
      <w:pPr>
        <w:pStyle w:val="NoPaddingFontSize1"/>
      </w:pPr>
    </w:p>
    <w:p w:rsidR="0044155E" w:rsidP="00CE511E">
      <w:pPr>
        <w:pStyle w:val="NoPaddingFontSize1"/>
      </w:pPr>
    </w:p>
    <w:p w:rsidR="00000000" w:rsidRPr="00CE511E" w:rsidP="00CE511E">
      <w:pPr>
        <w:pStyle w:val="Heading1"/>
      </w:pPr>
      <w:bookmarkStart w:id="6" w:name="O_1096896"/>
      <w:bookmarkEnd w:id="6"/>
      <w:r w:rsidRPr="00CE511E">
        <w:t>Links</w:t>
      </w:r>
    </w:p>
    <w:p w:rsidR="00000000" w:rsidRPr="00CE511E" w:rsidP="0044155E">
      <w:pPr>
        <w:pStyle w:val="BodyText"/>
      </w:pPr>
      <w:r w:rsidRPr="00CE51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02E3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E511E" w:rsidP="00CE511E"/>
    <w:sectPr w:rsidSect="00CE51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1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11E" w:rsidRPr="0044155E" w:rsidP="004415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1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5E" w:rsidP="00CE51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155E" w:rsidP="00CE51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4155E" w:rsidP="00CE51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1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11E" w:rsidRPr="0044155E" w:rsidP="004415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1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5E" w:rsidRPr="002D2AF8" w:rsidP="00CE51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DEF40420 Certificate IV in Explosive Ordnance Proof and Experimental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44155E" w:rsidP="00CE51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A299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1E42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1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1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1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1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1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1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1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1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1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1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1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11E"/>
  </w:style>
  <w:style w:type="character" w:customStyle="1" w:styleId="Heading1Char">
    <w:name w:val="Heading 1 Char"/>
    <w:basedOn w:val="DefaultParagraphFont"/>
    <w:link w:val="Heading1"/>
    <w:rsid w:val="00CE51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1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1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51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511E"/>
    <w:rPr>
      <w:b/>
      <w:spacing w:val="0"/>
    </w:rPr>
  </w:style>
  <w:style w:type="paragraph" w:customStyle="1" w:styleId="SuperHeading">
    <w:name w:val="SuperHeading"/>
    <w:basedOn w:val="Normal"/>
    <w:rsid w:val="00CE51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1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51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1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1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1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1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1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1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1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1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1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1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1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1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1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1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51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51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1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1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51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51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1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1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1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1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1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1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1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1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511E"/>
    <w:rPr>
      <w:i/>
    </w:rPr>
  </w:style>
  <w:style w:type="paragraph" w:styleId="Caption">
    <w:name w:val="caption"/>
    <w:basedOn w:val="BodyText"/>
    <w:next w:val="Normal"/>
    <w:qFormat/>
    <w:rsid w:val="00CE51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1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1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11E"/>
  </w:style>
  <w:style w:type="paragraph" w:styleId="TableofFigures">
    <w:name w:val="table of figures"/>
    <w:basedOn w:val="Normal"/>
    <w:next w:val="Normal"/>
    <w:semiHidden/>
    <w:rsid w:val="00CE51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1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511E"/>
    <w:rPr>
      <w:rFonts w:ascii="Wingdings" w:hAnsi="Wingdings"/>
    </w:rPr>
  </w:style>
  <w:style w:type="paragraph" w:customStyle="1" w:styleId="TableHeading">
    <w:name w:val="Table Heading"/>
    <w:basedOn w:val="HeadingBase"/>
    <w:rsid w:val="00CE51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11E"/>
    <w:rPr>
      <w:color w:val="0033CC"/>
      <w:u w:val="none"/>
    </w:rPr>
  </w:style>
  <w:style w:type="paragraph" w:customStyle="1" w:styleId="BodyTextRight">
    <w:name w:val="Body Text Right"/>
    <w:basedOn w:val="BodyText"/>
    <w:rsid w:val="00CE51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1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1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1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1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1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11E"/>
    <w:rPr>
      <w:sz w:val="32"/>
    </w:rPr>
  </w:style>
  <w:style w:type="paragraph" w:customStyle="1" w:styleId="HeadingProcedure">
    <w:name w:val="Heading Procedure"/>
    <w:basedOn w:val="HeadingBase"/>
    <w:next w:val="Normal"/>
    <w:rsid w:val="00CE51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11E"/>
    <w:pPr>
      <w:spacing w:before="60" w:after="60"/>
    </w:pPr>
  </w:style>
  <w:style w:type="paragraph" w:styleId="ListContinue">
    <w:name w:val="List Continue"/>
    <w:basedOn w:val="List"/>
    <w:rsid w:val="00CE511E"/>
    <w:pPr>
      <w:ind w:firstLine="0"/>
    </w:pPr>
  </w:style>
  <w:style w:type="paragraph" w:customStyle="1" w:styleId="ListNote">
    <w:name w:val="List Note"/>
    <w:basedOn w:val="List"/>
    <w:rsid w:val="00CE51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1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1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11E"/>
    <w:rPr>
      <w:rFonts w:ascii="Courier New" w:hAnsi="Courier New"/>
    </w:rPr>
  </w:style>
  <w:style w:type="paragraph" w:customStyle="1" w:styleId="NoteBullet">
    <w:name w:val="Note Bullet"/>
    <w:basedOn w:val="Note"/>
    <w:rsid w:val="00CE51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1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1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1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1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51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1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11E"/>
    <w:rPr>
      <w:b/>
      <w:smallCaps/>
    </w:rPr>
  </w:style>
  <w:style w:type="paragraph" w:customStyle="1" w:styleId="TableListNumber">
    <w:name w:val="Table List Number"/>
    <w:basedOn w:val="ListNumber"/>
    <w:rsid w:val="00CE51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1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11E"/>
    <w:pPr>
      <w:numPr>
        <w:numId w:val="8"/>
      </w:numPr>
    </w:pPr>
  </w:style>
  <w:style w:type="paragraph" w:customStyle="1" w:styleId="ListAlpha2">
    <w:name w:val="List Alpha 2"/>
    <w:basedOn w:val="List2"/>
    <w:rsid w:val="00CE511E"/>
    <w:pPr>
      <w:numPr>
        <w:numId w:val="7"/>
      </w:numPr>
    </w:pPr>
  </w:style>
  <w:style w:type="paragraph" w:styleId="List2">
    <w:name w:val="List 2"/>
    <w:basedOn w:val="BodyText"/>
    <w:rsid w:val="00CE51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1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1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1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1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1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511E"/>
    <w:pPr>
      <w:numPr>
        <w:numId w:val="3"/>
      </w:numPr>
    </w:pPr>
  </w:style>
  <w:style w:type="paragraph" w:styleId="ListContinue2">
    <w:name w:val="List Continue 2"/>
    <w:basedOn w:val="List2"/>
    <w:rsid w:val="00CE511E"/>
    <w:pPr>
      <w:ind w:firstLine="0"/>
    </w:pPr>
  </w:style>
  <w:style w:type="paragraph" w:styleId="ListContinue3">
    <w:name w:val="List Continue 3"/>
    <w:basedOn w:val="List3"/>
    <w:rsid w:val="00CE511E"/>
    <w:pPr>
      <w:ind w:left="1021" w:firstLine="0"/>
    </w:pPr>
  </w:style>
  <w:style w:type="paragraph" w:styleId="ListContinue4">
    <w:name w:val="List Continue 4"/>
    <w:basedOn w:val="List4"/>
    <w:rsid w:val="00CE511E"/>
    <w:pPr>
      <w:ind w:firstLine="0"/>
    </w:pPr>
  </w:style>
  <w:style w:type="paragraph" w:styleId="ListContinue5">
    <w:name w:val="List Continue 5"/>
    <w:basedOn w:val="List5"/>
    <w:rsid w:val="00CE511E"/>
    <w:pPr>
      <w:ind w:firstLine="0"/>
    </w:pPr>
  </w:style>
  <w:style w:type="paragraph" w:styleId="ListNumber3">
    <w:name w:val="List Number 3"/>
    <w:basedOn w:val="List3"/>
    <w:rsid w:val="00CE511E"/>
    <w:pPr>
      <w:numPr>
        <w:numId w:val="4"/>
      </w:numPr>
    </w:pPr>
  </w:style>
  <w:style w:type="paragraph" w:styleId="ListNumber4">
    <w:name w:val="List Number 4"/>
    <w:basedOn w:val="List4"/>
    <w:rsid w:val="00CE511E"/>
    <w:pPr>
      <w:numPr>
        <w:numId w:val="5"/>
      </w:numPr>
    </w:pPr>
  </w:style>
  <w:style w:type="paragraph" w:styleId="ListNumber5">
    <w:name w:val="List Number 5"/>
    <w:basedOn w:val="List5"/>
    <w:rsid w:val="00CE511E"/>
    <w:pPr>
      <w:numPr>
        <w:numId w:val="6"/>
      </w:numPr>
    </w:pPr>
  </w:style>
  <w:style w:type="paragraph" w:styleId="BlockText">
    <w:name w:val="Block Text"/>
    <w:basedOn w:val="Normal"/>
    <w:rsid w:val="00CE51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1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11E"/>
    <w:rPr>
      <w:sz w:val="16"/>
      <w:vertAlign w:val="superscript"/>
    </w:rPr>
  </w:style>
  <w:style w:type="character" w:customStyle="1" w:styleId="Symbols">
    <w:name w:val="Symbols"/>
    <w:basedOn w:val="DefaultParagraphFont"/>
    <w:rsid w:val="00CE511E"/>
    <w:rPr>
      <w:rFonts w:ascii="Symbol" w:hAnsi="Symbol"/>
    </w:rPr>
  </w:style>
  <w:style w:type="character" w:customStyle="1" w:styleId="MenuOptions">
    <w:name w:val="Menu Options"/>
    <w:basedOn w:val="DefaultParagraphFont"/>
    <w:rsid w:val="00CE51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11E"/>
    <w:rPr>
      <w:b/>
    </w:rPr>
  </w:style>
  <w:style w:type="character" w:customStyle="1" w:styleId="Underlined">
    <w:name w:val="Underlined"/>
    <w:basedOn w:val="DefaultParagraphFont"/>
    <w:rsid w:val="00CE511E"/>
    <w:rPr>
      <w:u w:val="single"/>
    </w:rPr>
  </w:style>
  <w:style w:type="paragraph" w:customStyle="1" w:styleId="TableBodyTextRight">
    <w:name w:val="Table Body Text Right"/>
    <w:basedOn w:val="TableBodyText"/>
    <w:rsid w:val="00CE51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11E"/>
    <w:rPr>
      <w:sz w:val="18"/>
    </w:rPr>
  </w:style>
  <w:style w:type="paragraph" w:customStyle="1" w:styleId="BodySmallRight">
    <w:name w:val="Body Small Right"/>
    <w:basedOn w:val="BodyTextRight"/>
    <w:rsid w:val="00CE511E"/>
    <w:rPr>
      <w:sz w:val="18"/>
      <w:szCs w:val="18"/>
    </w:rPr>
  </w:style>
  <w:style w:type="paragraph" w:customStyle="1" w:styleId="MarginEdition">
    <w:name w:val="Margin Edition"/>
    <w:basedOn w:val="MarginNote"/>
    <w:rsid w:val="00CE51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11E"/>
    <w:rPr>
      <w:sz w:val="2"/>
      <w:szCs w:val="2"/>
    </w:rPr>
  </w:style>
  <w:style w:type="character" w:customStyle="1" w:styleId="Small">
    <w:name w:val="Small"/>
    <w:basedOn w:val="DefaultParagraphFont"/>
    <w:rsid w:val="00CE511E"/>
    <w:rPr>
      <w:sz w:val="16"/>
    </w:rPr>
  </w:style>
  <w:style w:type="paragraph" w:customStyle="1" w:styleId="WideTable">
    <w:name w:val="Wide Table"/>
    <w:basedOn w:val="Normal"/>
    <w:rsid w:val="00CE51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11E"/>
  </w:style>
  <w:style w:type="paragraph" w:styleId="Quote">
    <w:name w:val="Quote"/>
    <w:basedOn w:val="Heading1"/>
    <w:link w:val="QuoteChar"/>
    <w:qFormat/>
    <w:rsid w:val="00CE51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1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11E"/>
    <w:pPr>
      <w:pageBreakBefore/>
    </w:pPr>
  </w:style>
  <w:style w:type="paragraph" w:customStyle="1" w:styleId="Border">
    <w:name w:val="Border"/>
    <w:basedOn w:val="Normal"/>
    <w:qFormat/>
    <w:rsid w:val="00CE51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1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1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1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1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1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1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1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1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11E"/>
    <w:rPr>
      <w:u w:val="single"/>
    </w:rPr>
  </w:style>
  <w:style w:type="character" w:customStyle="1" w:styleId="BoldandItalics">
    <w:name w:val="Bold and Italics"/>
    <w:qFormat/>
    <w:rsid w:val="00CE511E"/>
    <w:rPr>
      <w:b/>
      <w:i/>
      <w:u w:val="none"/>
    </w:rPr>
  </w:style>
  <w:style w:type="paragraph" w:styleId="BalloonText">
    <w:name w:val="Balloon Text"/>
    <w:basedOn w:val="Normal"/>
    <w:link w:val="BalloonTextChar"/>
    <w:rsid w:val="00CE51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1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1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1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1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1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11E"/>
    <w:pPr>
      <w:spacing w:before="0" w:after="0"/>
    </w:pPr>
  </w:style>
  <w:style w:type="paragraph" w:customStyle="1" w:styleId="BodyTextBold">
    <w:name w:val="Body Text Bold"/>
    <w:basedOn w:val="BodyText"/>
    <w:qFormat/>
    <w:rsid w:val="00CE511E"/>
    <w:rPr>
      <w:b/>
    </w:rPr>
  </w:style>
  <w:style w:type="character" w:styleId="Hyperlink">
    <w:name w:val="Hyperlink"/>
    <w:basedOn w:val="DefaultParagraphFont"/>
    <w:uiPriority w:val="99"/>
    <w:unhideWhenUsed/>
    <w:rsid w:val="004415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3372</Characters>
  <Application>Microsoft Office Word</Application>
  <DocSecurity>0</DocSecurity>
  <Lines>140</Lines>
  <Paragraphs>129</Paragraphs>
  <ScaleCrop>false</ScaleCrop>
  <Company>Author-it Software Corporation Ltd.</Company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DEF40420 Certificate IV in Explosive Ordnance Proof and Experimental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2020-10-26T15:36:23Z</dcterms:created>
  <dcterms:modified xsi:type="dcterms:W3CDTF">2020-10-26T00:01:00Z</dcterms:modified>
</cp:coreProperties>
</file>