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A41" w:rsidP="00B05A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DEF40220 Certificate IV in Explosive Ordnance Manufacture</w:t>
      </w:r>
      <w:r>
        <w:fldChar w:fldCharType="end"/>
      </w:r>
    </w:p>
    <w:p w:rsidR="00B05A41" w:rsidP="00B05A41">
      <w:pPr>
        <w:pStyle w:val="Version"/>
        <w:sectPr w:rsidSect="00600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0DDE" w:rsidP="00600DDE">
      <w:pPr>
        <w:pStyle w:val="SuperHeading"/>
      </w:pPr>
      <w:r w:rsidRPr="00600DDE">
        <w:t>DEF40220 Certificate IV in Explosive Ordnance Manufacture</w:t>
      </w:r>
    </w:p>
    <w:p w:rsidR="00000000" w:rsidRPr="00600DDE" w:rsidP="00600DDE">
      <w:pPr>
        <w:pStyle w:val="Heading1"/>
      </w:pPr>
      <w:bookmarkStart w:id="1" w:name="O_1096874"/>
      <w:bookmarkEnd w:id="1"/>
      <w:r w:rsidRPr="00600D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 xml:space="preserve">Release 1. This qualification was released in DEF Defence Training Package release 3.0. </w:t>
            </w:r>
          </w:p>
        </w:tc>
      </w:tr>
    </w:tbl>
    <w:p w:rsidR="00000000" w:rsidRPr="00600DDE" w:rsidP="00600DDE">
      <w:pPr>
        <w:pStyle w:val="NoPaddingFontSize1"/>
      </w:pPr>
    </w:p>
    <w:p w:rsidR="00000000" w:rsidRPr="00600DDE" w:rsidP="00600DDE">
      <w:pPr>
        <w:pStyle w:val="AllowPageBreak"/>
      </w:pPr>
    </w:p>
    <w:p w:rsidR="00000000" w:rsidRPr="00600DDE" w:rsidP="00600DDE">
      <w:pPr>
        <w:pStyle w:val="Heading1"/>
      </w:pPr>
      <w:bookmarkStart w:id="2" w:name="O_1096875"/>
      <w:bookmarkEnd w:id="2"/>
      <w:r w:rsidRPr="00600DD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This qualification allows for the attainment of competencies in explosive ordnanc</w:t>
            </w:r>
            <w:r w:rsidRPr="00600DDE">
              <w:t>e manufacture.</w:t>
            </w:r>
          </w:p>
          <w:p w:rsidR="00000000" w:rsidRPr="00600DDE" w:rsidP="00600DDE">
            <w:pPr>
              <w:pStyle w:val="BodyText"/>
            </w:pPr>
            <w:r w:rsidRPr="00600DDE">
              <w:t>No licensing, legislative or certification requirements apply to this qualification at the time of publication.</w:t>
            </w:r>
          </w:p>
        </w:tc>
      </w:tr>
    </w:tbl>
    <w:p w:rsidR="00B05A41" w:rsidP="00600DDE">
      <w:pPr>
        <w:pStyle w:val="NoPaddingFontSize1"/>
      </w:pPr>
    </w:p>
    <w:p w:rsidR="00B05A41" w:rsidP="00600DDE">
      <w:pPr>
        <w:pStyle w:val="NoPaddingFontSize1"/>
      </w:pPr>
    </w:p>
    <w:p w:rsidR="00000000" w:rsidRPr="00600DDE" w:rsidP="00600DDE">
      <w:pPr>
        <w:pStyle w:val="Heading1"/>
      </w:pPr>
      <w:bookmarkStart w:id="3" w:name="O_1096876"/>
      <w:bookmarkEnd w:id="3"/>
      <w:r w:rsidRPr="00600DD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Nil</w:t>
            </w:r>
          </w:p>
        </w:tc>
      </w:tr>
    </w:tbl>
    <w:p w:rsidR="00B05A41" w:rsidP="00600DDE">
      <w:pPr>
        <w:pStyle w:val="NoPaddingFontSize1"/>
      </w:pPr>
    </w:p>
    <w:p w:rsidR="00B05A41" w:rsidP="00600DDE">
      <w:pPr>
        <w:pStyle w:val="NoPaddingFontSize1"/>
      </w:pPr>
    </w:p>
    <w:p w:rsidR="00000000" w:rsidRPr="00600DDE" w:rsidP="00600DDE">
      <w:pPr>
        <w:pStyle w:val="Heading1"/>
      </w:pPr>
      <w:bookmarkStart w:id="4" w:name="O_1096877"/>
      <w:bookmarkEnd w:id="4"/>
      <w:r w:rsidRPr="00600DD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16 units of competency are required for this q</w:t>
            </w:r>
            <w:r w:rsidRPr="00600DDE">
              <w:t>ualification:</w:t>
            </w:r>
          </w:p>
          <w:p w:rsidR="00000000" w:rsidRPr="00600DDE" w:rsidP="00600DDE">
            <w:pPr>
              <w:pStyle w:val="ListBullet"/>
            </w:pPr>
            <w:r w:rsidRPr="00600DDE">
              <w:t>2 core units</w:t>
            </w:r>
          </w:p>
          <w:p w:rsidR="00000000" w:rsidRPr="00600DDE" w:rsidP="00600DDE">
            <w:pPr>
              <w:pStyle w:val="ListBullet"/>
            </w:pPr>
            <w:r w:rsidRPr="00600DDE">
              <w:t>14 elective units</w:t>
            </w:r>
          </w:p>
          <w:p w:rsidR="00000000" w:rsidRPr="00600DDE" w:rsidP="00600DDE">
            <w:pPr>
              <w:pStyle w:val="BodyText"/>
            </w:pPr>
            <w:r w:rsidRPr="00600DDE">
              <w:t>Choose a minimum of 12 electives from the list below, of which at least 7 must be taken from Group A.</w:t>
            </w:r>
          </w:p>
          <w:p w:rsidR="00000000" w:rsidRPr="00600DDE" w:rsidP="00600DDE">
            <w:pPr>
              <w:pStyle w:val="BodyText"/>
            </w:pPr>
            <w:r w:rsidRPr="00600DDE">
              <w:t>Choose the remaining 2 electives from the list below or fro</w:t>
            </w:r>
            <w:r w:rsidRPr="00600DDE">
              <w:t xml:space="preserve">m elsewhere within this training package, or from another endorsed training package, or from an accredited course. </w:t>
            </w:r>
          </w:p>
          <w:p w:rsidR="00000000" w:rsidRPr="00600DDE" w:rsidP="00600DDE">
            <w:pPr>
              <w:pStyle w:val="BodyText"/>
            </w:pPr>
            <w:r w:rsidRPr="00600DDE">
              <w:t>All elective units selected from outside this qualification must reflect the occupational and learning outcomes of this AQF qualification le</w:t>
            </w:r>
            <w:r w:rsidRPr="00600DDE">
              <w:t xml:space="preserve">vel. </w:t>
            </w:r>
          </w:p>
          <w:p w:rsidR="00000000" w:rsidRPr="00600DDE" w:rsidP="00600DDE">
            <w:pPr>
              <w:pStyle w:val="BodyText"/>
            </w:pPr>
            <w:r w:rsidRPr="00600DDE">
              <w:t xml:space="preserve">Where a prerequisite unit is attached to an elective unit, it is identified by this symbol </w:t>
            </w:r>
            <w:r w:rsidRPr="00600DDE">
              <w:t>∟</w:t>
            </w:r>
            <w:r w:rsidRPr="00600DDE">
              <w:t>.</w:t>
            </w:r>
          </w:p>
          <w:p w:rsidR="00000000" w:rsidRPr="00600DDE" w:rsidP="00600DDE">
            <w:pPr>
              <w:pStyle w:val="BodyText"/>
            </w:pPr>
            <w:r w:rsidRPr="00600DDE">
              <w:t>The prerequisite units attached to any of the elective units must be undertaken and are additional to the number of elective units required for the qualific</w:t>
            </w:r>
            <w:r w:rsidRPr="00600DDE">
              <w:t>ation.</w:t>
            </w:r>
          </w:p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rPr>
                <w:rStyle w:val="SpecialBold"/>
              </w:rPr>
              <w:t>Core units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 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Work safely with explosive ordnance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 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Shift materials safely using manual handling methods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rPr>
                <w:rStyle w:val="SpecialBold"/>
              </w:rPr>
              <w:t>Group A: Specialisation units</w:t>
            </w:r>
            <w:r w:rsidRPr="00600DDE">
              <w:t xml:space="preserve">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BSBPEF402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Develop personal work priorities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Breakdown explosive ordnance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grenades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mortar ammunition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actuating devices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Maintain pyrotechnics and countermeasures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guided weapons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free flight rockets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gun ammunition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aerial delivered ordnance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Maintain mines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Maintain demolition </w:t>
            </w:r>
            <w:r w:rsidRPr="00600DDE">
              <w:t>stores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License explosive facilities and potential explosion sites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DEFEXO082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Apply a knowledge of explosives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DEFEXO121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Assess explosive firings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Plan explosive trials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Conduct explosive trials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Perform explosive tests, measurements and analyses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Conduct explosive firings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DEFGEN025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Control engineering and logistic processes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MSMOPS400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Optimise process/plant area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MSMOPS401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Trial new process or product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MSMWHS210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Undertake first response to non-fire incidents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 PMAOPS410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Operate remote production facilities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PMAOPS411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Manage plant shutdown and restart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PMASUP440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Commission/recommission plant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TLIF4007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Implement and coordinate accident-emergency procedures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rPr>
                <w:rStyle w:val="SpecialBold"/>
              </w:rPr>
              <w:t>Group B: General elective units</w:t>
            </w:r>
            <w:r w:rsidRPr="00600DDE">
              <w:t xml:space="preserve"> 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BSBLDR414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Lead team effectiveness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Implement and monitor environmentally sustainable work practices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BSBWHS411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Implement and monitor WHS policies, procedures and programs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Respond to fire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Es</w:t>
            </w:r>
            <w:r w:rsidRPr="00600DDE">
              <w:t>tablish and maintain the safety and security of explosive warehouses and workshops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DEFEXO022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Fuze and defuze explosive ordnance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DEFEXO023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Assemble and disassemble explosive components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DEFEXO066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Inspect explosive facilities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Apply a knowledge of the service environment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DEFEXO103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Dispose of non-explosive dangerous goods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Conduct risk assessment in a Defence environment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Treat risk within Defence at an operational level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DEFGEN024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Supervise engineering and l</w:t>
            </w:r>
            <w:r w:rsidRPr="00600DDE">
              <w:t>ogistic tasks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 xml:space="preserve">MSS403085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Ensure process improvements are sustained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MSS402083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Use planning software systems in operations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MSS403001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Review competitive systems and practices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MSS403005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Facilitate use of a Balanced Scorecard for performance improvement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MSS403010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Facilitate change in an organisation implementing competitive systems and practices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MSS403087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Mistake proof an operational process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MSS404084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Undertake process capability improvements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MSS404054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Apply statistics to operational processes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Facilitate the use of planning software systems in a work area or team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MSS404061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Facilitate the use of SCADA systems in a team or work area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MSS404085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Undertake proactive maintenance analyses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MSS404086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Assist in implementing a proactive mainten</w:t>
            </w:r>
            <w:r w:rsidRPr="00600DDE">
              <w:t>ance strategy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Establish context for emergency risk assessment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Assess emergency risk</w:t>
            </w:r>
          </w:p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∟</w:t>
            </w:r>
            <w:r w:rsidRPr="00600DDE">
              <w:t xml:space="preserve"> PUAEMR001 Establish context for emergency risk assessment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Develop treatment options for emergency risk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Manage risk treatment implementation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Treat operational risk</w:t>
            </w:r>
          </w:p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∟</w:t>
            </w:r>
            <w:r w:rsidRPr="00600DDE">
              <w:t xml:space="preserve"> PUAEMR006 Assess operational risk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PUAEMR006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Assess operational risk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TLIB3006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Carry out inspection of vehicles designed to carry special loads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TLIC3063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Operate vehicle carrying spec</w:t>
            </w:r>
            <w:r w:rsidRPr="00600DDE">
              <w:t>ial loads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TLID2016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Load and unload explosives/dangerous goods</w:t>
            </w:r>
          </w:p>
        </w:tc>
      </w:tr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DDE">
            <w:pPr>
              <w:pStyle w:val="BodyText"/>
              <w:rPr>
                <w:lang w:val="en-NZ"/>
              </w:rPr>
            </w:pPr>
            <w:r w:rsidRPr="00600DDE">
              <w:t>TLID3015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Identify and label explosives/dangerous goods</w:t>
            </w:r>
          </w:p>
        </w:tc>
      </w:tr>
    </w:tbl>
    <w:p w:rsidR="00B05A41" w:rsidP="00600DDE">
      <w:pPr>
        <w:pStyle w:val="NoPaddingFontSize1"/>
      </w:pPr>
    </w:p>
    <w:p w:rsidR="00B05A41" w:rsidP="00600DDE">
      <w:pPr>
        <w:pStyle w:val="NoPaddingFontSize1"/>
      </w:pPr>
    </w:p>
    <w:p w:rsidR="00000000" w:rsidRPr="00600DDE" w:rsidP="00600DDE">
      <w:pPr>
        <w:pStyle w:val="Heading1"/>
      </w:pPr>
      <w:bookmarkStart w:id="5" w:name="O_1096878"/>
      <w:bookmarkEnd w:id="5"/>
      <w:r w:rsidRPr="00600DD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0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DDE" w:rsidP="00600DDE">
            <w:pPr>
              <w:pStyle w:val="BodyText"/>
            </w:pPr>
            <w:r w:rsidRPr="00600DDE">
              <w:t>This qualification supersedes and is equivalent to DEF42315 Certificate IV in Explosive Ordnance Manufacture.</w:t>
            </w:r>
          </w:p>
        </w:tc>
      </w:tr>
    </w:tbl>
    <w:p w:rsidR="00000000" w:rsidRPr="00600DDE" w:rsidP="00600DDE">
      <w:pPr>
        <w:pStyle w:val="NoPaddingFontSize1"/>
      </w:pPr>
    </w:p>
    <w:p w:rsidR="00000000" w:rsidRPr="00600DDE" w:rsidP="00600DDE">
      <w:pPr>
        <w:pStyle w:val="AllowPageBreak"/>
      </w:pPr>
    </w:p>
    <w:p w:rsidR="00000000" w:rsidRPr="00600DDE" w:rsidP="00600DDE">
      <w:pPr>
        <w:pStyle w:val="Heading1"/>
      </w:pPr>
      <w:bookmarkStart w:id="6" w:name="O_1096880"/>
      <w:bookmarkEnd w:id="6"/>
      <w:r w:rsidRPr="00600DDE">
        <w:t>Links</w:t>
      </w:r>
    </w:p>
    <w:p w:rsidR="00000000" w:rsidRPr="00600DDE" w:rsidP="00B05A41">
      <w:pPr>
        <w:pStyle w:val="BodyText"/>
      </w:pPr>
      <w:r w:rsidRPr="00600D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8277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0DDE" w:rsidP="00600DDE"/>
    <w:sectPr w:rsidSect="00600D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DE" w:rsidRPr="00B05A41" w:rsidP="00B05A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1" w:rsidP="00600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5A41" w:rsidP="00600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05A41" w:rsidP="00600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DDE" w:rsidRPr="00B05A41" w:rsidP="00B05A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A41" w:rsidRPr="002D2AF8" w:rsidP="00600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DEF40220 Certificate IV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B05A41" w:rsidP="00600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F88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860A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DDE"/>
  </w:style>
  <w:style w:type="character" w:customStyle="1" w:styleId="Heading1Char">
    <w:name w:val="Heading 1 Char"/>
    <w:basedOn w:val="DefaultParagraphFont"/>
    <w:link w:val="Heading1"/>
    <w:rsid w:val="00600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D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DDE"/>
    <w:rPr>
      <w:b/>
      <w:spacing w:val="0"/>
    </w:rPr>
  </w:style>
  <w:style w:type="paragraph" w:customStyle="1" w:styleId="SuperHeading">
    <w:name w:val="SuperHeading"/>
    <w:basedOn w:val="Normal"/>
    <w:rsid w:val="00600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0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DDE"/>
    <w:rPr>
      <w:i/>
    </w:rPr>
  </w:style>
  <w:style w:type="paragraph" w:styleId="Caption">
    <w:name w:val="caption"/>
    <w:basedOn w:val="BodyText"/>
    <w:next w:val="Normal"/>
    <w:qFormat/>
    <w:rsid w:val="00600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DDE"/>
  </w:style>
  <w:style w:type="paragraph" w:styleId="TableofFigures">
    <w:name w:val="table of figures"/>
    <w:basedOn w:val="Normal"/>
    <w:next w:val="Normal"/>
    <w:semiHidden/>
    <w:rsid w:val="00600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D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DDE"/>
    <w:rPr>
      <w:rFonts w:ascii="Wingdings" w:hAnsi="Wingdings"/>
    </w:rPr>
  </w:style>
  <w:style w:type="paragraph" w:customStyle="1" w:styleId="TableHeading">
    <w:name w:val="Table Heading"/>
    <w:basedOn w:val="HeadingBase"/>
    <w:rsid w:val="00600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DDE"/>
    <w:rPr>
      <w:color w:val="0033CC"/>
      <w:u w:val="none"/>
    </w:rPr>
  </w:style>
  <w:style w:type="paragraph" w:customStyle="1" w:styleId="BodyTextRight">
    <w:name w:val="Body Text Right"/>
    <w:basedOn w:val="BodyText"/>
    <w:rsid w:val="00600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DDE"/>
    <w:rPr>
      <w:sz w:val="32"/>
    </w:rPr>
  </w:style>
  <w:style w:type="paragraph" w:customStyle="1" w:styleId="HeadingProcedure">
    <w:name w:val="Heading Procedure"/>
    <w:basedOn w:val="HeadingBase"/>
    <w:next w:val="Normal"/>
    <w:rsid w:val="00600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DDE"/>
    <w:pPr>
      <w:spacing w:before="60" w:after="60"/>
    </w:pPr>
  </w:style>
  <w:style w:type="paragraph" w:styleId="ListContinue">
    <w:name w:val="List Continue"/>
    <w:basedOn w:val="List"/>
    <w:rsid w:val="00600DDE"/>
    <w:pPr>
      <w:ind w:firstLine="0"/>
    </w:pPr>
  </w:style>
  <w:style w:type="paragraph" w:customStyle="1" w:styleId="ListNote">
    <w:name w:val="List Note"/>
    <w:basedOn w:val="List"/>
    <w:rsid w:val="00600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DDE"/>
    <w:rPr>
      <w:rFonts w:ascii="Courier New" w:hAnsi="Courier New"/>
    </w:rPr>
  </w:style>
  <w:style w:type="paragraph" w:customStyle="1" w:styleId="NoteBullet">
    <w:name w:val="Note Bullet"/>
    <w:basedOn w:val="Note"/>
    <w:rsid w:val="00600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DDE"/>
    <w:rPr>
      <w:b/>
      <w:smallCaps/>
    </w:rPr>
  </w:style>
  <w:style w:type="paragraph" w:customStyle="1" w:styleId="TableListNumber">
    <w:name w:val="Table List Number"/>
    <w:basedOn w:val="ListNumber"/>
    <w:rsid w:val="00600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DDE"/>
    <w:pPr>
      <w:numPr>
        <w:numId w:val="8"/>
      </w:numPr>
    </w:pPr>
  </w:style>
  <w:style w:type="paragraph" w:customStyle="1" w:styleId="ListAlpha2">
    <w:name w:val="List Alpha 2"/>
    <w:basedOn w:val="List2"/>
    <w:rsid w:val="00600DDE"/>
    <w:pPr>
      <w:numPr>
        <w:numId w:val="7"/>
      </w:numPr>
    </w:pPr>
  </w:style>
  <w:style w:type="paragraph" w:styleId="List2">
    <w:name w:val="List 2"/>
    <w:basedOn w:val="BodyText"/>
    <w:rsid w:val="00600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DDE"/>
    <w:pPr>
      <w:numPr>
        <w:numId w:val="3"/>
      </w:numPr>
    </w:pPr>
  </w:style>
  <w:style w:type="paragraph" w:styleId="ListContinue2">
    <w:name w:val="List Continue 2"/>
    <w:basedOn w:val="List2"/>
    <w:rsid w:val="00600DDE"/>
    <w:pPr>
      <w:ind w:firstLine="0"/>
    </w:pPr>
  </w:style>
  <w:style w:type="paragraph" w:styleId="ListContinue3">
    <w:name w:val="List Continue 3"/>
    <w:basedOn w:val="List3"/>
    <w:rsid w:val="00600DDE"/>
    <w:pPr>
      <w:ind w:left="1021" w:firstLine="0"/>
    </w:pPr>
  </w:style>
  <w:style w:type="paragraph" w:styleId="ListContinue4">
    <w:name w:val="List Continue 4"/>
    <w:basedOn w:val="List4"/>
    <w:rsid w:val="00600DDE"/>
    <w:pPr>
      <w:ind w:firstLine="0"/>
    </w:pPr>
  </w:style>
  <w:style w:type="paragraph" w:styleId="ListContinue5">
    <w:name w:val="List Continue 5"/>
    <w:basedOn w:val="List5"/>
    <w:rsid w:val="00600DDE"/>
    <w:pPr>
      <w:ind w:firstLine="0"/>
    </w:pPr>
  </w:style>
  <w:style w:type="paragraph" w:styleId="ListNumber3">
    <w:name w:val="List Number 3"/>
    <w:basedOn w:val="List3"/>
    <w:rsid w:val="00600DDE"/>
    <w:pPr>
      <w:numPr>
        <w:numId w:val="4"/>
      </w:numPr>
    </w:pPr>
  </w:style>
  <w:style w:type="paragraph" w:styleId="ListNumber4">
    <w:name w:val="List Number 4"/>
    <w:basedOn w:val="List4"/>
    <w:rsid w:val="00600DDE"/>
    <w:pPr>
      <w:numPr>
        <w:numId w:val="5"/>
      </w:numPr>
    </w:pPr>
  </w:style>
  <w:style w:type="paragraph" w:styleId="ListNumber5">
    <w:name w:val="List Number 5"/>
    <w:basedOn w:val="List5"/>
    <w:rsid w:val="00600DDE"/>
    <w:pPr>
      <w:numPr>
        <w:numId w:val="6"/>
      </w:numPr>
    </w:pPr>
  </w:style>
  <w:style w:type="paragraph" w:styleId="BlockText">
    <w:name w:val="Block Text"/>
    <w:basedOn w:val="Normal"/>
    <w:rsid w:val="00600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DDE"/>
    <w:rPr>
      <w:sz w:val="16"/>
      <w:vertAlign w:val="superscript"/>
    </w:rPr>
  </w:style>
  <w:style w:type="character" w:customStyle="1" w:styleId="Symbols">
    <w:name w:val="Symbols"/>
    <w:basedOn w:val="DefaultParagraphFont"/>
    <w:rsid w:val="00600DDE"/>
    <w:rPr>
      <w:rFonts w:ascii="Symbol" w:hAnsi="Symbol"/>
    </w:rPr>
  </w:style>
  <w:style w:type="character" w:customStyle="1" w:styleId="MenuOptions">
    <w:name w:val="Menu Options"/>
    <w:basedOn w:val="DefaultParagraphFont"/>
    <w:rsid w:val="00600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DDE"/>
    <w:rPr>
      <w:b/>
    </w:rPr>
  </w:style>
  <w:style w:type="character" w:customStyle="1" w:styleId="Underlined">
    <w:name w:val="Underlined"/>
    <w:basedOn w:val="DefaultParagraphFont"/>
    <w:rsid w:val="00600DDE"/>
    <w:rPr>
      <w:u w:val="single"/>
    </w:rPr>
  </w:style>
  <w:style w:type="paragraph" w:customStyle="1" w:styleId="TableBodyTextRight">
    <w:name w:val="Table Body Text Right"/>
    <w:basedOn w:val="TableBodyText"/>
    <w:rsid w:val="00600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DDE"/>
    <w:rPr>
      <w:sz w:val="18"/>
    </w:rPr>
  </w:style>
  <w:style w:type="paragraph" w:customStyle="1" w:styleId="BodySmallRight">
    <w:name w:val="Body Small Right"/>
    <w:basedOn w:val="BodyTextRight"/>
    <w:rsid w:val="00600DDE"/>
    <w:rPr>
      <w:sz w:val="18"/>
      <w:szCs w:val="18"/>
    </w:rPr>
  </w:style>
  <w:style w:type="paragraph" w:customStyle="1" w:styleId="MarginEdition">
    <w:name w:val="Margin Edition"/>
    <w:basedOn w:val="MarginNote"/>
    <w:rsid w:val="00600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DDE"/>
    <w:rPr>
      <w:sz w:val="2"/>
      <w:szCs w:val="2"/>
    </w:rPr>
  </w:style>
  <w:style w:type="character" w:customStyle="1" w:styleId="Small">
    <w:name w:val="Small"/>
    <w:basedOn w:val="DefaultParagraphFont"/>
    <w:rsid w:val="00600DDE"/>
    <w:rPr>
      <w:sz w:val="16"/>
    </w:rPr>
  </w:style>
  <w:style w:type="paragraph" w:customStyle="1" w:styleId="WideTable">
    <w:name w:val="Wide Table"/>
    <w:basedOn w:val="Normal"/>
    <w:rsid w:val="00600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DDE"/>
  </w:style>
  <w:style w:type="paragraph" w:styleId="Quote">
    <w:name w:val="Quote"/>
    <w:basedOn w:val="Heading1"/>
    <w:link w:val="QuoteChar"/>
    <w:qFormat/>
    <w:rsid w:val="00600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DDE"/>
    <w:pPr>
      <w:pageBreakBefore/>
    </w:pPr>
  </w:style>
  <w:style w:type="paragraph" w:customStyle="1" w:styleId="Border">
    <w:name w:val="Border"/>
    <w:basedOn w:val="Normal"/>
    <w:qFormat/>
    <w:rsid w:val="00600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DDE"/>
    <w:rPr>
      <w:u w:val="single"/>
    </w:rPr>
  </w:style>
  <w:style w:type="character" w:customStyle="1" w:styleId="BoldandItalics">
    <w:name w:val="Bold and Italics"/>
    <w:qFormat/>
    <w:rsid w:val="00600DDE"/>
    <w:rPr>
      <w:b/>
      <w:i/>
      <w:u w:val="none"/>
    </w:rPr>
  </w:style>
  <w:style w:type="paragraph" w:styleId="BalloonText">
    <w:name w:val="Balloon Text"/>
    <w:basedOn w:val="Normal"/>
    <w:link w:val="BalloonTextChar"/>
    <w:rsid w:val="00600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DDE"/>
    <w:pPr>
      <w:spacing w:before="0" w:after="0"/>
    </w:pPr>
  </w:style>
  <w:style w:type="paragraph" w:customStyle="1" w:styleId="BodyTextBold">
    <w:name w:val="Body Text Bold"/>
    <w:basedOn w:val="BodyText"/>
    <w:qFormat/>
    <w:rsid w:val="00600DDE"/>
    <w:rPr>
      <w:b/>
    </w:rPr>
  </w:style>
  <w:style w:type="character" w:styleId="Hyperlink">
    <w:name w:val="Hyperlink"/>
    <w:basedOn w:val="DefaultParagraphFont"/>
    <w:uiPriority w:val="99"/>
    <w:unhideWhenUsed/>
    <w:rsid w:val="00B05A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684</Words>
  <Characters>4631</Characters>
  <Application>Microsoft Office Word</Application>
  <DocSecurity>0</DocSecurity>
  <Lines>192</Lines>
  <Paragraphs>183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DEF40220 Certificate IV in Explosive Ordnance Manufacture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2020-10-26T15:48:47Z</dcterms:created>
  <dcterms:modified xsi:type="dcterms:W3CDTF">2020-10-26T00:00:00Z</dcterms:modified>
</cp:coreProperties>
</file>