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BC" w:rsidP="009070BC">
      <w:pPr>
        <w:pStyle w:val="Title"/>
      </w:pPr>
      <w:r>
        <w:fldChar w:fldCharType="begin"/>
      </w:r>
      <w:r>
        <w:instrText xml:space="preserve"> TITLE   \* MERGEFORMAT </w:instrText>
      </w:r>
      <w:r>
        <w:fldChar w:fldCharType="separate"/>
      </w:r>
      <w:r>
        <w:t>CUVOPA407A Apply advanced pre-cutting processes to complex opals</w:t>
      </w:r>
      <w:r>
        <w:fldChar w:fldCharType="end"/>
      </w:r>
    </w:p>
    <w:p w:rsidR="009070BC" w:rsidP="009070BC">
      <w:pPr>
        <w:pStyle w:val="Version"/>
        <w:sectPr w:rsidSect="00820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C65" w:rsidP="00820C65">
      <w:pPr>
        <w:pStyle w:val="SuperHeading"/>
      </w:pPr>
      <w:r w:rsidRPr="00820C65">
        <w:t>CUVOPA407A Apply advanced pre-cutting processes to complex opals</w:t>
      </w:r>
    </w:p>
    <w:p w:rsidR="00000000" w:rsidRPr="00820C65" w:rsidP="00820C65">
      <w:pPr>
        <w:pStyle w:val="Heading1"/>
      </w:pPr>
      <w:bookmarkStart w:id="1" w:name="O_349341"/>
      <w:bookmarkEnd w:id="1"/>
      <w:r w:rsidRPr="00820C65">
        <w:t>Modification History</w:t>
      </w:r>
    </w:p>
    <w:tbl>
      <w:tblPr>
        <w:tblW w:w="0" w:type="auto"/>
        <w:tblLayout w:type="fixed"/>
        <w:tblCellMar>
          <w:left w:w="62" w:type="dxa"/>
          <w:right w:w="62" w:type="dxa"/>
        </w:tblCellMar>
        <w:tblLook w:val="0000"/>
      </w:tblPr>
      <w:tblGrid>
        <w:gridCol w:w="3153"/>
        <w:gridCol w:w="5873"/>
      </w:tblGrid>
      <w:tr w:rsidTr="00820C6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Comments</w:t>
            </w:r>
          </w:p>
        </w:tc>
      </w:tr>
      <w:tr w:rsidTr="00820C6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CUVOPA407A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 xml:space="preserve">This version first released with </w:t>
            </w:r>
            <w:r w:rsidRPr="00820C65">
              <w:rPr>
                <w:rStyle w:val="Emphasis"/>
              </w:rPr>
              <w:t>CUV11 Visual Arts, Craft and Design Training Package version 1.0</w:t>
            </w:r>
          </w:p>
        </w:tc>
      </w:tr>
    </w:tbl>
    <w:p w:rsidR="00000000" w:rsidRPr="00820C65" w:rsidP="00820C65">
      <w:pPr>
        <w:pStyle w:val="BodyText"/>
      </w:pPr>
    </w:p>
    <w:p w:rsidR="00000000" w:rsidRPr="00820C65" w:rsidP="00820C65">
      <w:pPr>
        <w:pStyle w:val="AllowPageBreak"/>
      </w:pPr>
    </w:p>
    <w:p w:rsidR="00000000" w:rsidRPr="00820C65" w:rsidP="00820C65">
      <w:pPr>
        <w:pStyle w:val="Heading1"/>
      </w:pPr>
      <w:bookmarkStart w:id="2" w:name="O_349342"/>
      <w:bookmarkEnd w:id="2"/>
      <w:r w:rsidRPr="00820C65">
        <w:t>Unit Descriptor</w:t>
      </w:r>
    </w:p>
    <w:p w:rsidR="009070BC" w:rsidP="00820C65">
      <w:pPr>
        <w:pStyle w:val="BodyText"/>
      </w:pPr>
      <w:r w:rsidRPr="00820C65">
        <w:t>This unit describes the performance outcomes, skills and knowledge required to perform the pre-cutting processes for boulder and other special opals. It includes documenting and recording all aspects of the procurement and pre-cutting proce</w:t>
      </w:r>
      <w:r w:rsidRPr="00820C65">
        <w:t>ss.</w:t>
      </w:r>
    </w:p>
    <w:p w:rsidR="009070BC" w:rsidP="00820C65">
      <w:pPr>
        <w:pStyle w:val="BodyText"/>
      </w:pPr>
    </w:p>
    <w:p w:rsidR="00000000" w:rsidRPr="00820C65" w:rsidP="00820C65">
      <w:pPr>
        <w:pStyle w:val="Heading1"/>
      </w:pPr>
      <w:bookmarkStart w:id="3" w:name="O_349343"/>
      <w:bookmarkEnd w:id="3"/>
      <w:r w:rsidRPr="00820C65">
        <w:t>Application of the Unit</w:t>
      </w:r>
    </w:p>
    <w:p w:rsidR="00000000" w:rsidRPr="00820C65" w:rsidP="00820C65">
      <w:pPr>
        <w:pStyle w:val="BodyText"/>
      </w:pPr>
      <w:r w:rsidRPr="00820C65">
        <w:t>Those responsible for pre-cutting processes for boulder and black opal and other types of difficult or particularly valuable opal apply the skills and knowledge in this unit.</w:t>
      </w:r>
    </w:p>
    <w:p w:rsidR="00000000" w:rsidRPr="00820C65" w:rsidP="00820C65">
      <w:pPr>
        <w:pStyle w:val="BodyText"/>
      </w:pPr>
      <w:r w:rsidRPr="00820C65">
        <w:t>The unit requires knowledge of the processes of opal formation and extensive experience in handling opal of various types as a basis for decision making on how to cut or carve the opal.</w:t>
      </w:r>
    </w:p>
    <w:p w:rsidR="00000000" w:rsidRPr="00820C65" w:rsidP="00820C65">
      <w:pPr>
        <w:pStyle w:val="AllowPageBreak"/>
      </w:pPr>
    </w:p>
    <w:p w:rsidR="00000000" w:rsidRPr="00820C65" w:rsidP="00820C65">
      <w:pPr>
        <w:pStyle w:val="Heading1"/>
      </w:pPr>
      <w:bookmarkStart w:id="4" w:name="O_349344"/>
      <w:bookmarkEnd w:id="4"/>
      <w:r w:rsidRPr="00820C65">
        <w:t>Licensing/Regulatory Information</w:t>
      </w:r>
    </w:p>
    <w:p w:rsidR="00000000" w:rsidRPr="00820C65" w:rsidP="00820C65">
      <w:pPr>
        <w:pStyle w:val="BodyText"/>
      </w:pPr>
      <w:r w:rsidRPr="00820C65">
        <w:t>No licensing, legisl</w:t>
      </w:r>
      <w:r w:rsidRPr="00820C65">
        <w:t>ative, regulatory or certification requirements apply to this unit at the time of endorsement.</w:t>
      </w:r>
    </w:p>
    <w:p w:rsidR="00000000" w:rsidRPr="00820C65" w:rsidP="00820C65">
      <w:pPr>
        <w:pStyle w:val="AllowPageBreak"/>
      </w:pPr>
    </w:p>
    <w:p w:rsidR="00000000" w:rsidRPr="00820C65" w:rsidP="00820C65">
      <w:pPr>
        <w:pStyle w:val="Heading1"/>
      </w:pPr>
      <w:bookmarkStart w:id="5" w:name="O_349346"/>
      <w:bookmarkEnd w:id="5"/>
      <w:r w:rsidRPr="00820C65">
        <w:t>Pre-Requisites</w:t>
      </w:r>
    </w:p>
    <w:p w:rsidR="00000000" w:rsidRPr="00820C65" w:rsidP="00820C65">
      <w:pPr>
        <w:pStyle w:val="BodyText"/>
      </w:pPr>
      <w:r w:rsidRPr="00820C65">
        <w:t>Not applicable.</w:t>
      </w:r>
    </w:p>
    <w:p w:rsidR="00000000" w:rsidRPr="00820C65" w:rsidP="00820C65">
      <w:pPr>
        <w:pStyle w:val="AllowPageBreak"/>
      </w:pPr>
    </w:p>
    <w:p w:rsidR="00000000" w:rsidRPr="00820C65" w:rsidP="00820C65">
      <w:pPr>
        <w:pStyle w:val="Heading1"/>
      </w:pPr>
      <w:bookmarkStart w:id="6" w:name="O_349347"/>
      <w:bookmarkEnd w:id="6"/>
      <w:r w:rsidRPr="00820C65">
        <w:t>Employability Skills Information</w:t>
      </w:r>
    </w:p>
    <w:p w:rsidR="00000000" w:rsidRPr="00820C65" w:rsidP="00820C65">
      <w:pPr>
        <w:pStyle w:val="BodyText"/>
      </w:pPr>
      <w:r w:rsidRPr="00820C65">
        <w:t>This unit contains employability skills.</w:t>
      </w:r>
    </w:p>
    <w:p w:rsidR="00000000" w:rsidRPr="00820C65" w:rsidP="00820C65">
      <w:pPr>
        <w:pStyle w:val="AllowPageBreak"/>
      </w:pPr>
    </w:p>
    <w:p w:rsidR="00000000" w:rsidRPr="00820C65" w:rsidP="00820C65">
      <w:pPr>
        <w:pStyle w:val="Heading1"/>
      </w:pPr>
      <w:bookmarkStart w:id="7" w:name="O_349348"/>
      <w:bookmarkEnd w:id="7"/>
      <w:r w:rsidRPr="00820C65">
        <w:t>Elements and Performance Criteria Pre-Content</w:t>
      </w:r>
    </w:p>
    <w:tbl>
      <w:tblPr>
        <w:tblW w:w="0" w:type="auto"/>
        <w:tblLayout w:type="fixed"/>
        <w:tblCellMar>
          <w:left w:w="62" w:type="dxa"/>
          <w:right w:w="62" w:type="dxa"/>
        </w:tblCellMar>
        <w:tblLook w:val="0000"/>
      </w:tblPr>
      <w:tblGrid>
        <w:gridCol w:w="4095"/>
        <w:gridCol w:w="4095"/>
      </w:tblGrid>
      <w:tr w:rsidTr="009070B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C65" w:rsidP="00820C65">
            <w:pPr>
              <w:pStyle w:val="BodyText"/>
            </w:pPr>
            <w:r w:rsidRPr="00820C65">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C65">
            <w:pPr>
              <w:pStyle w:val="BodyText"/>
              <w:rPr>
                <w:lang w:val="en-NZ"/>
              </w:rPr>
            </w:pPr>
            <w:r w:rsidRPr="00820C65">
              <w:rPr>
                <w:rStyle w:val="SpecialBold"/>
              </w:rPr>
              <w:t>Performance Criteria</w:t>
            </w:r>
          </w:p>
        </w:tc>
      </w:tr>
      <w:tr w:rsidTr="009070B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C65" w:rsidP="00820C65">
            <w:pPr>
              <w:pStyle w:val="BodyText"/>
            </w:pPr>
            <w:r w:rsidRPr="00820C65">
              <w:rPr>
                <w:rStyle w:val="Emphasis"/>
              </w:rPr>
              <w:t>Elements describe the essential outcomes of a unit of competency.</w:t>
            </w:r>
          </w:p>
          <w:p w:rsidR="00000000" w:rsidRPr="00820C65">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C65" w:rsidP="00820C65">
            <w:pPr>
              <w:pStyle w:val="BodyText"/>
            </w:pPr>
            <w:r w:rsidRPr="00820C65">
              <w:rPr>
                <w:rStyle w:val="Emphasis"/>
              </w:rPr>
              <w:t>Performance criteria describe the performance needed to demonstrate achievement of the element. Where bold italic</w:t>
            </w:r>
            <w:r w:rsidRPr="00820C65">
              <w:rPr>
                <w:rStyle w:val="Emphasis"/>
              </w:rPr>
              <w:t>ised text is used, further information is detailed in the required skills and knowledge section and the range statement. Assessment of performance is to be consistent with the evidence guide.</w:t>
            </w:r>
          </w:p>
        </w:tc>
      </w:tr>
    </w:tbl>
    <w:p w:rsidR="00000000" w:rsidRPr="00820C65" w:rsidP="00820C65">
      <w:pPr>
        <w:pStyle w:val="BodyText"/>
      </w:pPr>
    </w:p>
    <w:p w:rsidR="00000000" w:rsidRPr="00820C65" w:rsidP="00820C65">
      <w:pPr>
        <w:pStyle w:val="AllowPageBreak"/>
      </w:pPr>
    </w:p>
    <w:p w:rsidR="00000000" w:rsidRPr="00820C65" w:rsidP="00820C65">
      <w:pPr>
        <w:pStyle w:val="Heading1"/>
      </w:pPr>
      <w:bookmarkStart w:id="8" w:name="O_349349"/>
      <w:bookmarkEnd w:id="8"/>
      <w:r w:rsidRPr="00820C65">
        <w:t>Elements and Performance Criteria</w:t>
      </w:r>
    </w:p>
    <w:tbl>
      <w:tblPr>
        <w:tblW w:w="0" w:type="auto"/>
        <w:tblLayout w:type="fixed"/>
        <w:tblCellMar>
          <w:left w:w="62" w:type="dxa"/>
          <w:right w:w="62" w:type="dxa"/>
        </w:tblCellMar>
        <w:tblLook w:val="0000"/>
      </w:tblPr>
      <w:tblGrid>
        <w:gridCol w:w="2592"/>
        <w:gridCol w:w="6318"/>
      </w:tblGrid>
      <w:tr w:rsidTr="00820C6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1. Identify</w:t>
            </w:r>
            <w:r w:rsidRPr="00820C65">
              <w:t xml:space="preserve"> type of opal rough</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1.1 Undertake preliminary investigations before deciding how to proceed with cutting or carving the opal</w:t>
            </w:r>
          </w:p>
          <w:p w:rsidR="00000000" w:rsidRPr="00820C65" w:rsidP="00820C65">
            <w:pPr>
              <w:pStyle w:val="BodyText"/>
            </w:pPr>
            <w:r w:rsidRPr="00820C65">
              <w:t>1.2 Review current market requirements and consult with client to determine his/her preference for how opal could be cut</w:t>
            </w:r>
          </w:p>
          <w:p w:rsidR="00000000" w:rsidRPr="00820C65" w:rsidP="00820C65">
            <w:pPr>
              <w:pStyle w:val="BodyText"/>
            </w:pPr>
            <w:r w:rsidRPr="00820C65">
              <w:t xml:space="preserve">1.3 Based </w:t>
            </w:r>
            <w:r w:rsidRPr="00820C65">
              <w:t>on knowledge of the geological formation of opal, field from which the opal came and past experience, determine the location of the colour within the rough opal</w:t>
            </w:r>
          </w:p>
          <w:p w:rsidR="00000000" w:rsidRPr="00820C65" w:rsidP="00820C65">
            <w:pPr>
              <w:pStyle w:val="BodyText"/>
            </w:pPr>
            <w:r w:rsidRPr="00820C65">
              <w:t>1.4 Discuss possible strategies for cutting with colleagues and client as required</w:t>
            </w:r>
          </w:p>
          <w:p w:rsidR="00000000" w:rsidRPr="00820C65" w:rsidP="00820C65">
            <w:pPr>
              <w:pStyle w:val="BodyText"/>
            </w:pPr>
            <w:r w:rsidRPr="00820C65">
              <w:t>1.5 Determine jewellers’ requirements for products being considered</w:t>
            </w:r>
          </w:p>
          <w:p w:rsidR="00000000" w:rsidP="00820C65">
            <w:pPr>
              <w:pStyle w:val="BodyText"/>
              <w:rPr>
                <w:lang w:val="en-NZ"/>
              </w:rPr>
            </w:pPr>
            <w:r w:rsidRPr="00820C65">
              <w:t>1.6 Review the options for cutting and plan cut to achieve the best result</w:t>
            </w:r>
          </w:p>
        </w:tc>
      </w:tr>
      <w:tr w:rsidTr="00820C65">
        <w:tblPrEx>
          <w:tblW w:w="0" w:type="auto"/>
          <w:tblLayout w:type="fixed"/>
          <w:tblCellMar>
            <w:left w:w="62" w:type="dxa"/>
            <w:right w:w="62" w:type="dxa"/>
          </w:tblCellMar>
          <w:tblLook w:val="0000"/>
        </w:tblPrEx>
        <w:trPr>
          <w:trHeight w:val="1815"/>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2. Block off the stone (boulder opal)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2.1 When working with boulder opal, use a series of cuts to block off ston</w:t>
            </w:r>
            <w:r w:rsidRPr="00820C65">
              <w:t>e to gain more information about position and quality of the opal present in the stone and determine best gem outcomes from that piece of boulder</w:t>
            </w:r>
          </w:p>
          <w:p w:rsidR="00000000" w:rsidRPr="00820C65" w:rsidP="00820C65">
            <w:pPr>
              <w:pStyle w:val="BodyText"/>
            </w:pPr>
            <w:r w:rsidRPr="00820C65">
              <w:t>2.2 Identify position of opal and minimise waste when making cuts</w:t>
            </w:r>
          </w:p>
          <w:p w:rsidR="00000000" w:rsidP="00820C65">
            <w:pPr>
              <w:pStyle w:val="BodyText"/>
              <w:rPr>
                <w:lang w:val="en-NZ"/>
              </w:rPr>
            </w:pPr>
            <w:r w:rsidRPr="00820C65">
              <w:t>2.3 If appropriate, split block opal along f</w:t>
            </w:r>
            <w:r w:rsidRPr="00820C65">
              <w:t>ault lines</w:t>
            </w:r>
          </w:p>
        </w:tc>
      </w:tr>
      <w:tr w:rsidTr="00820C6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3. Expose the colour</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 xml:space="preserve">3.1 Use </w:t>
            </w:r>
            <w:r w:rsidRPr="00820C65">
              <w:rPr>
                <w:rStyle w:val="BoldandItalics"/>
              </w:rPr>
              <w:t>appropriate equipment</w:t>
            </w:r>
            <w:r w:rsidRPr="00820C65">
              <w:t xml:space="preserve"> to expose the colour without removing gem material</w:t>
            </w:r>
          </w:p>
          <w:p w:rsidR="00000000" w:rsidP="00820C65">
            <w:pPr>
              <w:pStyle w:val="BodyText"/>
              <w:rPr>
                <w:lang w:val="en-NZ"/>
              </w:rPr>
            </w:pPr>
            <w:r w:rsidRPr="00820C65">
              <w:t>3.2 Select the correct grinding wheels and grits for a given piece</w:t>
            </w:r>
          </w:p>
        </w:tc>
      </w:tr>
      <w:tr w:rsidTr="00820C6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4. Decide on whether to cut and/or carve the opal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4.1 Review the stone, de</w:t>
            </w:r>
            <w:r w:rsidRPr="00820C65">
              <w:t>termine the directionality and decide on the final outcome to be achieved</w:t>
            </w:r>
          </w:p>
          <w:p w:rsidR="00000000" w:rsidRPr="00820C65" w:rsidP="00820C65">
            <w:pPr>
              <w:pStyle w:val="BodyText"/>
            </w:pPr>
            <w:r w:rsidRPr="00820C65">
              <w:t xml:space="preserve">4.2 Remove </w:t>
            </w:r>
            <w:r w:rsidRPr="00820C65">
              <w:rPr>
                <w:rStyle w:val="BoldandItalics"/>
              </w:rPr>
              <w:t>unwanted material</w:t>
            </w:r>
            <w:r w:rsidRPr="00820C65">
              <w:t xml:space="preserve"> and prepare the stone for final processing</w:t>
            </w:r>
          </w:p>
          <w:p w:rsidR="00000000" w:rsidRPr="00820C65" w:rsidP="00820C65">
            <w:pPr>
              <w:pStyle w:val="BodyText"/>
            </w:pPr>
            <w:r w:rsidRPr="00820C65">
              <w:t>4.3 Select the way to cut the stone for the best artistic and commercial return</w:t>
            </w:r>
          </w:p>
        </w:tc>
      </w:tr>
    </w:tbl>
    <w:p w:rsidR="00000000" w:rsidRPr="00820C65" w:rsidP="00820C65">
      <w:pPr>
        <w:pStyle w:val="BodyText"/>
      </w:pPr>
    </w:p>
    <w:p w:rsidR="00000000" w:rsidRPr="00820C65" w:rsidP="00820C65">
      <w:pPr>
        <w:pStyle w:val="AllowPageBreak"/>
      </w:pPr>
    </w:p>
    <w:p w:rsidR="00000000" w:rsidRPr="00820C65" w:rsidP="00820C65">
      <w:pPr>
        <w:pStyle w:val="Heading1"/>
      </w:pPr>
      <w:bookmarkStart w:id="9" w:name="O_349350"/>
      <w:bookmarkEnd w:id="9"/>
      <w:r w:rsidRPr="00820C65">
        <w:t>Required Skills and Knowledge</w:t>
      </w:r>
    </w:p>
    <w:p w:rsidR="00000000" w:rsidRPr="00820C65" w:rsidP="00820C65">
      <w:pPr>
        <w:pStyle w:val="BodyText"/>
      </w:pPr>
      <w:r w:rsidRPr="00820C65">
        <w:rPr>
          <w:rStyle w:val="Emphasis"/>
        </w:rPr>
        <w:t>This section describes the skills and knowledge required for this unit.</w:t>
      </w:r>
    </w:p>
    <w:p w:rsidR="00000000" w:rsidRPr="00820C65" w:rsidP="00820C65">
      <w:pPr>
        <w:pStyle w:val="BodyText"/>
      </w:pPr>
    </w:p>
    <w:p w:rsidR="00000000" w:rsidRPr="00820C65" w:rsidP="00820C65">
      <w:pPr>
        <w:pStyle w:val="BodyText"/>
      </w:pPr>
      <w:r w:rsidRPr="00820C65">
        <w:rPr>
          <w:rStyle w:val="SpecialBold"/>
        </w:rPr>
        <w:t>Required skills</w:t>
      </w:r>
    </w:p>
    <w:p w:rsidR="00000000" w:rsidRPr="00820C65" w:rsidP="00820C65">
      <w:pPr>
        <w:pStyle w:val="ListBullet"/>
      </w:pPr>
      <w:r w:rsidRPr="00820C65">
        <w:t>communication skills to discuss cutting strategies with clients and colleagues</w:t>
      </w:r>
    </w:p>
    <w:p w:rsidR="00000000" w:rsidRPr="00820C65" w:rsidP="00820C65">
      <w:pPr>
        <w:pStyle w:val="ListBullet"/>
      </w:pPr>
      <w:r w:rsidRPr="00820C65">
        <w:t>planning and organising skills to:</w:t>
      </w:r>
    </w:p>
    <w:p w:rsidR="00000000" w:rsidRPr="00820C65" w:rsidP="00820C65">
      <w:pPr>
        <w:pStyle w:val="ListBullet2"/>
      </w:pPr>
      <w:r w:rsidRPr="00820C65">
        <w:t>choose appropriate eq</w:t>
      </w:r>
      <w:r w:rsidRPr="00820C65">
        <w:t>uipment</w:t>
      </w:r>
    </w:p>
    <w:p w:rsidR="00000000" w:rsidRPr="00820C65" w:rsidP="00820C65">
      <w:pPr>
        <w:pStyle w:val="ListBullet2"/>
      </w:pPr>
      <w:r w:rsidRPr="00820C65">
        <w:t>select the way to cut the stone for best artistic and commercial return</w:t>
      </w:r>
    </w:p>
    <w:p w:rsidR="00000000" w:rsidRPr="00820C65" w:rsidP="00820C65">
      <w:pPr>
        <w:pStyle w:val="ListBullet"/>
      </w:pPr>
      <w:r w:rsidRPr="00820C65">
        <w:t>problem-solving skills to deal with complications in the pre-cutting stage as well as OHS or safety issues</w:t>
      </w:r>
    </w:p>
    <w:p w:rsidR="00000000" w:rsidRPr="00820C65" w:rsidP="00820C65">
      <w:pPr>
        <w:pStyle w:val="ListBullet"/>
      </w:pPr>
      <w:r w:rsidRPr="00820C65">
        <w:t>numeracy skills to use numerical features of machinery</w:t>
      </w:r>
    </w:p>
    <w:p w:rsidR="00000000" w:rsidRPr="00820C65" w:rsidP="00820C65">
      <w:pPr>
        <w:pStyle w:val="ListBullet"/>
      </w:pPr>
      <w:r w:rsidRPr="00820C65">
        <w:t>technical skills to:</w:t>
      </w:r>
    </w:p>
    <w:p w:rsidR="00000000" w:rsidRPr="00820C65" w:rsidP="00820C65">
      <w:pPr>
        <w:pStyle w:val="ListBullet2"/>
      </w:pPr>
      <w:r w:rsidRPr="00820C65">
        <w:t>make sound decisions to achieve best colour and yield</w:t>
      </w:r>
    </w:p>
    <w:p w:rsidR="00000000" w:rsidRPr="00820C65" w:rsidP="00820C65">
      <w:pPr>
        <w:pStyle w:val="ListBullet2"/>
      </w:pPr>
      <w:r w:rsidRPr="00820C65">
        <w:t>determine the position of the colour in a boulder opal</w:t>
      </w:r>
    </w:p>
    <w:p w:rsidR="00000000" w:rsidRPr="00820C65" w:rsidP="00820C65">
      <w:pPr>
        <w:pStyle w:val="ListBullet2"/>
      </w:pPr>
      <w:r w:rsidRPr="00820C65">
        <w:t>use appropriate equipment</w:t>
      </w:r>
    </w:p>
    <w:p w:rsidR="00000000" w:rsidRPr="00820C65" w:rsidP="00820C65">
      <w:pPr>
        <w:pStyle w:val="ListBullet2"/>
      </w:pPr>
      <w:r w:rsidRPr="00820C65">
        <w:t>apply OHS principles and safe operating procedures.</w:t>
      </w:r>
    </w:p>
    <w:p w:rsidR="00000000" w:rsidRPr="00820C65" w:rsidP="00820C65">
      <w:pPr>
        <w:pStyle w:val="BodyText"/>
      </w:pPr>
    </w:p>
    <w:p w:rsidR="00000000" w:rsidRPr="00820C65" w:rsidP="00820C65">
      <w:pPr>
        <w:pStyle w:val="BodyText"/>
      </w:pPr>
      <w:r w:rsidRPr="00820C65">
        <w:rPr>
          <w:rStyle w:val="SpecialBold"/>
        </w:rPr>
        <w:t>Required knowledge</w:t>
      </w:r>
    </w:p>
    <w:p w:rsidR="00000000" w:rsidRPr="00820C65" w:rsidP="00820C65">
      <w:pPr>
        <w:pStyle w:val="ListBullet"/>
      </w:pPr>
      <w:r w:rsidRPr="00820C65">
        <w:t>characteristics of opal ge</w:t>
      </w:r>
      <w:r w:rsidRPr="00820C65">
        <w:t>mstone structure and formation</w:t>
      </w:r>
    </w:p>
    <w:p w:rsidR="00000000" w:rsidRPr="00820C65" w:rsidP="00820C65">
      <w:pPr>
        <w:pStyle w:val="ListBullet"/>
      </w:pPr>
      <w:r w:rsidRPr="00820C65">
        <w:t>importance of achieving yield when cutting a gemstone</w:t>
      </w:r>
    </w:p>
    <w:p w:rsidR="00000000" w:rsidRPr="00820C65" w:rsidP="00820C65">
      <w:pPr>
        <w:pStyle w:val="ListBullet"/>
      </w:pPr>
      <w:r w:rsidRPr="00820C65">
        <w:t>market trends</w:t>
      </w:r>
    </w:p>
    <w:p w:rsidR="00000000" w:rsidRPr="00820C65" w:rsidP="00820C65">
      <w:pPr>
        <w:pStyle w:val="ListBullet"/>
      </w:pPr>
      <w:r w:rsidRPr="00820C65">
        <w:t>jewellers’ and industry requirements</w:t>
      </w:r>
    </w:p>
    <w:p w:rsidR="00000000" w:rsidRPr="00820C65" w:rsidP="00820C65">
      <w:pPr>
        <w:pStyle w:val="ListBullet"/>
      </w:pPr>
      <w:r w:rsidRPr="00820C65">
        <w:t>OHS principles and safe operating procedures for cutting machinery, including:</w:t>
      </w:r>
    </w:p>
    <w:p w:rsidR="00000000" w:rsidRPr="00820C65" w:rsidP="00820C65">
      <w:pPr>
        <w:pStyle w:val="ListBullet2"/>
      </w:pPr>
      <w:r w:rsidRPr="00820C65">
        <w:t>appropriate procedures for dealing with emissions</w:t>
      </w:r>
    </w:p>
    <w:p w:rsidR="00000000" w:rsidRPr="00820C65" w:rsidP="00820C65">
      <w:pPr>
        <w:pStyle w:val="ListBullet2"/>
      </w:pPr>
      <w:r w:rsidRPr="00820C65">
        <w:t>complying with the safe operating procedures for each machine</w:t>
      </w:r>
    </w:p>
    <w:p w:rsidR="00000000" w:rsidRPr="00820C65" w:rsidP="00820C65">
      <w:pPr>
        <w:pStyle w:val="ListBullet2"/>
      </w:pPr>
      <w:r w:rsidRPr="00820C65">
        <w:t>using personal protective equipment (PPE) where required.</w:t>
      </w:r>
    </w:p>
    <w:p w:rsidR="00000000" w:rsidRPr="00820C65" w:rsidP="00820C65">
      <w:pPr>
        <w:pStyle w:val="AllowPageBreak"/>
      </w:pPr>
    </w:p>
    <w:p w:rsidR="00000000" w:rsidRPr="00820C65" w:rsidP="00820C65">
      <w:pPr>
        <w:pStyle w:val="Heading1"/>
      </w:pPr>
      <w:bookmarkStart w:id="10" w:name="O_349351"/>
      <w:bookmarkEnd w:id="10"/>
      <w:r w:rsidRPr="00820C65">
        <w:t>Evidence Guide</w:t>
      </w:r>
    </w:p>
    <w:p w:rsidR="00000000" w:rsidRPr="00820C65" w:rsidP="00820C65">
      <w:pPr>
        <w:pStyle w:val="BodyText"/>
      </w:pPr>
      <w:r w:rsidRPr="00820C6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20C65" w:rsidP="00820C65">
      <w:pPr>
        <w:pStyle w:val="BodyText"/>
      </w:pPr>
    </w:p>
    <w:tbl>
      <w:tblPr>
        <w:tblW w:w="0" w:type="auto"/>
        <w:tblLayout w:type="fixed"/>
        <w:tblCellMar>
          <w:left w:w="62" w:type="dxa"/>
          <w:right w:w="62" w:type="dxa"/>
        </w:tblCellMar>
        <w:tblLook w:val="0000"/>
      </w:tblPr>
      <w:tblGrid>
        <w:gridCol w:w="2586"/>
        <w:gridCol w:w="6414"/>
      </w:tblGrid>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p>
        </w:tc>
      </w:tr>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Critical as</w:t>
            </w:r>
            <w:r w:rsidRPr="00820C65">
              <w:rPr>
                <w:rStyle w:val="SpecialBold"/>
              </w:rPr>
              <w:t>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Evidence of the ability to:</w:t>
            </w:r>
          </w:p>
          <w:p w:rsidR="00000000" w:rsidRPr="00820C65" w:rsidP="00820C65">
            <w:pPr>
              <w:pStyle w:val="ListBullet"/>
            </w:pPr>
            <w:r w:rsidRPr="00820C65">
              <w:t>make sound decisions about the final outcome to be achieved and complete all pre-cutting and pre-forming processes for boulder, black and especia</w:t>
            </w:r>
            <w:r w:rsidRPr="00820C65">
              <w:t>lly valuable or difficult opals</w:t>
            </w:r>
          </w:p>
          <w:p w:rsidR="00000000" w:rsidP="00820C65">
            <w:pPr>
              <w:pStyle w:val="ListBullet"/>
              <w:rPr>
                <w:lang w:val="en-NZ"/>
              </w:rPr>
            </w:pPr>
            <w:r w:rsidRPr="00820C65">
              <w:t>demonstrate knowledge of geological formation and structure of opal.</w:t>
            </w:r>
          </w:p>
        </w:tc>
      </w:tr>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t>Assessment of this unit requires access to an opal-cutting workshop.</w:t>
            </w:r>
          </w:p>
        </w:tc>
      </w:tr>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A range of ass</w:t>
            </w:r>
            <w:r w:rsidRPr="00820C65">
              <w:t>essment methods should be used to assess practical skills and knowledge. The following examples are appropriate for this unit:</w:t>
            </w:r>
          </w:p>
          <w:p w:rsidR="00000000" w:rsidRPr="00820C65" w:rsidP="00820C65">
            <w:pPr>
              <w:pStyle w:val="ListBullet"/>
            </w:pPr>
            <w:r w:rsidRPr="00820C65">
              <w:t>observation of processes and procedures</w:t>
            </w:r>
          </w:p>
          <w:p w:rsidR="00000000" w:rsidRPr="00820C65" w:rsidP="00820C65">
            <w:pPr>
              <w:pStyle w:val="ListBullet"/>
            </w:pPr>
            <w:r w:rsidRPr="00820C65">
              <w:t>oral and/or written questioning on underpinning knowledge and skills</w:t>
            </w:r>
          </w:p>
          <w:p w:rsidR="00000000" w:rsidRPr="00820C65" w:rsidP="00820C65">
            <w:pPr>
              <w:pStyle w:val="ListBullet"/>
            </w:pPr>
            <w:r w:rsidRPr="00820C65">
              <w:t>evaluation of the f</w:t>
            </w:r>
            <w:r w:rsidRPr="00820C65">
              <w:t>inal product</w:t>
            </w:r>
          </w:p>
          <w:p w:rsidR="00000000" w:rsidRPr="00820C65" w:rsidP="00820C65">
            <w:pPr>
              <w:pStyle w:val="ListBullet"/>
            </w:pPr>
            <w:r w:rsidRPr="00820C65">
              <w:t xml:space="preserve">review of portfolios of evidence </w:t>
            </w:r>
          </w:p>
          <w:p w:rsidR="00000000" w:rsidRPr="00820C65" w:rsidP="00820C65">
            <w:pPr>
              <w:pStyle w:val="ListBullet"/>
            </w:pPr>
            <w:r w:rsidRPr="00820C65">
              <w:t>review of third-party workplace reports of on-the-job performance by candidate.</w:t>
            </w:r>
          </w:p>
          <w:p w:rsidR="00000000" w:rsidP="00820C65">
            <w:pPr>
              <w:pStyle w:val="BodyText"/>
              <w:rPr>
                <w:lang w:val="en-NZ"/>
              </w:rPr>
            </w:pPr>
            <w:r w:rsidRPr="00820C65">
              <w:t>Assessment methods should closely reflect workplace demands (e.g. literacy) and the needs of particular groups (e.g. people with disabilities, and people who may have literacy or numeracy difficulties, such as speakers of languages other than English, remo</w:t>
            </w:r>
            <w:r w:rsidRPr="00820C65">
              <w:t>te communities and those with interrupted schooling).</w:t>
            </w:r>
          </w:p>
        </w:tc>
      </w:tr>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BodyText"/>
            </w:pPr>
            <w:r w:rsidRPr="00820C65">
              <w:t>Holistic assessment with other units relevant to the industry sector workplace and job role is recommended.</w:t>
            </w:r>
          </w:p>
        </w:tc>
      </w:tr>
    </w:tbl>
    <w:p w:rsidR="00000000" w:rsidRPr="00820C65" w:rsidP="00820C65">
      <w:pPr>
        <w:pStyle w:val="BodyText"/>
      </w:pPr>
    </w:p>
    <w:p w:rsidR="00000000" w:rsidRPr="00820C65" w:rsidP="00820C65">
      <w:pPr>
        <w:pStyle w:val="AllowPageBreak"/>
      </w:pPr>
    </w:p>
    <w:p w:rsidR="00000000" w:rsidRPr="00820C65" w:rsidP="00820C65">
      <w:pPr>
        <w:pStyle w:val="Heading1"/>
      </w:pPr>
      <w:bookmarkStart w:id="11" w:name="O_349352"/>
      <w:bookmarkEnd w:id="11"/>
      <w:r w:rsidRPr="00820C65">
        <w:t>Range Statement</w:t>
      </w:r>
    </w:p>
    <w:p w:rsidR="00000000" w:rsidRPr="00820C65" w:rsidP="00820C65">
      <w:pPr>
        <w:pStyle w:val="BodyText"/>
      </w:pPr>
      <w:r w:rsidRPr="00820C65">
        <w:rPr>
          <w:rStyle w:val="Emphasis"/>
        </w:rPr>
        <w:t>The range statement re</w:t>
      </w:r>
      <w:r w:rsidRPr="00820C65">
        <w:rPr>
          <w:rStyle w:val="Emphasis"/>
        </w:rPr>
        <w:t>lates to the unit of competency as a whole. It allows for different work environments and situations that may affect performance. Bold italicised wording, if used in the performance criteria, is detailed below. Essential operating conditions that may be pr</w:t>
      </w:r>
      <w:r w:rsidRPr="00820C65">
        <w:rPr>
          <w:rStyle w:val="Emphasis"/>
        </w:rPr>
        <w:t>esent with training and assessment (depending on the work situation, needs of the candidate, accessibility of the item, and local industry and regional contexts) may also be included.</w:t>
      </w:r>
    </w:p>
    <w:p w:rsidR="00000000" w:rsidRPr="00820C65" w:rsidP="00820C65">
      <w:pPr>
        <w:pStyle w:val="BodyText"/>
      </w:pPr>
    </w:p>
    <w:tbl>
      <w:tblPr>
        <w:tblW w:w="0" w:type="auto"/>
        <w:tblLayout w:type="fixed"/>
        <w:tblCellMar>
          <w:left w:w="62" w:type="dxa"/>
          <w:right w:w="62" w:type="dxa"/>
        </w:tblCellMar>
        <w:tblLook w:val="0000"/>
      </w:tblPr>
      <w:tblGrid>
        <w:gridCol w:w="2586"/>
        <w:gridCol w:w="6324"/>
      </w:tblGrid>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BoldandItalics"/>
              </w:rPr>
              <w:t>Appropriate equipment</w:t>
            </w:r>
            <w:r w:rsidRPr="00820C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ListBullet"/>
            </w:pPr>
            <w:r w:rsidRPr="00820C65">
              <w:t>Asahi wheel</w:t>
            </w:r>
          </w:p>
          <w:p w:rsidR="00000000" w:rsidRPr="00820C65" w:rsidP="00820C65">
            <w:pPr>
              <w:pStyle w:val="ListBullet"/>
            </w:pPr>
            <w:r w:rsidRPr="00820C65">
              <w:t>diamond grinder</w:t>
            </w:r>
          </w:p>
          <w:p w:rsidR="00000000" w:rsidRPr="00820C65" w:rsidP="00820C65">
            <w:pPr>
              <w:pStyle w:val="ListBullet"/>
            </w:pPr>
            <w:r w:rsidRPr="00820C65">
              <w:t>diamond sawing</w:t>
            </w:r>
          </w:p>
          <w:p w:rsidR="00000000" w:rsidRPr="00820C65" w:rsidP="00820C65">
            <w:pPr>
              <w:pStyle w:val="ListBullet"/>
            </w:pPr>
            <w:r w:rsidRPr="00820C65">
              <w:t>free-hand saw</w:t>
            </w:r>
          </w:p>
          <w:p w:rsidR="00000000" w:rsidRPr="00820C65" w:rsidP="00820C65">
            <w:pPr>
              <w:pStyle w:val="ListBullet"/>
            </w:pPr>
            <w:r w:rsidRPr="00820C65">
              <w:t>nova wheel</w:t>
            </w:r>
          </w:p>
          <w:p w:rsidR="00000000" w:rsidRPr="00820C65" w:rsidP="00820C65">
            <w:pPr>
              <w:pStyle w:val="ListBullet"/>
            </w:pPr>
            <w:r w:rsidRPr="00820C65">
              <w:t>silicon carbide grinder</w:t>
            </w:r>
          </w:p>
          <w:p w:rsidR="00000000" w:rsidRPr="00820C65" w:rsidP="00820C65">
            <w:pPr>
              <w:pStyle w:val="ListBullet"/>
            </w:pPr>
            <w:r w:rsidRPr="00820C65">
              <w:t>slab saw</w:t>
            </w:r>
          </w:p>
          <w:p w:rsidR="00000000" w:rsidP="00820C65">
            <w:pPr>
              <w:pStyle w:val="ListBullet"/>
              <w:rPr>
                <w:lang w:val="en-NZ"/>
              </w:rPr>
            </w:pPr>
            <w:r w:rsidRPr="00820C65">
              <w:t>trim saw.</w:t>
            </w:r>
          </w:p>
        </w:tc>
      </w:tr>
      <w:tr w:rsidTr="00820C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C65">
            <w:pPr>
              <w:pStyle w:val="BodyText"/>
              <w:rPr>
                <w:lang w:val="en-NZ"/>
              </w:rPr>
            </w:pPr>
            <w:r w:rsidRPr="00820C65">
              <w:rPr>
                <w:rStyle w:val="BoldandItalics"/>
              </w:rPr>
              <w:t>Unwanted material</w:t>
            </w:r>
            <w:r w:rsidRPr="00820C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C65" w:rsidP="00820C65">
            <w:pPr>
              <w:pStyle w:val="ListBullet"/>
            </w:pPr>
            <w:r w:rsidRPr="00820C65">
              <w:t>cotton and gypsum</w:t>
            </w:r>
          </w:p>
          <w:p w:rsidR="00000000" w:rsidRPr="00820C65" w:rsidP="00820C65">
            <w:pPr>
              <w:pStyle w:val="ListBullet"/>
            </w:pPr>
            <w:r w:rsidRPr="00820C65">
              <w:t>cracked material</w:t>
            </w:r>
          </w:p>
          <w:p w:rsidR="00000000" w:rsidRPr="00820C65" w:rsidP="00820C65">
            <w:pPr>
              <w:pStyle w:val="ListBullet"/>
            </w:pPr>
            <w:r w:rsidRPr="00820C65">
              <w:t>crockery</w:t>
            </w:r>
          </w:p>
          <w:p w:rsidR="00000000" w:rsidRPr="00820C65" w:rsidP="00820C65">
            <w:pPr>
              <w:pStyle w:val="ListBullet"/>
            </w:pPr>
            <w:r w:rsidRPr="00820C65">
              <w:t>iron stone</w:t>
            </w:r>
          </w:p>
          <w:p w:rsidR="00000000" w:rsidRPr="00820C65" w:rsidP="00820C65">
            <w:pPr>
              <w:pStyle w:val="ListBullet"/>
            </w:pPr>
            <w:r w:rsidRPr="00820C65">
              <w:t>materials with inclusions or stains</w:t>
            </w:r>
          </w:p>
          <w:p w:rsidR="00000000" w:rsidRPr="00820C65" w:rsidP="00820C65">
            <w:pPr>
              <w:pStyle w:val="ListBullet"/>
            </w:pPr>
            <w:r w:rsidRPr="00820C65">
              <w:t>matrix (in black opal as a unwanted inclusion)</w:t>
            </w:r>
          </w:p>
          <w:p w:rsidR="00000000" w:rsidRPr="00820C65" w:rsidP="00820C65">
            <w:pPr>
              <w:pStyle w:val="ListBullet"/>
            </w:pPr>
            <w:r w:rsidRPr="00820C65">
              <w:t>po</w:t>
            </w:r>
            <w:r w:rsidRPr="00820C65">
              <w:t>or colour</w:t>
            </w:r>
          </w:p>
          <w:p w:rsidR="00000000" w:rsidRPr="00820C65" w:rsidP="00820C65">
            <w:pPr>
              <w:pStyle w:val="ListBullet"/>
            </w:pPr>
            <w:r w:rsidRPr="00820C65">
              <w:t>potch</w:t>
            </w:r>
          </w:p>
          <w:p w:rsidR="00000000" w:rsidRPr="00820C65" w:rsidP="00820C65">
            <w:pPr>
              <w:pStyle w:val="ListBullet"/>
            </w:pPr>
            <w:r w:rsidRPr="00820C65">
              <w:t>sandstone.</w:t>
            </w:r>
          </w:p>
        </w:tc>
      </w:tr>
    </w:tbl>
    <w:p w:rsidR="00000000" w:rsidRPr="00820C65" w:rsidP="00820C65">
      <w:pPr>
        <w:pStyle w:val="BodyText"/>
      </w:pPr>
    </w:p>
    <w:p w:rsidR="00000000" w:rsidRPr="00820C65" w:rsidP="00820C65">
      <w:pPr>
        <w:pStyle w:val="AllowPageBreak"/>
      </w:pPr>
    </w:p>
    <w:p w:rsidR="00000000" w:rsidRPr="00820C65" w:rsidP="00820C65">
      <w:pPr>
        <w:pStyle w:val="Heading1"/>
      </w:pPr>
      <w:bookmarkStart w:id="12" w:name="O_349353"/>
      <w:bookmarkEnd w:id="12"/>
      <w:r w:rsidRPr="00820C65">
        <w:t>Unit Sector(s)</w:t>
      </w:r>
    </w:p>
    <w:p w:rsidR="00000000" w:rsidRPr="00820C65" w:rsidP="00820C65">
      <w:pPr>
        <w:pStyle w:val="BodyText"/>
      </w:pPr>
      <w:r w:rsidRPr="00820C65">
        <w:t>Opal cutting and polishing</w:t>
      </w:r>
    </w:p>
    <w:p w:rsidR="00000000" w:rsidRPr="00820C65" w:rsidP="00820C65"/>
    <w:sectPr w:rsidSect="00820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BC" w:rsidP="00907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BC" w:rsidP="00820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70BC" w:rsidP="00820C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70BC" w:rsidP="00820C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BC" w:rsidP="009070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BC" w:rsidP="00820C65">
    <w:pPr>
      <w:pStyle w:val="Header"/>
      <w:framePr w:wrap="around"/>
    </w:pPr>
    <w:r>
      <w:fldChar w:fldCharType="begin"/>
    </w:r>
    <w:r>
      <w:instrText xml:space="preserve"> TITLE   \* MERGEFORMAT </w:instrText>
    </w:r>
    <w:r>
      <w:fldChar w:fldCharType="separate"/>
    </w:r>
    <w:r>
      <w:t>CUVOPA407A Apply advanced pre-cutting processes to complex opals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70BC" w:rsidP="00820C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AA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89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7A1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C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C65"/>
    <w:pPr>
      <w:spacing w:before="360" w:after="60"/>
      <w:outlineLvl w:val="0"/>
    </w:pPr>
    <w:rPr>
      <w:sz w:val="32"/>
    </w:rPr>
  </w:style>
  <w:style w:type="paragraph" w:styleId="Heading2">
    <w:name w:val="heading 2"/>
    <w:basedOn w:val="HeadingBase"/>
    <w:next w:val="BodyText"/>
    <w:link w:val="Heading2Char"/>
    <w:qFormat/>
    <w:rsid w:val="00820C65"/>
    <w:pPr>
      <w:keepLines/>
      <w:spacing w:before="240" w:after="120"/>
      <w:outlineLvl w:val="1"/>
    </w:pPr>
    <w:rPr>
      <w:sz w:val="28"/>
      <w:szCs w:val="40"/>
    </w:rPr>
  </w:style>
  <w:style w:type="paragraph" w:styleId="Heading3">
    <w:name w:val="heading 3"/>
    <w:basedOn w:val="HeadingBase"/>
    <w:next w:val="BodyText"/>
    <w:link w:val="Heading3Char"/>
    <w:qFormat/>
    <w:rsid w:val="00820C65"/>
    <w:pPr>
      <w:spacing w:before="180" w:after="120"/>
      <w:outlineLvl w:val="2"/>
    </w:pPr>
    <w:rPr>
      <w:spacing w:val="-10"/>
      <w:kern w:val="32"/>
    </w:rPr>
  </w:style>
  <w:style w:type="paragraph" w:styleId="Heading4">
    <w:name w:val="heading 4"/>
    <w:basedOn w:val="HeadingBase"/>
    <w:next w:val="BodyText"/>
    <w:link w:val="Heading4Char"/>
    <w:qFormat/>
    <w:rsid w:val="00820C65"/>
    <w:pPr>
      <w:spacing w:before="160" w:after="120"/>
      <w:outlineLvl w:val="3"/>
    </w:pPr>
    <w:rPr>
      <w:sz w:val="22"/>
    </w:rPr>
  </w:style>
  <w:style w:type="paragraph" w:styleId="Heading5">
    <w:name w:val="heading 5"/>
    <w:basedOn w:val="HeadingBase"/>
    <w:next w:val="Normal"/>
    <w:link w:val="Heading5Char"/>
    <w:qFormat/>
    <w:rsid w:val="00820C65"/>
    <w:pPr>
      <w:spacing w:before="80"/>
      <w:outlineLvl w:val="4"/>
    </w:pPr>
    <w:rPr>
      <w:color w:val="918585"/>
      <w:sz w:val="20"/>
    </w:rPr>
  </w:style>
  <w:style w:type="paragraph" w:styleId="Heading6">
    <w:name w:val="heading 6"/>
    <w:basedOn w:val="HeadingBase"/>
    <w:next w:val="Normal"/>
    <w:link w:val="Heading6Char"/>
    <w:qFormat/>
    <w:rsid w:val="00820C65"/>
    <w:pPr>
      <w:spacing w:before="60"/>
      <w:outlineLvl w:val="5"/>
    </w:pPr>
    <w:rPr>
      <w:color w:val="918585"/>
      <w:sz w:val="20"/>
    </w:rPr>
  </w:style>
  <w:style w:type="paragraph" w:styleId="Heading7">
    <w:name w:val="heading 7"/>
    <w:basedOn w:val="Normal"/>
    <w:next w:val="Normal"/>
    <w:link w:val="Heading7Char"/>
    <w:qFormat/>
    <w:rsid w:val="00820C65"/>
    <w:pPr>
      <w:ind w:left="720"/>
      <w:outlineLvl w:val="6"/>
    </w:pPr>
    <w:rPr>
      <w:i/>
    </w:rPr>
  </w:style>
  <w:style w:type="paragraph" w:styleId="Heading8">
    <w:name w:val="heading 8"/>
    <w:basedOn w:val="Normal"/>
    <w:next w:val="Normal"/>
    <w:link w:val="Heading8Char"/>
    <w:qFormat/>
    <w:rsid w:val="00820C65"/>
    <w:pPr>
      <w:ind w:left="720"/>
      <w:outlineLvl w:val="7"/>
    </w:pPr>
    <w:rPr>
      <w:i/>
    </w:rPr>
  </w:style>
  <w:style w:type="paragraph" w:styleId="Heading9">
    <w:name w:val="heading 9"/>
    <w:basedOn w:val="Normal"/>
    <w:next w:val="Normal"/>
    <w:link w:val="Heading9Char"/>
    <w:qFormat/>
    <w:rsid w:val="00820C65"/>
    <w:pPr>
      <w:ind w:left="720"/>
      <w:outlineLvl w:val="8"/>
    </w:pPr>
    <w:rPr>
      <w:i/>
    </w:rPr>
  </w:style>
  <w:style w:type="character" w:default="1" w:styleId="DefaultParagraphFont">
    <w:name w:val="Default Paragraph Font"/>
    <w:uiPriority w:val="1"/>
    <w:unhideWhenUsed/>
    <w:rsid w:val="00820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C65"/>
  </w:style>
  <w:style w:type="character" w:customStyle="1" w:styleId="Heading1Char">
    <w:name w:val="Heading 1 Char"/>
    <w:basedOn w:val="DefaultParagraphFont"/>
    <w:link w:val="Heading1"/>
    <w:rsid w:val="00820C65"/>
    <w:rPr>
      <w:rFonts w:ascii="Times New Roman" w:eastAsia="Times New Roman" w:hAnsi="Times New Roman" w:cs="Times New Roman"/>
      <w:b/>
      <w:sz w:val="32"/>
      <w:szCs w:val="20"/>
      <w:lang w:eastAsia="en-US"/>
    </w:rPr>
  </w:style>
  <w:style w:type="paragraph" w:styleId="BodyText">
    <w:name w:val="Body Text"/>
    <w:basedOn w:val="Normal"/>
    <w:link w:val="BodyTextChar"/>
    <w:rsid w:val="00820C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C65"/>
    <w:rPr>
      <w:rFonts w:ascii="Times New Roman" w:eastAsia="Times New Roman" w:hAnsi="Times New Roman" w:cs="Times New Roman"/>
      <w:sz w:val="24"/>
      <w:lang w:val="en-US" w:eastAsia="en-US"/>
    </w:rPr>
  </w:style>
  <w:style w:type="paragraph" w:styleId="Footer">
    <w:name w:val="footer"/>
    <w:basedOn w:val="Normal"/>
    <w:link w:val="FooterChar"/>
    <w:rsid w:val="00820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C65"/>
    <w:rPr>
      <w:rFonts w:ascii="Times New Roman" w:eastAsia="Times New Roman" w:hAnsi="Times New Roman" w:cs="Times New Roman"/>
      <w:sz w:val="16"/>
      <w:lang w:val="en-US" w:eastAsia="en-US"/>
    </w:rPr>
  </w:style>
  <w:style w:type="paragraph" w:styleId="ListBullet">
    <w:name w:val="List Bullet"/>
    <w:basedOn w:val="List"/>
    <w:rsid w:val="00820C65"/>
    <w:pPr>
      <w:numPr>
        <w:numId w:val="13"/>
      </w:numPr>
      <w:tabs>
        <w:tab w:val="clear" w:pos="340"/>
      </w:tabs>
      <w:spacing w:before="40" w:after="40"/>
    </w:pPr>
  </w:style>
  <w:style w:type="character" w:customStyle="1" w:styleId="SpecialBold">
    <w:name w:val="Special Bold"/>
    <w:basedOn w:val="DefaultParagraphFont"/>
    <w:rsid w:val="00820C65"/>
    <w:rPr>
      <w:b/>
      <w:spacing w:val="0"/>
    </w:rPr>
  </w:style>
  <w:style w:type="paragraph" w:styleId="ListBullet2">
    <w:name w:val="List Bullet 2"/>
    <w:basedOn w:val="List2"/>
    <w:rsid w:val="00820C65"/>
    <w:pPr>
      <w:numPr>
        <w:numId w:val="14"/>
      </w:numPr>
      <w:tabs>
        <w:tab w:val="clear" w:pos="680"/>
      </w:tabs>
    </w:pPr>
  </w:style>
  <w:style w:type="paragraph" w:styleId="Header">
    <w:name w:val="header"/>
    <w:basedOn w:val="Normal"/>
    <w:link w:val="HeaderChar"/>
    <w:rsid w:val="00820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C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0C65"/>
    <w:rPr>
      <w:i/>
    </w:rPr>
  </w:style>
  <w:style w:type="paragraph" w:customStyle="1" w:styleId="SuperHeading">
    <w:name w:val="SuperHeading"/>
    <w:basedOn w:val="Normal"/>
    <w:rsid w:val="00820C65"/>
    <w:pPr>
      <w:spacing w:before="240" w:after="120"/>
      <w:outlineLvl w:val="0"/>
    </w:pPr>
    <w:rPr>
      <w:rFonts w:ascii="Times New Roman" w:hAnsi="Times New Roman"/>
      <w:b/>
      <w:sz w:val="28"/>
    </w:rPr>
  </w:style>
  <w:style w:type="paragraph" w:customStyle="1" w:styleId="AllowPageBreak">
    <w:name w:val="AllowPageBreak"/>
    <w:rsid w:val="00820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0C65"/>
    <w:rPr>
      <w:b/>
      <w:i/>
      <w:u w:val="none"/>
    </w:rPr>
  </w:style>
  <w:style w:type="character" w:customStyle="1" w:styleId="Heading2Char">
    <w:name w:val="Heading 2 Char"/>
    <w:basedOn w:val="DefaultParagraphFont"/>
    <w:link w:val="Heading2"/>
    <w:rsid w:val="00820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C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C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C65"/>
    <w:rPr>
      <w:rFonts w:ascii="Courier New" w:eastAsia="Times New Roman" w:hAnsi="Courier New" w:cs="Times New Roman"/>
      <w:i/>
      <w:szCs w:val="20"/>
      <w:lang w:val="en-US" w:eastAsia="en-US"/>
    </w:rPr>
  </w:style>
  <w:style w:type="paragraph" w:customStyle="1" w:styleId="HeadingBase">
    <w:name w:val="Heading Base"/>
    <w:rsid w:val="00820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C65"/>
    <w:pPr>
      <w:tabs>
        <w:tab w:val="right" w:leader="dot" w:pos="9072"/>
      </w:tabs>
      <w:ind w:left="567"/>
    </w:pPr>
    <w:rPr>
      <w:szCs w:val="22"/>
    </w:rPr>
  </w:style>
  <w:style w:type="paragraph" w:customStyle="1" w:styleId="TOCBase">
    <w:name w:val="TOC Base"/>
    <w:rsid w:val="00820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C65"/>
    <w:pPr>
      <w:tabs>
        <w:tab w:val="right" w:leader="dot" w:pos="9072"/>
      </w:tabs>
      <w:spacing w:before="40" w:after="40"/>
      <w:ind w:left="284"/>
    </w:pPr>
    <w:rPr>
      <w:rFonts w:ascii="Times New Roman" w:hAnsi="Times New Roman"/>
    </w:rPr>
  </w:style>
  <w:style w:type="paragraph" w:styleId="TOC1">
    <w:name w:val="toc 1"/>
    <w:basedOn w:val="TOCBase"/>
    <w:next w:val="Normal"/>
    <w:rsid w:val="00820C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C65"/>
    <w:pPr>
      <w:spacing w:before="5040"/>
      <w:jc w:val="center"/>
    </w:pPr>
    <w:rPr>
      <w:sz w:val="48"/>
      <w:szCs w:val="72"/>
      <w:lang w:val="en-US"/>
    </w:rPr>
  </w:style>
  <w:style w:type="character" w:customStyle="1" w:styleId="TitleChar">
    <w:name w:val="Title Char"/>
    <w:basedOn w:val="DefaultParagraphFont"/>
    <w:link w:val="Title"/>
    <w:rsid w:val="00820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C65"/>
    <w:pPr>
      <w:tabs>
        <w:tab w:val="left" w:pos="3600"/>
        <w:tab w:val="left" w:pos="3958"/>
      </w:tabs>
    </w:pPr>
  </w:style>
  <w:style w:type="paragraph" w:styleId="List">
    <w:name w:val="List"/>
    <w:basedOn w:val="BodyText"/>
    <w:next w:val="BodyText"/>
    <w:rsid w:val="00820C65"/>
    <w:pPr>
      <w:tabs>
        <w:tab w:val="left" w:pos="340"/>
      </w:tabs>
      <w:spacing w:before="60" w:after="60"/>
      <w:ind w:left="340" w:hanging="340"/>
    </w:pPr>
  </w:style>
  <w:style w:type="paragraph" w:customStyle="1" w:styleId="Note">
    <w:name w:val="Note"/>
    <w:basedOn w:val="BodyText"/>
    <w:rsid w:val="00820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C65"/>
    <w:pPr>
      <w:framePr w:wrap="auto" w:hAnchor="text" w:y="6049"/>
    </w:pPr>
    <w:rPr>
      <w:color w:val="000000"/>
      <w:sz w:val="40"/>
    </w:rPr>
  </w:style>
  <w:style w:type="paragraph" w:customStyle="1" w:styleId="TOCTitle">
    <w:name w:val="TOCTitle"/>
    <w:basedOn w:val="Heading1"/>
    <w:rsid w:val="00820C65"/>
    <w:pPr>
      <w:spacing w:after="240"/>
      <w:jc w:val="center"/>
      <w:outlineLvl w:val="9"/>
    </w:pPr>
    <w:rPr>
      <w:caps/>
    </w:rPr>
  </w:style>
  <w:style w:type="paragraph" w:customStyle="1" w:styleId="Version">
    <w:name w:val="Version"/>
    <w:rsid w:val="00820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C65"/>
    <w:pPr>
      <w:keepNext w:val="0"/>
      <w:tabs>
        <w:tab w:val="right" w:pos="4176"/>
      </w:tabs>
      <w:ind w:left="198" w:hanging="198"/>
    </w:pPr>
    <w:rPr>
      <w:rFonts w:ascii="Garamond" w:hAnsi="Garamond"/>
    </w:rPr>
  </w:style>
  <w:style w:type="paragraph" w:styleId="IndexHeading">
    <w:name w:val="index heading"/>
    <w:basedOn w:val="Normal"/>
    <w:next w:val="Index1"/>
    <w:semiHidden/>
    <w:rsid w:val="00820C65"/>
    <w:pPr>
      <w:spacing w:before="120" w:after="120"/>
    </w:pPr>
    <w:rPr>
      <w:rFonts w:ascii="Arial" w:hAnsi="Arial"/>
      <w:b/>
      <w:color w:val="918585"/>
      <w:sz w:val="24"/>
    </w:rPr>
  </w:style>
  <w:style w:type="paragraph" w:customStyle="1" w:styleId="Chapter">
    <w:name w:val="Chapter"/>
    <w:basedOn w:val="Normal"/>
    <w:rsid w:val="00820C65"/>
    <w:pPr>
      <w:spacing w:before="240"/>
    </w:pPr>
    <w:rPr>
      <w:rFonts w:ascii="Times New Roman" w:hAnsi="Times New Roman"/>
      <w:smallCaps/>
      <w:spacing w:val="80"/>
      <w:sz w:val="28"/>
    </w:rPr>
  </w:style>
  <w:style w:type="paragraph" w:customStyle="1" w:styleId="InChapter">
    <w:name w:val="InChapter"/>
    <w:basedOn w:val="Heading3"/>
    <w:rsid w:val="00820C65"/>
    <w:pPr>
      <w:spacing w:after="240"/>
      <w:outlineLvl w:val="9"/>
    </w:pPr>
    <w:rPr>
      <w:noProof/>
    </w:rPr>
  </w:style>
  <w:style w:type="paragraph" w:styleId="Index2">
    <w:name w:val="index 2"/>
    <w:basedOn w:val="Normal"/>
    <w:next w:val="Normal"/>
    <w:semiHidden/>
    <w:rsid w:val="00820C65"/>
    <w:pPr>
      <w:tabs>
        <w:tab w:val="right" w:pos="4176"/>
      </w:tabs>
      <w:ind w:left="568" w:hanging="284"/>
    </w:pPr>
    <w:rPr>
      <w:rFonts w:ascii="Garamond" w:hAnsi="Garamond"/>
    </w:rPr>
  </w:style>
  <w:style w:type="paragraph" w:customStyle="1" w:styleId="Byline">
    <w:name w:val="Byline"/>
    <w:rsid w:val="00820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C65"/>
    <w:pPr>
      <w:tabs>
        <w:tab w:val="clear" w:pos="3600"/>
        <w:tab w:val="clear" w:pos="3958"/>
      </w:tabs>
      <w:jc w:val="right"/>
    </w:pPr>
  </w:style>
  <w:style w:type="paragraph" w:styleId="Caption">
    <w:name w:val="caption"/>
    <w:basedOn w:val="BodyText"/>
    <w:next w:val="Normal"/>
    <w:qFormat/>
    <w:rsid w:val="00820C65"/>
    <w:pPr>
      <w:framePr w:w="2268" w:hSpace="181" w:vSpace="181" w:wrap="around" w:vAnchor="text" w:hAnchor="page" w:x="1135" w:y="285" w:anchorLock="1"/>
    </w:pPr>
    <w:rPr>
      <w:i/>
    </w:rPr>
  </w:style>
  <w:style w:type="paragraph" w:customStyle="1" w:styleId="MiniTOCTitle">
    <w:name w:val="MiniTOCTitle"/>
    <w:basedOn w:val="Heading4"/>
    <w:rsid w:val="00820C65"/>
    <w:pPr>
      <w:spacing w:before="240"/>
      <w:outlineLvl w:val="9"/>
    </w:pPr>
    <w:rPr>
      <w:noProof/>
      <w:sz w:val="24"/>
    </w:rPr>
  </w:style>
  <w:style w:type="paragraph" w:customStyle="1" w:styleId="MiniTOCItem">
    <w:name w:val="MiniTOCItem"/>
    <w:basedOn w:val="ListBullet"/>
    <w:rsid w:val="00820C65"/>
    <w:pPr>
      <w:numPr>
        <w:numId w:val="0"/>
      </w:numPr>
      <w:tabs>
        <w:tab w:val="right" w:leader="dot" w:pos="6521"/>
      </w:tabs>
      <w:spacing w:before="0" w:after="0"/>
    </w:pPr>
  </w:style>
  <w:style w:type="paragraph" w:customStyle="1" w:styleId="TOFTitle">
    <w:name w:val="TOFTitle"/>
    <w:basedOn w:val="TOCTitle"/>
    <w:rsid w:val="00820C65"/>
  </w:style>
  <w:style w:type="paragraph" w:styleId="TableofFigures">
    <w:name w:val="table of figures"/>
    <w:basedOn w:val="Normal"/>
    <w:next w:val="Normal"/>
    <w:semiHidden/>
    <w:rsid w:val="00820C65"/>
    <w:pPr>
      <w:tabs>
        <w:tab w:val="right" w:leader="dot" w:pos="9072"/>
      </w:tabs>
      <w:ind w:left="970" w:hanging="403"/>
    </w:pPr>
    <w:rPr>
      <w:rFonts w:ascii="Times New Roman" w:hAnsi="Times New Roman"/>
      <w:b/>
    </w:rPr>
  </w:style>
  <w:style w:type="paragraph" w:styleId="ListNumber">
    <w:name w:val="List Number"/>
    <w:basedOn w:val="List"/>
    <w:rsid w:val="00820C65"/>
    <w:pPr>
      <w:numPr>
        <w:numId w:val="11"/>
      </w:numPr>
    </w:pPr>
  </w:style>
  <w:style w:type="character" w:customStyle="1" w:styleId="WingdingSymbols">
    <w:name w:val="Wingding Symbols"/>
    <w:rsid w:val="00820C65"/>
    <w:rPr>
      <w:rFonts w:ascii="Wingdings" w:hAnsi="Wingdings"/>
    </w:rPr>
  </w:style>
  <w:style w:type="paragraph" w:customStyle="1" w:styleId="TableHeading">
    <w:name w:val="Table Heading"/>
    <w:basedOn w:val="HeadingBase"/>
    <w:rsid w:val="00820C65"/>
    <w:pPr>
      <w:keepLines/>
      <w:pBdr>
        <w:bottom w:val="single" w:sz="6" w:space="1" w:color="918585"/>
      </w:pBdr>
      <w:spacing w:before="240"/>
    </w:pPr>
  </w:style>
  <w:style w:type="character" w:customStyle="1" w:styleId="HotSpot">
    <w:name w:val="HotSpot"/>
    <w:rsid w:val="00820C65"/>
    <w:rPr>
      <w:color w:val="0033CC"/>
      <w:u w:val="none"/>
    </w:rPr>
  </w:style>
  <w:style w:type="paragraph" w:customStyle="1" w:styleId="BodyTextRight">
    <w:name w:val="Body Text Right"/>
    <w:basedOn w:val="BodyText"/>
    <w:rsid w:val="00820C65"/>
    <w:pPr>
      <w:spacing w:before="0" w:after="0"/>
      <w:jc w:val="right"/>
    </w:pPr>
  </w:style>
  <w:style w:type="paragraph" w:styleId="Index3">
    <w:name w:val="index 3"/>
    <w:basedOn w:val="ListNumber2"/>
    <w:next w:val="Normal"/>
    <w:semiHidden/>
    <w:rsid w:val="00820C65"/>
    <w:pPr>
      <w:numPr>
        <w:numId w:val="0"/>
      </w:numPr>
      <w:tabs>
        <w:tab w:val="right" w:leader="dot" w:pos="4176"/>
      </w:tabs>
    </w:pPr>
  </w:style>
  <w:style w:type="paragraph" w:styleId="ListNumber2">
    <w:name w:val="List Number 2"/>
    <w:basedOn w:val="List2"/>
    <w:rsid w:val="00820C65"/>
    <w:pPr>
      <w:numPr>
        <w:numId w:val="10"/>
      </w:numPr>
      <w:tabs>
        <w:tab w:val="clear" w:pos="1060"/>
      </w:tabs>
    </w:pPr>
  </w:style>
  <w:style w:type="paragraph" w:customStyle="1" w:styleId="MarginNote">
    <w:name w:val="Margin Note"/>
    <w:basedOn w:val="BodyText"/>
    <w:rsid w:val="00820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C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C65"/>
    <w:rPr>
      <w:sz w:val="32"/>
    </w:rPr>
  </w:style>
  <w:style w:type="paragraph" w:customStyle="1" w:styleId="HeadingProcedure">
    <w:name w:val="Heading Procedure"/>
    <w:basedOn w:val="HeadingBase"/>
    <w:next w:val="Normal"/>
    <w:rsid w:val="00820C65"/>
    <w:pPr>
      <w:tabs>
        <w:tab w:val="left" w:pos="0"/>
      </w:tabs>
      <w:spacing w:before="120" w:after="60"/>
    </w:pPr>
    <w:rPr>
      <w:i/>
      <w:color w:val="918585"/>
      <w:sz w:val="22"/>
    </w:rPr>
  </w:style>
  <w:style w:type="paragraph" w:customStyle="1" w:styleId="TableBodyText">
    <w:name w:val="Table Body Text"/>
    <w:basedOn w:val="BodyText"/>
    <w:rsid w:val="00820C65"/>
    <w:pPr>
      <w:spacing w:before="60" w:after="60"/>
    </w:pPr>
  </w:style>
  <w:style w:type="paragraph" w:styleId="ListContinue">
    <w:name w:val="List Continue"/>
    <w:basedOn w:val="List"/>
    <w:rsid w:val="00820C65"/>
    <w:pPr>
      <w:ind w:firstLine="0"/>
    </w:pPr>
  </w:style>
  <w:style w:type="paragraph" w:customStyle="1" w:styleId="ListNote">
    <w:name w:val="List Note"/>
    <w:basedOn w:val="List"/>
    <w:rsid w:val="00820C65"/>
    <w:pPr>
      <w:pBdr>
        <w:top w:val="single" w:sz="6" w:space="2" w:color="918585"/>
        <w:bottom w:val="single" w:sz="6" w:space="2" w:color="918585"/>
      </w:pBdr>
      <w:tabs>
        <w:tab w:val="left" w:pos="1021"/>
      </w:tabs>
      <w:ind w:firstLine="0"/>
    </w:pPr>
  </w:style>
  <w:style w:type="paragraph" w:customStyle="1" w:styleId="Warning">
    <w:name w:val="Warning"/>
    <w:basedOn w:val="BodyText"/>
    <w:rsid w:val="00820C65"/>
    <w:pPr>
      <w:shd w:val="clear" w:color="auto" w:fill="D9D9D9"/>
      <w:tabs>
        <w:tab w:val="left" w:pos="992"/>
      </w:tabs>
      <w:ind w:left="119" w:right="119"/>
    </w:pPr>
    <w:rPr>
      <w:sz w:val="20"/>
    </w:rPr>
  </w:style>
  <w:style w:type="paragraph" w:customStyle="1" w:styleId="MarginIcons">
    <w:name w:val="Margin Icons"/>
    <w:basedOn w:val="BodyText"/>
    <w:rsid w:val="00820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C65"/>
    <w:rPr>
      <w:rFonts w:ascii="Courier New" w:hAnsi="Courier New"/>
    </w:rPr>
  </w:style>
  <w:style w:type="paragraph" w:customStyle="1" w:styleId="NoteBullet">
    <w:name w:val="Note Bullet"/>
    <w:basedOn w:val="Note"/>
    <w:rsid w:val="00820C65"/>
    <w:pPr>
      <w:tabs>
        <w:tab w:val="clear" w:pos="680"/>
      </w:tabs>
      <w:spacing w:before="60" w:after="60"/>
    </w:pPr>
  </w:style>
  <w:style w:type="paragraph" w:customStyle="1" w:styleId="SubHeading2">
    <w:name w:val="SubHeading2"/>
    <w:basedOn w:val="HeadingBase"/>
    <w:rsid w:val="00820C65"/>
    <w:pPr>
      <w:spacing w:before="240" w:after="60"/>
    </w:pPr>
    <w:rPr>
      <w:sz w:val="20"/>
    </w:rPr>
  </w:style>
  <w:style w:type="paragraph" w:customStyle="1" w:styleId="SubHeading1">
    <w:name w:val="SubHeading1"/>
    <w:basedOn w:val="HeadingBase"/>
    <w:rsid w:val="00820C65"/>
    <w:pPr>
      <w:spacing w:before="240" w:after="60"/>
    </w:pPr>
    <w:rPr>
      <w:color w:val="918585"/>
      <w:sz w:val="22"/>
    </w:rPr>
  </w:style>
  <w:style w:type="paragraph" w:customStyle="1" w:styleId="SideHeading">
    <w:name w:val="Side Heading"/>
    <w:basedOn w:val="HeadingBase"/>
    <w:rsid w:val="00820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C65"/>
    <w:pPr>
      <w:numPr>
        <w:numId w:val="12"/>
      </w:numPr>
    </w:pPr>
  </w:style>
  <w:style w:type="paragraph" w:styleId="PlainText">
    <w:name w:val="Plain Text"/>
    <w:basedOn w:val="Normal"/>
    <w:link w:val="PlainTextChar"/>
    <w:rsid w:val="00820C65"/>
    <w:rPr>
      <w:sz w:val="20"/>
    </w:rPr>
  </w:style>
  <w:style w:type="character" w:customStyle="1" w:styleId="PlainTextChar">
    <w:name w:val="Plain Text Char"/>
    <w:basedOn w:val="DefaultParagraphFont"/>
    <w:link w:val="PlainText"/>
    <w:rsid w:val="00820C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C65"/>
    <w:rPr>
      <w:b/>
      <w:smallCaps/>
    </w:rPr>
  </w:style>
  <w:style w:type="paragraph" w:customStyle="1" w:styleId="TableListNumber">
    <w:name w:val="Table List Number"/>
    <w:basedOn w:val="ListNumber"/>
    <w:rsid w:val="00820C65"/>
    <w:pPr>
      <w:numPr>
        <w:numId w:val="0"/>
      </w:numPr>
    </w:pPr>
  </w:style>
  <w:style w:type="paragraph" w:styleId="TOC4">
    <w:name w:val="toc 4"/>
    <w:basedOn w:val="TOCBase"/>
    <w:next w:val="Normal"/>
    <w:semiHidden/>
    <w:rsid w:val="00820C65"/>
    <w:pPr>
      <w:tabs>
        <w:tab w:val="right" w:leader="dot" w:pos="9071"/>
      </w:tabs>
      <w:ind w:left="1701"/>
    </w:pPr>
  </w:style>
  <w:style w:type="paragraph" w:customStyle="1" w:styleId="ListAlpha">
    <w:name w:val="List Alpha"/>
    <w:basedOn w:val="List"/>
    <w:rsid w:val="00820C65"/>
    <w:pPr>
      <w:numPr>
        <w:numId w:val="9"/>
      </w:numPr>
    </w:pPr>
  </w:style>
  <w:style w:type="paragraph" w:customStyle="1" w:styleId="ListAlpha2">
    <w:name w:val="List Alpha 2"/>
    <w:basedOn w:val="List2"/>
    <w:rsid w:val="00820C65"/>
    <w:pPr>
      <w:numPr>
        <w:numId w:val="8"/>
      </w:numPr>
    </w:pPr>
  </w:style>
  <w:style w:type="paragraph" w:styleId="List2">
    <w:name w:val="List 2"/>
    <w:basedOn w:val="BodyText"/>
    <w:rsid w:val="00820C65"/>
    <w:pPr>
      <w:tabs>
        <w:tab w:val="left" w:pos="680"/>
      </w:tabs>
      <w:spacing w:before="60" w:after="60"/>
      <w:ind w:left="680" w:hanging="340"/>
    </w:pPr>
  </w:style>
  <w:style w:type="paragraph" w:styleId="List3">
    <w:name w:val="List 3"/>
    <w:basedOn w:val="BodyText"/>
    <w:rsid w:val="00820C65"/>
    <w:pPr>
      <w:tabs>
        <w:tab w:val="left" w:pos="1021"/>
      </w:tabs>
      <w:spacing w:before="60" w:after="60"/>
      <w:ind w:left="1020" w:hanging="340"/>
    </w:pPr>
  </w:style>
  <w:style w:type="paragraph" w:styleId="List4">
    <w:name w:val="List 4"/>
    <w:basedOn w:val="BodyText"/>
    <w:rsid w:val="00820C65"/>
    <w:pPr>
      <w:tabs>
        <w:tab w:val="left" w:pos="1361"/>
      </w:tabs>
      <w:spacing w:before="60" w:after="60"/>
      <w:ind w:left="1361" w:hanging="340"/>
    </w:pPr>
  </w:style>
  <w:style w:type="paragraph" w:styleId="List5">
    <w:name w:val="List 5"/>
    <w:basedOn w:val="BodyText"/>
    <w:rsid w:val="00820C65"/>
    <w:pPr>
      <w:tabs>
        <w:tab w:val="left" w:pos="1701"/>
      </w:tabs>
      <w:spacing w:before="60" w:after="60"/>
      <w:ind w:left="1701" w:hanging="340"/>
    </w:pPr>
  </w:style>
  <w:style w:type="paragraph" w:styleId="ListBullet3">
    <w:name w:val="List Bullet 3"/>
    <w:basedOn w:val="List3"/>
    <w:rsid w:val="00820C65"/>
    <w:pPr>
      <w:numPr>
        <w:numId w:val="15"/>
      </w:numPr>
      <w:tabs>
        <w:tab w:val="clear" w:pos="1021"/>
      </w:tabs>
      <w:ind w:left="1037" w:hanging="357"/>
    </w:pPr>
  </w:style>
  <w:style w:type="paragraph" w:styleId="ListBullet4">
    <w:name w:val="List Bullet 4"/>
    <w:basedOn w:val="List4"/>
    <w:rsid w:val="00820C65"/>
    <w:pPr>
      <w:numPr>
        <w:numId w:val="3"/>
      </w:numPr>
    </w:pPr>
  </w:style>
  <w:style w:type="paragraph" w:styleId="ListBullet5">
    <w:name w:val="List Bullet 5"/>
    <w:basedOn w:val="List5"/>
    <w:rsid w:val="00820C65"/>
    <w:pPr>
      <w:numPr>
        <w:numId w:val="4"/>
      </w:numPr>
    </w:pPr>
  </w:style>
  <w:style w:type="paragraph" w:styleId="ListContinue2">
    <w:name w:val="List Continue 2"/>
    <w:basedOn w:val="List2"/>
    <w:rsid w:val="00820C65"/>
    <w:pPr>
      <w:ind w:firstLine="0"/>
    </w:pPr>
  </w:style>
  <w:style w:type="paragraph" w:styleId="ListContinue3">
    <w:name w:val="List Continue 3"/>
    <w:basedOn w:val="List3"/>
    <w:rsid w:val="00820C65"/>
    <w:pPr>
      <w:ind w:left="1021" w:firstLine="0"/>
    </w:pPr>
  </w:style>
  <w:style w:type="paragraph" w:styleId="ListContinue4">
    <w:name w:val="List Continue 4"/>
    <w:basedOn w:val="List4"/>
    <w:rsid w:val="00820C65"/>
    <w:pPr>
      <w:ind w:firstLine="0"/>
    </w:pPr>
  </w:style>
  <w:style w:type="paragraph" w:styleId="ListContinue5">
    <w:name w:val="List Continue 5"/>
    <w:basedOn w:val="List5"/>
    <w:rsid w:val="00820C65"/>
    <w:pPr>
      <w:ind w:firstLine="0"/>
    </w:pPr>
  </w:style>
  <w:style w:type="paragraph" w:styleId="ListNumber3">
    <w:name w:val="List Number 3"/>
    <w:basedOn w:val="List3"/>
    <w:rsid w:val="00820C65"/>
    <w:pPr>
      <w:numPr>
        <w:numId w:val="5"/>
      </w:numPr>
    </w:pPr>
  </w:style>
  <w:style w:type="paragraph" w:styleId="ListNumber4">
    <w:name w:val="List Number 4"/>
    <w:basedOn w:val="List4"/>
    <w:rsid w:val="00820C65"/>
    <w:pPr>
      <w:numPr>
        <w:numId w:val="6"/>
      </w:numPr>
    </w:pPr>
  </w:style>
  <w:style w:type="paragraph" w:styleId="ListNumber5">
    <w:name w:val="List Number 5"/>
    <w:basedOn w:val="List5"/>
    <w:rsid w:val="00820C65"/>
    <w:pPr>
      <w:numPr>
        <w:numId w:val="7"/>
      </w:numPr>
    </w:pPr>
  </w:style>
  <w:style w:type="paragraph" w:styleId="BlockText">
    <w:name w:val="Block Text"/>
    <w:basedOn w:val="Normal"/>
    <w:rsid w:val="00820C65"/>
    <w:pPr>
      <w:spacing w:after="120"/>
      <w:ind w:left="1440" w:right="1440"/>
    </w:pPr>
  </w:style>
  <w:style w:type="character" w:customStyle="1" w:styleId="Subscript">
    <w:name w:val="Subscript"/>
    <w:basedOn w:val="DefaultParagraphFont"/>
    <w:rsid w:val="00820C65"/>
    <w:rPr>
      <w:sz w:val="16"/>
      <w:vertAlign w:val="subscript"/>
    </w:rPr>
  </w:style>
  <w:style w:type="character" w:customStyle="1" w:styleId="Superscript">
    <w:name w:val="Superscript"/>
    <w:basedOn w:val="DefaultParagraphFont"/>
    <w:rsid w:val="00820C65"/>
    <w:rPr>
      <w:sz w:val="16"/>
      <w:vertAlign w:val="superscript"/>
    </w:rPr>
  </w:style>
  <w:style w:type="character" w:customStyle="1" w:styleId="Symbols">
    <w:name w:val="Symbols"/>
    <w:basedOn w:val="DefaultParagraphFont"/>
    <w:rsid w:val="00820C65"/>
    <w:rPr>
      <w:rFonts w:ascii="Symbol" w:hAnsi="Symbol"/>
    </w:rPr>
  </w:style>
  <w:style w:type="character" w:customStyle="1" w:styleId="MenuOptions">
    <w:name w:val="Menu Options"/>
    <w:basedOn w:val="DefaultParagraphFont"/>
    <w:rsid w:val="00820C65"/>
    <w:rPr>
      <w:rFonts w:ascii="Arial Narrow" w:hAnsi="Arial Narrow"/>
      <w:smallCaps/>
    </w:rPr>
  </w:style>
  <w:style w:type="character" w:customStyle="1" w:styleId="Buttons">
    <w:name w:val="Buttons"/>
    <w:basedOn w:val="DefaultParagraphFont"/>
    <w:rsid w:val="00820C65"/>
    <w:rPr>
      <w:b/>
    </w:rPr>
  </w:style>
  <w:style w:type="character" w:customStyle="1" w:styleId="Underlined">
    <w:name w:val="Underlined"/>
    <w:basedOn w:val="DefaultParagraphFont"/>
    <w:rsid w:val="00820C65"/>
    <w:rPr>
      <w:u w:val="single"/>
    </w:rPr>
  </w:style>
  <w:style w:type="paragraph" w:customStyle="1" w:styleId="TableBodyTextRight">
    <w:name w:val="Table Body Text Right"/>
    <w:basedOn w:val="TableBodyText"/>
    <w:rsid w:val="00820C65"/>
    <w:pPr>
      <w:widowControl w:val="0"/>
      <w:autoSpaceDE w:val="0"/>
      <w:autoSpaceDN w:val="0"/>
      <w:adjustRightInd w:val="0"/>
      <w:jc w:val="right"/>
    </w:pPr>
    <w:rPr>
      <w:rFonts w:cs="Arial"/>
      <w:szCs w:val="18"/>
    </w:rPr>
  </w:style>
  <w:style w:type="paragraph" w:customStyle="1" w:styleId="CopyrightText">
    <w:name w:val="Copyright Text"/>
    <w:basedOn w:val="BodyText"/>
    <w:rsid w:val="00820C65"/>
    <w:rPr>
      <w:sz w:val="18"/>
    </w:rPr>
  </w:style>
  <w:style w:type="paragraph" w:customStyle="1" w:styleId="BodySmallRight">
    <w:name w:val="Body Small Right"/>
    <w:basedOn w:val="BodyTextRight"/>
    <w:rsid w:val="00820C65"/>
    <w:rPr>
      <w:sz w:val="18"/>
      <w:szCs w:val="18"/>
    </w:rPr>
  </w:style>
  <w:style w:type="paragraph" w:customStyle="1" w:styleId="MarginEdition">
    <w:name w:val="Margin Edition"/>
    <w:basedOn w:val="MarginNote"/>
    <w:rsid w:val="00820C65"/>
    <w:pPr>
      <w:spacing w:before="0" w:after="0"/>
    </w:pPr>
    <w:rPr>
      <w:rFonts w:ascii="Times New Roman" w:hAnsi="Times New Roman"/>
      <w:color w:val="999999"/>
    </w:rPr>
  </w:style>
  <w:style w:type="paragraph" w:customStyle="1" w:styleId="Spacer">
    <w:name w:val="Spacer"/>
    <w:basedOn w:val="Normal"/>
    <w:rsid w:val="00820C65"/>
    <w:rPr>
      <w:sz w:val="2"/>
      <w:szCs w:val="2"/>
    </w:rPr>
  </w:style>
  <w:style w:type="character" w:customStyle="1" w:styleId="Small">
    <w:name w:val="Small"/>
    <w:basedOn w:val="DefaultParagraphFont"/>
    <w:rsid w:val="00820C65"/>
    <w:rPr>
      <w:sz w:val="16"/>
    </w:rPr>
  </w:style>
  <w:style w:type="paragraph" w:customStyle="1" w:styleId="WideTable">
    <w:name w:val="Wide Table"/>
    <w:basedOn w:val="Normal"/>
    <w:rsid w:val="00820C65"/>
    <w:pPr>
      <w:ind w:left="-1418"/>
    </w:pPr>
    <w:rPr>
      <w:sz w:val="2"/>
      <w:szCs w:val="2"/>
    </w:rPr>
  </w:style>
  <w:style w:type="character" w:styleId="PageNumber">
    <w:name w:val="page number"/>
    <w:basedOn w:val="DefaultParagraphFont"/>
    <w:rsid w:val="00820C65"/>
  </w:style>
  <w:style w:type="paragraph" w:styleId="Quote">
    <w:name w:val="Quote"/>
    <w:basedOn w:val="Heading1"/>
    <w:link w:val="QuoteChar"/>
    <w:qFormat/>
    <w:rsid w:val="00820C65"/>
    <w:rPr>
      <w:b w:val="0"/>
      <w:sz w:val="72"/>
      <w:szCs w:val="72"/>
      <w:lang w:val="en-NZ"/>
    </w:rPr>
  </w:style>
  <w:style w:type="character" w:customStyle="1" w:styleId="QuoteChar">
    <w:name w:val="Quote Char"/>
    <w:basedOn w:val="DefaultParagraphFont"/>
    <w:link w:val="Quote"/>
    <w:rsid w:val="00820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C65"/>
    <w:pPr>
      <w:pageBreakBefore/>
    </w:pPr>
  </w:style>
  <w:style w:type="paragraph" w:customStyle="1" w:styleId="Border">
    <w:name w:val="Border"/>
    <w:basedOn w:val="Normal"/>
    <w:qFormat/>
    <w:rsid w:val="00820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C65"/>
    <w:rPr>
      <w:b/>
      <w:bCs/>
      <w:i/>
      <w:iCs/>
      <w:color w:val="auto"/>
    </w:rPr>
  </w:style>
  <w:style w:type="paragraph" w:styleId="IntenseQuote">
    <w:name w:val="Intense Quote"/>
    <w:basedOn w:val="Normal"/>
    <w:next w:val="Normal"/>
    <w:link w:val="IntenseQuoteChar"/>
    <w:uiPriority w:val="30"/>
    <w:qFormat/>
    <w:rsid w:val="00820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C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C65"/>
    <w:rPr>
      <w:smallCaps/>
      <w:color w:val="auto"/>
      <w:u w:val="single"/>
    </w:rPr>
  </w:style>
  <w:style w:type="character" w:styleId="IntenseReference">
    <w:name w:val="Intense Reference"/>
    <w:basedOn w:val="DefaultParagraphFont"/>
    <w:uiPriority w:val="32"/>
    <w:qFormat/>
    <w:rsid w:val="00820C65"/>
    <w:rPr>
      <w:b/>
      <w:bCs/>
      <w:smallCaps/>
      <w:color w:val="auto"/>
      <w:spacing w:val="5"/>
      <w:u w:val="single"/>
    </w:rPr>
  </w:style>
  <w:style w:type="paragraph" w:customStyle="1" w:styleId="2ColumnHeading">
    <w:name w:val="2Column Heading"/>
    <w:basedOn w:val="BodyText"/>
    <w:qFormat/>
    <w:rsid w:val="00820C65"/>
    <w:pPr>
      <w:spacing w:after="60"/>
      <w:ind w:left="-2268"/>
    </w:pPr>
    <w:rPr>
      <w:b/>
    </w:rPr>
  </w:style>
  <w:style w:type="paragraph" w:customStyle="1" w:styleId="Heading1TOC">
    <w:name w:val="Heading1 TOC"/>
    <w:basedOn w:val="Normal"/>
    <w:qFormat/>
    <w:rsid w:val="00820C65"/>
    <w:pPr>
      <w:spacing w:before="240" w:after="120"/>
    </w:pPr>
    <w:rPr>
      <w:rFonts w:ascii="Times New Roman" w:hAnsi="Times New Roman"/>
      <w:b/>
      <w:sz w:val="32"/>
    </w:rPr>
  </w:style>
  <w:style w:type="paragraph" w:customStyle="1" w:styleId="Heading2TOC">
    <w:name w:val="Heading2 TOC"/>
    <w:basedOn w:val="Normal"/>
    <w:qFormat/>
    <w:rsid w:val="00820C65"/>
    <w:pPr>
      <w:spacing w:before="240" w:after="60"/>
    </w:pPr>
    <w:rPr>
      <w:rFonts w:ascii="Times New Roman" w:hAnsi="Times New Roman"/>
      <w:b/>
      <w:sz w:val="28"/>
    </w:rPr>
  </w:style>
  <w:style w:type="character" w:customStyle="1" w:styleId="Underline">
    <w:name w:val="Underline"/>
    <w:basedOn w:val="DefaultParagraphFont"/>
    <w:qFormat/>
    <w:rsid w:val="00820C65"/>
    <w:rPr>
      <w:u w:val="single"/>
    </w:rPr>
  </w:style>
  <w:style w:type="paragraph" w:styleId="BalloonText">
    <w:name w:val="Balloon Text"/>
    <w:basedOn w:val="Normal"/>
    <w:link w:val="BalloonTextChar"/>
    <w:rsid w:val="00820C65"/>
    <w:rPr>
      <w:rFonts w:ascii="Tahoma" w:hAnsi="Tahoma" w:cs="Tahoma"/>
      <w:sz w:val="16"/>
      <w:szCs w:val="16"/>
    </w:rPr>
  </w:style>
  <w:style w:type="character" w:customStyle="1" w:styleId="BalloonTextChar">
    <w:name w:val="Balloon Text Char"/>
    <w:basedOn w:val="DefaultParagraphFont"/>
    <w:link w:val="BalloonText"/>
    <w:rsid w:val="00820C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C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C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5817</Characters>
  <Application>Microsoft Office Word</Application>
  <DocSecurity>0</DocSecurity>
  <Lines>195</Lines>
  <Paragraphs>108</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CUVOPA407A Apply advanced pre-cutting processes to complex opals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