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D8F" w:rsidP="003A4D8F">
      <w:pPr>
        <w:pStyle w:val="Title"/>
      </w:pPr>
      <w:r>
        <w:fldChar w:fldCharType="begin"/>
      </w:r>
      <w:r>
        <w:instrText xml:space="preserve"> TITLE   \* MERGEFORMAT </w:instrText>
      </w:r>
      <w:r>
        <w:fldChar w:fldCharType="separate"/>
      </w:r>
      <w:r>
        <w:t>CUVACD510A Manage kiln operations</w:t>
      </w:r>
      <w:r>
        <w:fldChar w:fldCharType="end"/>
      </w:r>
    </w:p>
    <w:p w:rsidR="003A4D8F" w:rsidP="003A4D8F">
      <w:pPr>
        <w:pStyle w:val="Version"/>
        <w:sectPr w:rsidSect="00DD14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4A7" w:rsidP="00DD14A7">
      <w:pPr>
        <w:pStyle w:val="SuperHeading"/>
      </w:pPr>
      <w:r w:rsidRPr="00DD14A7">
        <w:t>CUVACD510A Manage kiln operations</w:t>
      </w:r>
    </w:p>
    <w:p w:rsidR="00000000" w:rsidRPr="00DD14A7" w:rsidP="00DD14A7">
      <w:pPr>
        <w:pStyle w:val="Heading1"/>
      </w:pPr>
      <w:bookmarkStart w:id="1" w:name="O_356709"/>
      <w:bookmarkEnd w:id="1"/>
      <w:r w:rsidRPr="00DD14A7">
        <w:t>Modification History</w:t>
      </w:r>
    </w:p>
    <w:tbl>
      <w:tblPr>
        <w:tblW w:w="0" w:type="auto"/>
        <w:tblLayout w:type="fixed"/>
        <w:tblCellMar>
          <w:left w:w="62" w:type="dxa"/>
          <w:right w:w="62" w:type="dxa"/>
        </w:tblCellMar>
        <w:tblLook w:val="0000"/>
      </w:tblPr>
      <w:tblGrid>
        <w:gridCol w:w="3153"/>
        <w:gridCol w:w="5873"/>
      </w:tblGrid>
      <w:tr w:rsidTr="00DD14A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SpecialBold"/>
              </w:rPr>
              <w:t>Comments</w:t>
            </w:r>
          </w:p>
        </w:tc>
      </w:tr>
      <w:tr w:rsidTr="00DD14A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t>CUVACD510A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 xml:space="preserve">This version first released with </w:t>
            </w:r>
            <w:r w:rsidRPr="00DD14A7">
              <w:rPr>
                <w:rStyle w:val="Emphasis"/>
              </w:rPr>
              <w:t>CUV11 Visual Arts, Craft and Design Training Package version 1.0</w:t>
            </w:r>
          </w:p>
        </w:tc>
      </w:tr>
    </w:tbl>
    <w:p w:rsidR="00000000" w:rsidRPr="00DD14A7" w:rsidP="00DD14A7">
      <w:pPr>
        <w:pStyle w:val="BodyText"/>
      </w:pPr>
    </w:p>
    <w:p w:rsidR="00000000" w:rsidRPr="00DD14A7" w:rsidP="00DD14A7">
      <w:pPr>
        <w:pStyle w:val="AllowPageBreak"/>
      </w:pPr>
    </w:p>
    <w:p w:rsidR="00000000" w:rsidRPr="00DD14A7" w:rsidP="00DD14A7">
      <w:pPr>
        <w:pStyle w:val="Heading1"/>
      </w:pPr>
      <w:bookmarkStart w:id="2" w:name="O_356710"/>
      <w:bookmarkEnd w:id="2"/>
      <w:r w:rsidRPr="00DD14A7">
        <w:t>Unit Descriptor</w:t>
      </w:r>
    </w:p>
    <w:p w:rsidR="003A4D8F" w:rsidP="00DD14A7">
      <w:pPr>
        <w:pStyle w:val="BodyText"/>
      </w:pPr>
      <w:r w:rsidRPr="00DD14A7">
        <w:t>This unit describes the performance outcomes, skills and knowledge required to safely manage the technical operation of a kiln in the context of independent art craft or design practice.</w:t>
      </w:r>
    </w:p>
    <w:p w:rsidR="003A4D8F" w:rsidP="00DD14A7">
      <w:pPr>
        <w:pStyle w:val="BodyText"/>
      </w:pPr>
    </w:p>
    <w:p w:rsidR="00000000" w:rsidRPr="00DD14A7" w:rsidP="00DD14A7">
      <w:pPr>
        <w:pStyle w:val="Heading1"/>
      </w:pPr>
      <w:bookmarkStart w:id="3" w:name="O_356711"/>
      <w:bookmarkEnd w:id="3"/>
      <w:r w:rsidRPr="00DD14A7">
        <w:t>Application of the Unit</w:t>
      </w:r>
    </w:p>
    <w:p w:rsidR="00000000" w:rsidRPr="00DD14A7" w:rsidP="00DD14A7">
      <w:pPr>
        <w:pStyle w:val="BodyText"/>
      </w:pPr>
      <w:r w:rsidRPr="00DD14A7">
        <w:t xml:space="preserve">Artists and craftspeople such as ceramicists, glass artists and sculptors apply the skills and knowledge in this unit. They must be able to safely manage the operation of a kiln as part of an independent creative practice. They may also be responsible for </w:t>
      </w:r>
      <w:r w:rsidRPr="00DD14A7">
        <w:t>the purchase or construction of their own kilns.</w:t>
      </w:r>
    </w:p>
    <w:p w:rsidR="00000000" w:rsidRPr="00DD14A7" w:rsidP="00DD14A7">
      <w:pPr>
        <w:pStyle w:val="BodyText"/>
      </w:pPr>
      <w:r w:rsidRPr="00DD14A7">
        <w:t xml:space="preserve">At this level, work is carried out independently with some mentoring and guidance available as required. </w:t>
      </w:r>
    </w:p>
    <w:p w:rsidR="00000000" w:rsidRPr="00DD14A7" w:rsidP="00DD14A7">
      <w:pPr>
        <w:pStyle w:val="AllowPageBreak"/>
      </w:pPr>
    </w:p>
    <w:p w:rsidR="00000000" w:rsidRPr="00DD14A7" w:rsidP="00DD14A7">
      <w:pPr>
        <w:pStyle w:val="Heading1"/>
      </w:pPr>
      <w:bookmarkStart w:id="4" w:name="O_356712"/>
      <w:bookmarkEnd w:id="4"/>
      <w:r w:rsidRPr="00DD14A7">
        <w:t>Licensing/Regulatory Information</w:t>
      </w:r>
    </w:p>
    <w:p w:rsidR="00000000" w:rsidRPr="00DD14A7" w:rsidP="00DD14A7">
      <w:pPr>
        <w:pStyle w:val="BodyText"/>
      </w:pPr>
      <w:r w:rsidRPr="00DD14A7">
        <w:t>No licensing, legislative, regulatory or certificat</w:t>
      </w:r>
      <w:r w:rsidRPr="00DD14A7">
        <w:t>ion requirements apply to this unit at the time of endorsement.</w:t>
      </w:r>
    </w:p>
    <w:p w:rsidR="00000000" w:rsidRPr="00DD14A7" w:rsidP="00DD14A7">
      <w:pPr>
        <w:pStyle w:val="AllowPageBreak"/>
      </w:pPr>
    </w:p>
    <w:p w:rsidR="00000000" w:rsidRPr="00DD14A7" w:rsidP="00DD14A7">
      <w:pPr>
        <w:pStyle w:val="Heading1"/>
      </w:pPr>
      <w:bookmarkStart w:id="5" w:name="O_356713"/>
      <w:bookmarkEnd w:id="5"/>
      <w:r w:rsidRPr="00DD14A7">
        <w:t>Pre-Requisites</w:t>
      </w:r>
    </w:p>
    <w:p w:rsidR="00000000" w:rsidRPr="00DD14A7" w:rsidP="00DD14A7">
      <w:pPr>
        <w:pStyle w:val="BodyText"/>
      </w:pPr>
      <w:r w:rsidRPr="00DD14A7">
        <w:t>Not applicable.</w:t>
      </w:r>
    </w:p>
    <w:p w:rsidR="00000000" w:rsidRPr="00DD14A7" w:rsidP="00DD14A7">
      <w:pPr>
        <w:pStyle w:val="AllowPageBreak"/>
      </w:pPr>
    </w:p>
    <w:p w:rsidR="00000000" w:rsidRPr="00DD14A7" w:rsidP="00DD14A7">
      <w:pPr>
        <w:pStyle w:val="Heading1"/>
      </w:pPr>
      <w:bookmarkStart w:id="6" w:name="O_356714"/>
      <w:bookmarkEnd w:id="6"/>
      <w:r w:rsidRPr="00DD14A7">
        <w:t>Employability Skills Information</w:t>
      </w:r>
    </w:p>
    <w:p w:rsidR="00000000" w:rsidRPr="00DD14A7" w:rsidP="00DD14A7">
      <w:pPr>
        <w:pStyle w:val="BodyText"/>
      </w:pPr>
      <w:r w:rsidRPr="00DD14A7">
        <w:t>This unit contains employability skills.</w:t>
      </w:r>
    </w:p>
    <w:p w:rsidR="00000000" w:rsidRPr="00DD14A7" w:rsidP="00DD14A7">
      <w:pPr>
        <w:pStyle w:val="AllowPageBreak"/>
      </w:pPr>
    </w:p>
    <w:p w:rsidR="00000000" w:rsidRPr="00DD14A7" w:rsidP="00DD14A7">
      <w:pPr>
        <w:pStyle w:val="Heading1"/>
      </w:pPr>
      <w:bookmarkStart w:id="7" w:name="O_356715"/>
      <w:bookmarkEnd w:id="7"/>
      <w:r w:rsidRPr="00DD14A7">
        <w:t>Elements and Performance Criteria Pre-Content</w:t>
      </w:r>
    </w:p>
    <w:tbl>
      <w:tblPr>
        <w:tblW w:w="0" w:type="auto"/>
        <w:tblLayout w:type="fixed"/>
        <w:tblCellMar>
          <w:left w:w="62" w:type="dxa"/>
          <w:right w:w="62" w:type="dxa"/>
        </w:tblCellMar>
        <w:tblLook w:val="0000"/>
      </w:tblPr>
      <w:tblGrid>
        <w:gridCol w:w="4095"/>
        <w:gridCol w:w="4095"/>
      </w:tblGrid>
      <w:tr w:rsidTr="003A4D8F">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4A7" w:rsidP="00DD14A7">
            <w:pPr>
              <w:pStyle w:val="BodyText"/>
            </w:pPr>
            <w:r w:rsidRPr="00DD14A7">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4A7">
            <w:pPr>
              <w:pStyle w:val="BodyText"/>
              <w:rPr>
                <w:lang w:val="en-NZ"/>
              </w:rPr>
            </w:pPr>
            <w:r w:rsidRPr="00DD14A7">
              <w:rPr>
                <w:rStyle w:val="SpecialBold"/>
              </w:rPr>
              <w:t>Performance Criteria</w:t>
            </w:r>
          </w:p>
        </w:tc>
      </w:tr>
      <w:tr w:rsidTr="003A4D8F">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4A7" w:rsidP="00DD14A7">
            <w:pPr>
              <w:pStyle w:val="BodyText"/>
            </w:pPr>
            <w:r w:rsidRPr="00DD14A7">
              <w:rPr>
                <w:rStyle w:val="Emphasis"/>
              </w:rPr>
              <w:t>Elements describe the essential outcomes of a unit of competency.</w:t>
            </w:r>
          </w:p>
          <w:p w:rsidR="00000000" w:rsidRPr="00DD14A7">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4A7" w:rsidP="00DD14A7">
            <w:pPr>
              <w:pStyle w:val="BodyText"/>
            </w:pPr>
            <w:r w:rsidRPr="00DD14A7">
              <w:rPr>
                <w:rStyle w:val="Emphasis"/>
              </w:rPr>
              <w:t>Performance criteria describe the performance needed to demonstrate achievement of the element. Where bold italic</w:t>
            </w:r>
            <w:r w:rsidRPr="00DD14A7">
              <w:rPr>
                <w:rStyle w:val="Emphasis"/>
              </w:rPr>
              <w:t>ised text is used, further information is detailed in the required skills and knowledge section and the range statement. Assessment of performance is to be consistent with the evidence guide.</w:t>
            </w:r>
          </w:p>
        </w:tc>
      </w:tr>
    </w:tbl>
    <w:p w:rsidR="00000000" w:rsidRPr="00DD14A7" w:rsidP="00DD14A7">
      <w:pPr>
        <w:pStyle w:val="BodyText"/>
      </w:pPr>
    </w:p>
    <w:p w:rsidR="00000000" w:rsidRPr="00DD14A7" w:rsidP="00DD14A7">
      <w:pPr>
        <w:pStyle w:val="AllowPageBreak"/>
      </w:pPr>
    </w:p>
    <w:p w:rsidR="00000000" w:rsidRPr="00DD14A7" w:rsidP="00DD14A7">
      <w:pPr>
        <w:pStyle w:val="Heading1"/>
      </w:pPr>
      <w:bookmarkStart w:id="8" w:name="O_356716"/>
      <w:bookmarkEnd w:id="8"/>
      <w:r w:rsidRPr="00DD14A7">
        <w:t>Elements and Performance Criteria</w:t>
      </w:r>
    </w:p>
    <w:tbl>
      <w:tblPr>
        <w:tblW w:w="0" w:type="auto"/>
        <w:tblLayout w:type="fixed"/>
        <w:tblCellMar>
          <w:left w:w="62" w:type="dxa"/>
          <w:right w:w="62" w:type="dxa"/>
        </w:tblCellMar>
        <w:tblLook w:val="0000"/>
      </w:tblPr>
      <w:tblGrid>
        <w:gridCol w:w="2592"/>
        <w:gridCol w:w="6408"/>
      </w:tblGrid>
      <w:tr w:rsidTr="00DD14A7">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t xml:space="preserve">1. Prepare </w:t>
            </w:r>
            <w:r w:rsidRPr="00DD14A7">
              <w:t>for kiln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 xml:space="preserve">1.1 Assess the ways in which different </w:t>
            </w:r>
            <w:r w:rsidRPr="00DD14A7">
              <w:rPr>
                <w:rStyle w:val="BoldandItalics"/>
              </w:rPr>
              <w:t xml:space="preserve">kilns </w:t>
            </w:r>
            <w:r w:rsidRPr="00DD14A7">
              <w:t>may be used for craft work and apply to own practice</w:t>
            </w:r>
          </w:p>
          <w:p w:rsidR="00000000" w:rsidRPr="00DD14A7" w:rsidP="00DD14A7">
            <w:pPr>
              <w:pStyle w:val="BodyText"/>
            </w:pPr>
            <w:r w:rsidRPr="00DD14A7">
              <w:t xml:space="preserve">1.2 Inform approach to kiln work through research of </w:t>
            </w:r>
            <w:r w:rsidRPr="00DD14A7">
              <w:rPr>
                <w:rStyle w:val="BoldandItalics"/>
              </w:rPr>
              <w:t>historical and contemporary trends</w:t>
            </w:r>
          </w:p>
          <w:p w:rsidR="00000000" w:rsidRPr="00DD14A7" w:rsidP="00DD14A7">
            <w:pPr>
              <w:pStyle w:val="BodyText"/>
            </w:pPr>
            <w:r w:rsidRPr="00DD14A7">
              <w:t>1.3 Source and access appropriate kiln for own work</w:t>
            </w:r>
          </w:p>
          <w:p w:rsidR="00000000" w:rsidRPr="00DD14A7" w:rsidP="00DD14A7">
            <w:pPr>
              <w:pStyle w:val="BodyText"/>
            </w:pPr>
            <w:r w:rsidRPr="00DD14A7">
              <w:t xml:space="preserve">1.4 </w:t>
            </w:r>
            <w:r w:rsidRPr="00DD14A7">
              <w:t>Evaluate the value and potential of own kiln purchase against the potential benefits of constructing own kiln</w:t>
            </w:r>
          </w:p>
          <w:p w:rsidR="00000000" w:rsidRPr="00DD14A7" w:rsidP="00DD14A7">
            <w:pPr>
              <w:pStyle w:val="BodyText"/>
            </w:pPr>
            <w:r w:rsidRPr="00DD14A7">
              <w:t>1.5 Where appropriate, experiment with the building of own kiln</w:t>
            </w:r>
          </w:p>
          <w:p w:rsidR="00000000" w:rsidP="00DD14A7">
            <w:pPr>
              <w:pStyle w:val="BodyText"/>
              <w:rPr>
                <w:lang w:val="en-NZ"/>
              </w:rPr>
            </w:pPr>
            <w:r w:rsidRPr="00DD14A7">
              <w:t xml:space="preserve">1.6 Investigate the specific </w:t>
            </w:r>
            <w:r w:rsidRPr="00DD14A7">
              <w:rPr>
                <w:rStyle w:val="BoldandItalics"/>
              </w:rPr>
              <w:t xml:space="preserve">safety issues </w:t>
            </w:r>
            <w:r w:rsidRPr="00DD14A7">
              <w:t>associated with kiln work and integrate procedures into own work practices</w:t>
            </w:r>
          </w:p>
        </w:tc>
      </w:tr>
      <w:tr w:rsidTr="00DD14A7">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t>2. Set up kiln work space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2.1 Review</w:t>
            </w:r>
            <w:r w:rsidRPr="00DD14A7">
              <w:rPr>
                <w:rStyle w:val="BoldandItalics"/>
              </w:rPr>
              <w:t xml:space="preserve"> key requirements</w:t>
            </w:r>
            <w:r w:rsidRPr="00DD14A7">
              <w:t xml:space="preserve"> for kiln set-up</w:t>
            </w:r>
          </w:p>
          <w:p w:rsidR="00000000" w:rsidRPr="00DD14A7" w:rsidP="00DD14A7">
            <w:pPr>
              <w:pStyle w:val="BodyText"/>
            </w:pPr>
            <w:r w:rsidRPr="00DD14A7">
              <w:t>2.2 Confirm or create appropriate conditions before starting the firing process</w:t>
            </w:r>
          </w:p>
          <w:p w:rsidR="00000000" w:rsidP="00DD14A7">
            <w:pPr>
              <w:pStyle w:val="BodyText"/>
              <w:rPr>
                <w:lang w:val="en-NZ"/>
              </w:rPr>
            </w:pPr>
            <w:r w:rsidRPr="00DD14A7">
              <w:t>2.3 Identify emerging or poten</w:t>
            </w:r>
            <w:r w:rsidRPr="00DD14A7">
              <w:t>tial safety issues and take action to address them</w:t>
            </w:r>
          </w:p>
        </w:tc>
      </w:tr>
      <w:tr w:rsidTr="00DD14A7">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t>3. Assess firing options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 xml:space="preserve">3.1 Determine firing options for the work being made </w:t>
            </w:r>
          </w:p>
          <w:p w:rsidR="00000000" w:rsidRPr="00DD14A7" w:rsidP="00DD14A7">
            <w:pPr>
              <w:pStyle w:val="BodyText"/>
            </w:pPr>
            <w:r w:rsidRPr="00DD14A7">
              <w:t xml:space="preserve">3.2 Determine relevant energy source or fuel </w:t>
            </w:r>
          </w:p>
          <w:p w:rsidR="00000000" w:rsidRPr="00DD14A7" w:rsidP="00DD14A7">
            <w:pPr>
              <w:pStyle w:val="BodyText"/>
            </w:pPr>
            <w:r w:rsidRPr="00DD14A7">
              <w:t xml:space="preserve">3.3 Determine relevant </w:t>
            </w:r>
            <w:r w:rsidRPr="00DD14A7">
              <w:rPr>
                <w:rStyle w:val="BoldandItalics"/>
              </w:rPr>
              <w:t>firing program requirements</w:t>
            </w:r>
            <w:r w:rsidRPr="00DD14A7">
              <w:t xml:space="preserve"> and optimum firing time</w:t>
            </w:r>
          </w:p>
          <w:p w:rsidR="00000000" w:rsidP="00DD14A7">
            <w:pPr>
              <w:pStyle w:val="BodyText"/>
              <w:rPr>
                <w:lang w:val="en-NZ"/>
              </w:rPr>
            </w:pPr>
            <w:r w:rsidRPr="00DD14A7">
              <w:t xml:space="preserve">3.4 </w:t>
            </w:r>
            <w:r w:rsidRPr="00DD14A7">
              <w:t>If relevant, determine the necessary conditions to produce the required kiln atmosphere for the specific process</w:t>
            </w:r>
          </w:p>
        </w:tc>
      </w:tr>
      <w:tr w:rsidTr="00DD14A7">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t>4. Operate and monitor the kiln</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4.1 Evaluate and carry out specific</w:t>
            </w:r>
            <w:r w:rsidRPr="00DD14A7">
              <w:rPr>
                <w:rStyle w:val="BoldandItalics"/>
              </w:rPr>
              <w:t xml:space="preserve"> kiln loading and unloading requirements</w:t>
            </w:r>
            <w:r w:rsidRPr="00DD14A7">
              <w:t xml:space="preserve"> according to safety requirements</w:t>
            </w:r>
          </w:p>
          <w:p w:rsidR="00000000" w:rsidRPr="00DD14A7" w:rsidP="00DD14A7">
            <w:pPr>
              <w:pStyle w:val="BodyText"/>
            </w:pPr>
            <w:r w:rsidRPr="00DD14A7">
              <w:t>4</w:t>
            </w:r>
            <w:r w:rsidRPr="00DD14A7">
              <w:t>.2 Set required kiln controls or light kiln according to kiln type being used</w:t>
            </w:r>
          </w:p>
          <w:p w:rsidR="00000000" w:rsidRPr="00DD14A7" w:rsidP="00DD14A7">
            <w:pPr>
              <w:pStyle w:val="BodyText"/>
            </w:pPr>
            <w:r w:rsidRPr="00DD14A7">
              <w:t xml:space="preserve">4.3 Fire the kiln according to required firing schedule </w:t>
            </w:r>
          </w:p>
          <w:p w:rsidR="00000000" w:rsidRPr="00DD14A7" w:rsidP="00DD14A7">
            <w:pPr>
              <w:pStyle w:val="BodyText"/>
            </w:pPr>
            <w:r w:rsidRPr="00DD14A7">
              <w:t xml:space="preserve">4.4 Monitor kiln operation and </w:t>
            </w:r>
            <w:r w:rsidRPr="00DD14A7">
              <w:rPr>
                <w:rStyle w:val="BoldandItalics"/>
              </w:rPr>
              <w:t xml:space="preserve">firing process </w:t>
            </w:r>
          </w:p>
          <w:p w:rsidR="00000000" w:rsidRPr="00DD14A7" w:rsidP="00DD14A7">
            <w:pPr>
              <w:pStyle w:val="BodyText"/>
            </w:pPr>
            <w:r w:rsidRPr="00DD14A7">
              <w:t xml:space="preserve">4.5 Identify and resolve </w:t>
            </w:r>
            <w:r w:rsidRPr="00DD14A7">
              <w:rPr>
                <w:rStyle w:val="BoldandItalics"/>
              </w:rPr>
              <w:t xml:space="preserve">technical problems </w:t>
            </w:r>
            <w:r w:rsidRPr="00DD14A7">
              <w:t>in the firing process</w:t>
            </w:r>
          </w:p>
          <w:p w:rsidR="00000000" w:rsidRPr="00DD14A7" w:rsidP="00DD14A7">
            <w:pPr>
              <w:pStyle w:val="BodyText"/>
            </w:pPr>
            <w:r w:rsidRPr="00DD14A7">
              <w:t>4.6 Carr</w:t>
            </w:r>
            <w:r w:rsidRPr="00DD14A7">
              <w:t>y out appropriate shut-down procedures</w:t>
            </w:r>
          </w:p>
          <w:p w:rsidR="00000000" w:rsidP="00DD14A7">
            <w:pPr>
              <w:pStyle w:val="BodyText"/>
              <w:rPr>
                <w:lang w:val="en-NZ"/>
              </w:rPr>
            </w:pPr>
            <w:r w:rsidRPr="00DD14A7">
              <w:t>4.7 Liaise with others on technical and creative aspects of firing, including collaboration on specific challenges</w:t>
            </w:r>
          </w:p>
        </w:tc>
      </w:tr>
      <w:tr w:rsidTr="00DD14A7">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t xml:space="preserve">5. Address documentation requirements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 xml:space="preserve">5.1 Set up a firing log that includes required </w:t>
            </w:r>
            <w:r w:rsidRPr="00DD14A7">
              <w:rPr>
                <w:rStyle w:val="BoldandItalics"/>
              </w:rPr>
              <w:t>information</w:t>
            </w:r>
          </w:p>
          <w:p w:rsidR="00000000" w:rsidRPr="00DD14A7" w:rsidP="00DD14A7">
            <w:pPr>
              <w:pStyle w:val="BodyText"/>
            </w:pPr>
            <w:r w:rsidRPr="00DD14A7">
              <w:t>5.2 Record firing details in the log for all work completed</w:t>
            </w:r>
          </w:p>
          <w:p w:rsidR="00000000" w:rsidRPr="00DD14A7" w:rsidP="00DD14A7">
            <w:pPr>
              <w:pStyle w:val="BodyText"/>
            </w:pPr>
            <w:r w:rsidRPr="00DD14A7">
              <w:t>5.3 Review firing logs to inform future work</w:t>
            </w:r>
          </w:p>
        </w:tc>
      </w:tr>
    </w:tbl>
    <w:p w:rsidR="00000000" w:rsidRPr="00DD14A7" w:rsidP="00DD14A7">
      <w:pPr>
        <w:pStyle w:val="BodyText"/>
      </w:pPr>
    </w:p>
    <w:p w:rsidR="00000000" w:rsidRPr="00DD14A7" w:rsidP="00DD14A7">
      <w:pPr>
        <w:pStyle w:val="AllowPageBreak"/>
      </w:pPr>
    </w:p>
    <w:p w:rsidR="00000000" w:rsidRPr="00DD14A7" w:rsidP="00DD14A7">
      <w:pPr>
        <w:pStyle w:val="Heading1"/>
      </w:pPr>
      <w:bookmarkStart w:id="9" w:name="O_356717"/>
      <w:bookmarkEnd w:id="9"/>
      <w:r w:rsidRPr="00DD14A7">
        <w:t>Required Skills and Knowledge</w:t>
      </w:r>
    </w:p>
    <w:p w:rsidR="00000000" w:rsidRPr="00DD14A7" w:rsidP="00DD14A7">
      <w:pPr>
        <w:pStyle w:val="BodyText"/>
      </w:pPr>
      <w:r w:rsidRPr="00DD14A7">
        <w:rPr>
          <w:rStyle w:val="Emphasis"/>
        </w:rPr>
        <w:t>This section describes the skills and knowledge required for this unit.</w:t>
      </w:r>
    </w:p>
    <w:p w:rsidR="00000000" w:rsidRPr="00DD14A7" w:rsidP="00DD14A7">
      <w:pPr>
        <w:pStyle w:val="BodyText"/>
      </w:pPr>
    </w:p>
    <w:p w:rsidR="00000000" w:rsidRPr="00DD14A7" w:rsidP="00DD14A7">
      <w:pPr>
        <w:pStyle w:val="BodyText"/>
      </w:pPr>
      <w:r w:rsidRPr="00DD14A7">
        <w:rPr>
          <w:rStyle w:val="SpecialBold"/>
        </w:rPr>
        <w:t>Required skills</w:t>
      </w:r>
    </w:p>
    <w:p w:rsidR="00000000" w:rsidRPr="00DD14A7" w:rsidP="00DD14A7">
      <w:pPr>
        <w:pStyle w:val="ListBullet"/>
      </w:pPr>
      <w:r w:rsidRPr="00DD14A7">
        <w:t>communication skills to liaise with others about kiln operations and technical challenges</w:t>
      </w:r>
    </w:p>
    <w:p w:rsidR="00000000" w:rsidRPr="00DD14A7" w:rsidP="00DD14A7">
      <w:pPr>
        <w:pStyle w:val="ListBullet"/>
      </w:pPr>
      <w:r w:rsidRPr="00DD14A7">
        <w:t>critical thinking and analytical skills to:</w:t>
      </w:r>
    </w:p>
    <w:p w:rsidR="00000000" w:rsidRPr="00DD14A7" w:rsidP="00DD14A7">
      <w:pPr>
        <w:pStyle w:val="ListBullet2"/>
      </w:pPr>
      <w:r w:rsidRPr="00DD14A7">
        <w:t>evaluate the needs of particular work projects to establish kiln and firing requirements</w:t>
      </w:r>
    </w:p>
    <w:p w:rsidR="00000000" w:rsidRPr="00DD14A7" w:rsidP="00DD14A7">
      <w:pPr>
        <w:pStyle w:val="ListBullet2"/>
      </w:pPr>
      <w:r w:rsidRPr="00DD14A7">
        <w:t>research and evaluate historical and contemporary trends in kiln work</w:t>
      </w:r>
    </w:p>
    <w:p w:rsidR="00000000" w:rsidRPr="00DD14A7" w:rsidP="00DD14A7">
      <w:pPr>
        <w:pStyle w:val="ListBullet"/>
      </w:pPr>
      <w:r w:rsidRPr="00DD14A7">
        <w:t>literacy skills to read kiln specifications and requirements</w:t>
      </w:r>
    </w:p>
    <w:p w:rsidR="00000000" w:rsidRPr="00DD14A7" w:rsidP="00DD14A7">
      <w:pPr>
        <w:pStyle w:val="ListBullet"/>
      </w:pPr>
      <w:r w:rsidRPr="00DD14A7">
        <w:t>problem-solving skills to identify and resolve:</w:t>
      </w:r>
    </w:p>
    <w:p w:rsidR="00000000" w:rsidRPr="00DD14A7" w:rsidP="00DD14A7">
      <w:pPr>
        <w:pStyle w:val="ListBullet2"/>
      </w:pPr>
      <w:r w:rsidRPr="00DD14A7">
        <w:t>technical and design issues in kiln work</w:t>
      </w:r>
    </w:p>
    <w:p w:rsidR="00000000" w:rsidRPr="00DD14A7" w:rsidP="00DD14A7">
      <w:pPr>
        <w:pStyle w:val="ListBullet2"/>
      </w:pPr>
      <w:r w:rsidRPr="00DD14A7">
        <w:t>technical firing issues</w:t>
      </w:r>
    </w:p>
    <w:p w:rsidR="00000000" w:rsidRPr="00DD14A7" w:rsidP="00DD14A7">
      <w:pPr>
        <w:pStyle w:val="ListBullet"/>
      </w:pPr>
      <w:r w:rsidRPr="00DD14A7">
        <w:t xml:space="preserve">numeracy </w:t>
      </w:r>
      <w:r w:rsidRPr="00DD14A7">
        <w:t>skills to:</w:t>
      </w:r>
    </w:p>
    <w:p w:rsidR="00000000" w:rsidRPr="00DD14A7" w:rsidP="00DD14A7">
      <w:pPr>
        <w:pStyle w:val="ListBullet2"/>
      </w:pPr>
      <w:r w:rsidRPr="00DD14A7">
        <w:t>estimate costs for kilns and kiln operation</w:t>
      </w:r>
    </w:p>
    <w:p w:rsidR="00000000" w:rsidRPr="00DD14A7" w:rsidP="00DD14A7">
      <w:pPr>
        <w:pStyle w:val="ListBullet2"/>
      </w:pPr>
      <w:r w:rsidRPr="00DD14A7">
        <w:t>work with numerical features of kilns and firing processes, including temperatures and controls</w:t>
      </w:r>
    </w:p>
    <w:p w:rsidR="00000000" w:rsidRPr="00DD14A7" w:rsidP="00DD14A7">
      <w:pPr>
        <w:pStyle w:val="ListBullet"/>
      </w:pPr>
      <w:r w:rsidRPr="00DD14A7">
        <w:t>self-management, planning and organising skills to:</w:t>
      </w:r>
    </w:p>
    <w:p w:rsidR="00000000" w:rsidRPr="00DD14A7" w:rsidP="00DD14A7">
      <w:pPr>
        <w:pStyle w:val="ListBullet2"/>
      </w:pPr>
      <w:r w:rsidRPr="00DD14A7">
        <w:t>evaluate needs of own practice in relation to kiln</w:t>
      </w:r>
      <w:r w:rsidRPr="00DD14A7">
        <w:t>s</w:t>
      </w:r>
    </w:p>
    <w:p w:rsidR="00000000" w:rsidRPr="00DD14A7" w:rsidP="00DD14A7">
      <w:pPr>
        <w:pStyle w:val="ListBullet2"/>
      </w:pPr>
      <w:r w:rsidRPr="00DD14A7">
        <w:t>set up a kiln and kiln work space</w:t>
      </w:r>
    </w:p>
    <w:p w:rsidR="00000000" w:rsidRPr="00DD14A7" w:rsidP="00DD14A7">
      <w:pPr>
        <w:pStyle w:val="ListBullet2"/>
      </w:pPr>
      <w:r w:rsidRPr="00DD14A7">
        <w:t>set up and monitor the firing process</w:t>
      </w:r>
    </w:p>
    <w:p w:rsidR="00000000" w:rsidRPr="00DD14A7" w:rsidP="00DD14A7">
      <w:pPr>
        <w:pStyle w:val="ListBullet"/>
      </w:pPr>
      <w:r w:rsidRPr="00DD14A7">
        <w:t>technology skills to safely use technical features of kilns.</w:t>
      </w:r>
    </w:p>
    <w:p w:rsidR="00000000" w:rsidRPr="00DD14A7" w:rsidP="00DD14A7">
      <w:pPr>
        <w:pStyle w:val="BodyText"/>
      </w:pPr>
    </w:p>
    <w:p w:rsidR="00000000" w:rsidRPr="00DD14A7" w:rsidP="00DD14A7">
      <w:pPr>
        <w:pStyle w:val="BodyText"/>
      </w:pPr>
      <w:r w:rsidRPr="00DD14A7">
        <w:rPr>
          <w:rStyle w:val="SpecialBold"/>
        </w:rPr>
        <w:t>Required knowledge</w:t>
      </w:r>
    </w:p>
    <w:p w:rsidR="00000000" w:rsidRPr="00DD14A7" w:rsidP="00DD14A7">
      <w:pPr>
        <w:pStyle w:val="ListBullet"/>
      </w:pPr>
      <w:r w:rsidRPr="00DD14A7">
        <w:t>historical, contemporary and emerging trends in kiln types, kiln construction and kiln operation</w:t>
      </w:r>
    </w:p>
    <w:p w:rsidR="00000000" w:rsidRPr="00DD14A7" w:rsidP="00DD14A7">
      <w:pPr>
        <w:pStyle w:val="ListBullet"/>
      </w:pPr>
      <w:r w:rsidRPr="00DD14A7">
        <w:t>properties and capabilities of the range of firing materials, tools and equipment, including pyrometric instruments</w:t>
      </w:r>
    </w:p>
    <w:p w:rsidR="00000000" w:rsidRPr="00DD14A7" w:rsidP="00DD14A7">
      <w:pPr>
        <w:pStyle w:val="ListBullet"/>
      </w:pPr>
      <w:r w:rsidRPr="00DD14A7">
        <w:t xml:space="preserve">properties and specification of different kiln types </w:t>
      </w:r>
    </w:p>
    <w:p w:rsidR="00000000" w:rsidRPr="00DD14A7" w:rsidP="00DD14A7">
      <w:pPr>
        <w:pStyle w:val="ListBullet"/>
      </w:pPr>
      <w:r w:rsidRPr="00DD14A7">
        <w:t>specific firing processes, including required firing stages, changes to materials, tem</w:t>
      </w:r>
      <w:r w:rsidRPr="00DD14A7">
        <w:t>perature range and timing of each stage of the process</w:t>
      </w:r>
    </w:p>
    <w:p w:rsidR="00000000" w:rsidRPr="00DD14A7" w:rsidP="00DD14A7">
      <w:pPr>
        <w:pStyle w:val="ListBullet"/>
      </w:pPr>
      <w:r w:rsidRPr="00DD14A7">
        <w:t>typical problems that occur with kilns and with the firing process and how they may be resolved in the context of relevant materials and art forms</w:t>
      </w:r>
    </w:p>
    <w:p w:rsidR="00000000" w:rsidRPr="00DD14A7" w:rsidP="00DD14A7">
      <w:pPr>
        <w:pStyle w:val="ListBullet"/>
      </w:pPr>
      <w:r w:rsidRPr="00DD14A7">
        <w:t>sustainability considerations for kiln work</w:t>
      </w:r>
    </w:p>
    <w:p w:rsidR="00000000" w:rsidRPr="00DD14A7" w:rsidP="00DD14A7">
      <w:pPr>
        <w:pStyle w:val="ListBullet"/>
      </w:pPr>
      <w:r w:rsidRPr="00DD14A7">
        <w:t>OHS requir</w:t>
      </w:r>
      <w:r w:rsidRPr="00DD14A7">
        <w:t>ements for the set-up, operation and maintenance of kilns.</w:t>
      </w:r>
    </w:p>
    <w:p w:rsidR="00000000" w:rsidRPr="00DD14A7" w:rsidP="00DD14A7">
      <w:pPr>
        <w:pStyle w:val="AllowPageBreak"/>
      </w:pPr>
    </w:p>
    <w:p w:rsidR="00000000" w:rsidRPr="00DD14A7" w:rsidP="00DD14A7">
      <w:pPr>
        <w:pStyle w:val="Heading1"/>
      </w:pPr>
      <w:bookmarkStart w:id="10" w:name="O_356718"/>
      <w:bookmarkEnd w:id="10"/>
      <w:r w:rsidRPr="00DD14A7">
        <w:t>Evidence Guide</w:t>
      </w:r>
    </w:p>
    <w:p w:rsidR="00000000" w:rsidRPr="00DD14A7" w:rsidP="00DD14A7">
      <w:pPr>
        <w:pStyle w:val="BodyText"/>
      </w:pPr>
      <w:r w:rsidRPr="00DD14A7">
        <w:rPr>
          <w:rStyle w:val="Emphasis"/>
        </w:rPr>
        <w:t>The evidence guide provides advice on assessment and must be read in conjunction with the performance criteria, required skills and knowledge, range statement and th</w:t>
      </w:r>
      <w:r w:rsidRPr="00DD14A7">
        <w:rPr>
          <w:rStyle w:val="Emphasis"/>
        </w:rPr>
        <w:t>e Assessment Guidelines for the Training Package.</w:t>
      </w:r>
    </w:p>
    <w:p w:rsidR="00000000" w:rsidRPr="00DD14A7" w:rsidP="00DD14A7">
      <w:pPr>
        <w:pStyle w:val="BodyText"/>
      </w:pPr>
    </w:p>
    <w:tbl>
      <w:tblPr>
        <w:tblW w:w="0" w:type="auto"/>
        <w:tblLayout w:type="fixed"/>
        <w:tblCellMar>
          <w:left w:w="62" w:type="dxa"/>
          <w:right w:w="62" w:type="dxa"/>
        </w:tblCellMar>
        <w:tblLook w:val="0000"/>
      </w:tblPr>
      <w:tblGrid>
        <w:gridCol w:w="2586"/>
        <w:gridCol w:w="6414"/>
      </w:tblGrid>
      <w:tr w:rsidTr="00DD14A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p>
        </w:tc>
      </w:tr>
      <w:tr w:rsidTr="00DD14A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Evidence of the ability to:</w:t>
            </w:r>
          </w:p>
          <w:p w:rsidR="00000000" w:rsidRPr="00DD14A7" w:rsidP="00DD14A7">
            <w:pPr>
              <w:pStyle w:val="ListBullet"/>
            </w:pPr>
            <w:r w:rsidRPr="00DD14A7">
              <w:t>apply safe work practices when using kilns</w:t>
            </w:r>
          </w:p>
          <w:p w:rsidR="00000000" w:rsidRPr="00DD14A7" w:rsidP="00DD14A7">
            <w:pPr>
              <w:pStyle w:val="ListBullet"/>
            </w:pPr>
            <w:r w:rsidRPr="00DD14A7">
              <w:t>produce multiple fired craft pieces that are technically sound and free from faults arising from the firing process</w:t>
            </w:r>
          </w:p>
          <w:p w:rsidR="00000000" w:rsidRPr="00DD14A7" w:rsidP="00DD14A7">
            <w:pPr>
              <w:pStyle w:val="ListBullet"/>
            </w:pPr>
            <w:r w:rsidRPr="00DD14A7">
              <w:t>prepare own firing schedules</w:t>
            </w:r>
          </w:p>
          <w:p w:rsidR="00000000" w:rsidRPr="00DD14A7" w:rsidP="00DD14A7">
            <w:pPr>
              <w:pStyle w:val="ListBullet"/>
            </w:pPr>
            <w:r w:rsidRPr="00DD14A7">
              <w:t>pack and fire kilns independently</w:t>
            </w:r>
          </w:p>
          <w:p w:rsidR="00000000" w:rsidP="00DD14A7">
            <w:pPr>
              <w:pStyle w:val="ListBullet"/>
              <w:rPr>
                <w:lang w:val="en-NZ"/>
              </w:rPr>
            </w:pPr>
            <w:r w:rsidRPr="00DD14A7">
              <w:t>apply knowledge of kiln types and kiln operations.</w:t>
            </w:r>
          </w:p>
        </w:tc>
      </w:tr>
      <w:tr w:rsidTr="00DD14A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SpecialBold"/>
              </w:rPr>
              <w:t>Context of and specific r</w:t>
            </w:r>
            <w:r w:rsidRPr="00DD14A7">
              <w:rPr>
                <w:rStyle w:val="SpecialBold"/>
              </w:rPr>
              <w:t>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Assessment must ensure access to:</w:t>
            </w:r>
          </w:p>
          <w:p w:rsidR="00000000" w:rsidP="00DD14A7">
            <w:pPr>
              <w:pStyle w:val="ListBullet"/>
              <w:rPr>
                <w:lang w:val="en-NZ"/>
              </w:rPr>
            </w:pPr>
            <w:r w:rsidRPr="00DD14A7">
              <w:t>a workplace or studio for the firing of craft work.</w:t>
            </w:r>
          </w:p>
        </w:tc>
      </w:tr>
      <w:tr w:rsidTr="00DD14A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A range of assessment methods should be used to assess practical skills and knowledge. The following examples are appropria</w:t>
            </w:r>
            <w:r w:rsidRPr="00DD14A7">
              <w:t>te for this unit:</w:t>
            </w:r>
          </w:p>
          <w:p w:rsidR="00000000" w:rsidRPr="00DD14A7" w:rsidP="00DD14A7">
            <w:pPr>
              <w:pStyle w:val="ListBullet"/>
            </w:pPr>
            <w:r w:rsidRPr="00DD14A7">
              <w:t>evaluation of work produced by the candidate in terms of its technical resolution</w:t>
            </w:r>
          </w:p>
          <w:p w:rsidR="00000000" w:rsidRPr="00DD14A7" w:rsidP="00DD14A7">
            <w:pPr>
              <w:pStyle w:val="ListBullet"/>
            </w:pPr>
            <w:r w:rsidRPr="00DD14A7">
              <w:t xml:space="preserve">direct observation of work in progress, including exploration of, and experimentation with, techniques </w:t>
            </w:r>
          </w:p>
          <w:p w:rsidR="00000000" w:rsidRPr="00DD14A7" w:rsidP="00DD14A7">
            <w:pPr>
              <w:pStyle w:val="ListBullet"/>
            </w:pPr>
            <w:r w:rsidRPr="00DD14A7">
              <w:t>written and/or oral questioning and discussion to</w:t>
            </w:r>
            <w:r w:rsidRPr="00DD14A7">
              <w:t xml:space="preserve"> assess knowledge and candidate’s intentions and work outcome </w:t>
            </w:r>
          </w:p>
          <w:p w:rsidR="00000000" w:rsidRPr="00DD14A7" w:rsidP="00DD14A7">
            <w:pPr>
              <w:pStyle w:val="ListBullet"/>
            </w:pPr>
            <w:r w:rsidRPr="00DD14A7">
              <w:t xml:space="preserve">review of portfolios of evidence </w:t>
            </w:r>
          </w:p>
          <w:p w:rsidR="00000000" w:rsidRPr="00DD14A7" w:rsidP="00DD14A7">
            <w:pPr>
              <w:pStyle w:val="ListBullet"/>
            </w:pPr>
            <w:r w:rsidRPr="00DD14A7">
              <w:t>review of third-party reports from experienced practitioners.</w:t>
            </w:r>
          </w:p>
          <w:p w:rsidR="00000000" w:rsidP="00DD14A7">
            <w:pPr>
              <w:pStyle w:val="BodyText"/>
              <w:rPr>
                <w:lang w:val="en-NZ"/>
              </w:rPr>
            </w:pPr>
            <w:r w:rsidRPr="00DD14A7">
              <w:t>Assessment methods should closely reflect work place demands (e.g. literacy) and the needs of par</w:t>
            </w:r>
            <w:r w:rsidRPr="00DD14A7">
              <w:t>ticular groups (e.g. people with disabilities, and people who may have literacy or numeracy difficulties, such as speakers of languages other than English, remote communities and those with interrupted schooling).</w:t>
            </w:r>
          </w:p>
        </w:tc>
      </w:tr>
      <w:tr w:rsidTr="00DD14A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BodyText"/>
            </w:pPr>
            <w:r w:rsidRPr="00DD14A7">
              <w:t>Holis</w:t>
            </w:r>
            <w:r w:rsidRPr="00DD14A7">
              <w:t xml:space="preserve">tic assessment with other units relevant to the industry sector, workplace and job role is recommended, for example: </w:t>
            </w:r>
          </w:p>
          <w:p w:rsidR="00000000" w:rsidRPr="00DD14A7" w:rsidP="00DD14A7">
            <w:pPr>
              <w:pStyle w:val="ListBullet"/>
            </w:pPr>
            <w:r w:rsidRPr="00DD14A7">
              <w:t>CUVCER502A Investigate ceramic materials and processes</w:t>
            </w:r>
          </w:p>
          <w:p w:rsidR="00000000" w:rsidRPr="00DD14A7" w:rsidP="00DD14A7">
            <w:pPr>
              <w:pStyle w:val="ListBullet"/>
            </w:pPr>
            <w:r w:rsidRPr="00DD14A7">
              <w:t>CUVGLA502A Investigate glassworking materials and processes.</w:t>
            </w:r>
          </w:p>
        </w:tc>
      </w:tr>
    </w:tbl>
    <w:p w:rsidR="00000000" w:rsidRPr="00DD14A7" w:rsidP="00DD14A7">
      <w:pPr>
        <w:pStyle w:val="BodyText"/>
      </w:pPr>
    </w:p>
    <w:p w:rsidR="00000000" w:rsidRPr="00DD14A7" w:rsidP="00DD14A7">
      <w:pPr>
        <w:pStyle w:val="AllowPageBreak"/>
      </w:pPr>
    </w:p>
    <w:p w:rsidR="00000000" w:rsidRPr="00DD14A7" w:rsidP="00DD14A7">
      <w:pPr>
        <w:pStyle w:val="Heading1"/>
      </w:pPr>
      <w:bookmarkStart w:id="11" w:name="O_356719"/>
      <w:bookmarkEnd w:id="11"/>
      <w:r w:rsidRPr="00DD14A7">
        <w:t>Ra</w:t>
      </w:r>
      <w:r w:rsidRPr="00DD14A7">
        <w:t>nge Statement</w:t>
      </w:r>
    </w:p>
    <w:p w:rsidR="00000000" w:rsidRPr="00DD14A7" w:rsidP="00DD14A7">
      <w:pPr>
        <w:pStyle w:val="BodyText"/>
      </w:pPr>
      <w:r w:rsidRPr="00DD14A7">
        <w:rPr>
          <w:rStyle w:val="Emphasis"/>
        </w:rPr>
        <w:t xml:space="preserve">The range statement relates to the unit of competency as a whole. It allows for different work environments and situations that may affect </w:t>
      </w:r>
      <w:r w:rsidRPr="00DD14A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D14A7">
        <w:rPr>
          <w:rStyle w:val="Emphasis"/>
        </w:rPr>
        <w:t>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 xml:space="preserve">Kilns </w:t>
            </w:r>
            <w:r w:rsidRPr="00DD14A7">
              <w:t>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 xml:space="preserve">electric </w:t>
            </w:r>
          </w:p>
          <w:p w:rsidR="00000000" w:rsidRPr="00DD14A7" w:rsidP="00DD14A7">
            <w:pPr>
              <w:pStyle w:val="ListBullet"/>
            </w:pPr>
            <w:r w:rsidRPr="00DD14A7">
              <w:t xml:space="preserve">gas </w:t>
            </w:r>
          </w:p>
          <w:p w:rsidR="00000000" w:rsidRPr="00DD14A7" w:rsidP="00DD14A7">
            <w:pPr>
              <w:pStyle w:val="ListBullet"/>
            </w:pPr>
            <w:r w:rsidRPr="00DD14A7">
              <w:t xml:space="preserve">pit </w:t>
            </w:r>
          </w:p>
          <w:p w:rsidR="00000000" w:rsidRPr="00DD14A7" w:rsidP="00DD14A7">
            <w:pPr>
              <w:pStyle w:val="ListBullet"/>
            </w:pPr>
            <w:r w:rsidRPr="00DD14A7">
              <w:t>raku</w:t>
            </w:r>
          </w:p>
          <w:p w:rsidR="00000000" w:rsidRPr="00DD14A7" w:rsidP="00DD14A7">
            <w:pPr>
              <w:pStyle w:val="ListBullet"/>
            </w:pPr>
            <w:r w:rsidRPr="00DD14A7">
              <w:t xml:space="preserve">salt </w:t>
            </w:r>
          </w:p>
          <w:p w:rsidR="00000000" w:rsidP="00DD14A7">
            <w:pPr>
              <w:pStyle w:val="ListBullet"/>
              <w:rPr>
                <w:lang w:val="en-NZ"/>
              </w:rPr>
            </w:pPr>
            <w:r w:rsidRPr="00DD14A7">
              <w:t>wood.</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Historical and contemporary trends</w:t>
            </w:r>
            <w:r w:rsidRPr="00DD14A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annealing ovens</w:t>
            </w:r>
          </w:p>
          <w:p w:rsidR="00000000" w:rsidRPr="00DD14A7" w:rsidP="00DD14A7">
            <w:pPr>
              <w:pStyle w:val="ListBullet"/>
            </w:pPr>
            <w:r w:rsidRPr="00DD14A7">
              <w:t>enamelling kilns</w:t>
            </w:r>
          </w:p>
          <w:p w:rsidR="00000000" w:rsidRPr="00DD14A7" w:rsidP="00DD14A7">
            <w:pPr>
              <w:pStyle w:val="ListBullet"/>
            </w:pPr>
            <w:r w:rsidRPr="00DD14A7">
              <w:t>glass-casting kilns</w:t>
            </w:r>
          </w:p>
          <w:p w:rsidR="00000000" w:rsidRPr="00DD14A7" w:rsidP="00DD14A7">
            <w:pPr>
              <w:pStyle w:val="ListBullet"/>
            </w:pPr>
            <w:r w:rsidRPr="00DD14A7">
              <w:t>history and development of kilns</w:t>
            </w:r>
            <w:r w:rsidRPr="00DD14A7">
              <w:t>:</w:t>
            </w:r>
          </w:p>
          <w:p w:rsidR="00000000" w:rsidRPr="00DD14A7" w:rsidP="00DD14A7">
            <w:pPr>
              <w:pStyle w:val="ListBullet2"/>
            </w:pPr>
            <w:r w:rsidRPr="00DD14A7">
              <w:t>early Chinese, Japanese and Korean</w:t>
            </w:r>
          </w:p>
          <w:p w:rsidR="00000000" w:rsidRPr="00DD14A7" w:rsidP="00DD14A7">
            <w:pPr>
              <w:pStyle w:val="ListBullet2"/>
            </w:pPr>
            <w:r w:rsidRPr="00DD14A7">
              <w:t>early European</w:t>
            </w:r>
          </w:p>
          <w:p w:rsidR="00000000" w:rsidRPr="00DD14A7" w:rsidP="00DD14A7">
            <w:pPr>
              <w:pStyle w:val="ListBullet2"/>
            </w:pPr>
            <w:r w:rsidRPr="00DD14A7">
              <w:t>modern kilns</w:t>
            </w:r>
          </w:p>
          <w:p w:rsidR="00000000" w:rsidRPr="00DD14A7" w:rsidP="00DD14A7">
            <w:pPr>
              <w:pStyle w:val="BodyText"/>
            </w:pPr>
            <w:r w:rsidRPr="00DD14A7">
              <w:t>primitive and tribal, including New Guinean, African, Micronesian and pre-Columbian</w:t>
            </w:r>
          </w:p>
          <w:p w:rsidR="00000000" w:rsidRPr="00DD14A7" w:rsidP="00DD14A7">
            <w:pPr>
              <w:pStyle w:val="ListBullet"/>
            </w:pPr>
            <w:r w:rsidRPr="00DD14A7">
              <w:t>high fire pottery kilns</w:t>
            </w:r>
          </w:p>
          <w:p w:rsidR="00000000" w:rsidRPr="00DD14A7" w:rsidP="00DD14A7">
            <w:pPr>
              <w:pStyle w:val="ListBullet"/>
            </w:pPr>
            <w:r w:rsidRPr="00DD14A7">
              <w:t>sculpture kilns</w:t>
            </w:r>
          </w:p>
          <w:p w:rsidR="00000000" w:rsidRPr="00DD14A7" w:rsidP="00DD14A7">
            <w:pPr>
              <w:pStyle w:val="ListBullet"/>
            </w:pPr>
            <w:r w:rsidRPr="00DD14A7">
              <w:t>stained glass and flat glass kilns</w:t>
            </w:r>
          </w:p>
          <w:p w:rsidR="00000000" w:rsidP="00DD14A7">
            <w:pPr>
              <w:pStyle w:val="ListBullet"/>
              <w:rPr>
                <w:lang w:val="en-NZ"/>
              </w:rPr>
            </w:pPr>
            <w:r w:rsidRPr="00DD14A7">
              <w:t>source of energy, including fuel types, structure and configuration of different types of kilns.</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Safety issues</w:t>
            </w:r>
            <w:r w:rsidRPr="00DD14A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 xml:space="preserve">correct lifting techniques </w:t>
            </w:r>
          </w:p>
          <w:p w:rsidR="00000000" w:rsidRPr="00DD14A7" w:rsidP="00DD14A7">
            <w:pPr>
              <w:pStyle w:val="ListBullet"/>
            </w:pPr>
            <w:r w:rsidRPr="00DD14A7">
              <w:t>kiln emissions</w:t>
            </w:r>
          </w:p>
          <w:p w:rsidR="00000000" w:rsidRPr="00DD14A7" w:rsidP="00DD14A7">
            <w:pPr>
              <w:pStyle w:val="ListBullet"/>
            </w:pPr>
            <w:r w:rsidRPr="00DD14A7">
              <w:t xml:space="preserve">safe use of equipment </w:t>
            </w:r>
          </w:p>
          <w:p w:rsidR="00000000" w:rsidRPr="00DD14A7" w:rsidP="00DD14A7">
            <w:pPr>
              <w:pStyle w:val="ListBullet"/>
            </w:pPr>
            <w:r w:rsidRPr="00DD14A7">
              <w:t xml:space="preserve">specific hazards associated with: </w:t>
            </w:r>
          </w:p>
          <w:p w:rsidR="00000000" w:rsidRPr="00DD14A7" w:rsidP="00DD14A7">
            <w:pPr>
              <w:pStyle w:val="ListBullet2"/>
            </w:pPr>
            <w:r w:rsidRPr="00DD14A7">
              <w:t>extreme heat</w:t>
            </w:r>
          </w:p>
          <w:p w:rsidR="00000000" w:rsidRPr="00DD14A7" w:rsidP="00DD14A7">
            <w:pPr>
              <w:pStyle w:val="ListBullet2"/>
            </w:pPr>
            <w:r w:rsidRPr="00DD14A7">
              <w:t>fuels</w:t>
            </w:r>
          </w:p>
          <w:p w:rsidR="00000000" w:rsidP="00DD14A7">
            <w:pPr>
              <w:pStyle w:val="ListBullet"/>
              <w:rPr>
                <w:lang w:val="en-NZ"/>
              </w:rPr>
            </w:pPr>
            <w:r w:rsidRPr="00DD14A7">
              <w:t>use of personal protective equipment (PPE) to protect against dust and fibres.</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 xml:space="preserve">Key requirements </w:t>
            </w:r>
            <w:r w:rsidRPr="00DD14A7">
              <w:t>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cleaning</w:t>
            </w:r>
          </w:p>
          <w:p w:rsidR="00000000" w:rsidRPr="00DD14A7" w:rsidP="00DD14A7">
            <w:pPr>
              <w:pStyle w:val="ListBullet"/>
            </w:pPr>
            <w:r w:rsidRPr="00DD14A7">
              <w:t>kiln location</w:t>
            </w:r>
          </w:p>
          <w:p w:rsidR="00000000" w:rsidRPr="00DD14A7" w:rsidP="00DD14A7">
            <w:pPr>
              <w:pStyle w:val="ListBullet"/>
            </w:pPr>
            <w:r w:rsidRPr="00DD14A7">
              <w:t>monitoring equipment</w:t>
            </w:r>
          </w:p>
          <w:p w:rsidR="00000000" w:rsidRPr="00DD14A7" w:rsidP="00DD14A7">
            <w:pPr>
              <w:pStyle w:val="ListBullet"/>
            </w:pPr>
            <w:r w:rsidRPr="00DD14A7">
              <w:t>safety equipment, including PPE</w:t>
            </w:r>
          </w:p>
          <w:p w:rsidR="00000000" w:rsidRPr="00DD14A7" w:rsidP="00DD14A7">
            <w:pPr>
              <w:pStyle w:val="ListBullet"/>
            </w:pPr>
            <w:r w:rsidRPr="00DD14A7">
              <w:t>space around kiln</w:t>
            </w:r>
          </w:p>
          <w:p w:rsidR="00000000" w:rsidRPr="00DD14A7" w:rsidP="00DD14A7">
            <w:pPr>
              <w:pStyle w:val="ListBullet"/>
            </w:pPr>
            <w:r w:rsidRPr="00DD14A7">
              <w:t>storage of kiln furniture and equipment</w:t>
            </w:r>
          </w:p>
          <w:p w:rsidR="00000000" w:rsidRPr="00DD14A7" w:rsidP="00DD14A7">
            <w:pPr>
              <w:pStyle w:val="ListBullet"/>
            </w:pPr>
            <w:r w:rsidRPr="00DD14A7">
              <w:t>ventilation</w:t>
            </w:r>
          </w:p>
          <w:p w:rsidR="00000000" w:rsidP="00DD14A7">
            <w:pPr>
              <w:pStyle w:val="ListBullet"/>
              <w:rPr>
                <w:lang w:val="en-NZ"/>
              </w:rPr>
            </w:pPr>
            <w:r w:rsidRPr="00DD14A7">
              <w:t>work to be fired.</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Firing program requirements</w:t>
            </w:r>
            <w:r w:rsidRPr="00DD14A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annealing requirements</w:t>
            </w:r>
          </w:p>
          <w:p w:rsidR="00000000" w:rsidRPr="00DD14A7" w:rsidP="00DD14A7">
            <w:pPr>
              <w:pStyle w:val="ListBullet"/>
            </w:pPr>
            <w:r w:rsidRPr="00DD14A7">
              <w:t>firing profile</w:t>
            </w:r>
          </w:p>
          <w:p w:rsidR="00000000" w:rsidRPr="00DD14A7" w:rsidP="00DD14A7">
            <w:pPr>
              <w:pStyle w:val="ListBullet"/>
            </w:pPr>
            <w:r w:rsidRPr="00DD14A7">
              <w:t>maximum temperature</w:t>
            </w:r>
          </w:p>
          <w:p w:rsidR="00000000" w:rsidRPr="00DD14A7" w:rsidP="00DD14A7">
            <w:pPr>
              <w:pStyle w:val="ListBullet"/>
            </w:pPr>
            <w:r w:rsidRPr="00DD14A7">
              <w:t>optimum firing time</w:t>
            </w:r>
          </w:p>
          <w:p w:rsidR="00000000" w:rsidP="00DD14A7">
            <w:pPr>
              <w:pStyle w:val="ListBullet"/>
              <w:rPr>
                <w:lang w:val="en-NZ"/>
              </w:rPr>
            </w:pPr>
            <w:r w:rsidRPr="00DD14A7">
              <w:t>soak times.</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Kiln loading and unloading requirements</w:t>
            </w:r>
            <w:r w:rsidRPr="00DD14A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positioning of work to take account of:</w:t>
            </w:r>
          </w:p>
          <w:p w:rsidR="00000000" w:rsidRPr="00DD14A7" w:rsidP="00DD14A7">
            <w:pPr>
              <w:pStyle w:val="ListBullet2"/>
            </w:pPr>
            <w:r w:rsidRPr="00DD14A7">
              <w:t>adequat</w:t>
            </w:r>
            <w:r w:rsidRPr="00DD14A7">
              <w:t>e pathways for flames</w:t>
            </w:r>
          </w:p>
          <w:p w:rsidR="00000000" w:rsidRPr="00DD14A7" w:rsidP="00DD14A7">
            <w:pPr>
              <w:pStyle w:val="ListBullet2"/>
            </w:pPr>
            <w:r w:rsidRPr="00DD14A7">
              <w:t>even distribution of temperature</w:t>
            </w:r>
          </w:p>
          <w:p w:rsidR="00000000" w:rsidRPr="00DD14A7" w:rsidP="00DD14A7">
            <w:pPr>
              <w:pStyle w:val="ListBullet"/>
            </w:pPr>
            <w:r w:rsidRPr="00DD14A7">
              <w:t>ventilation of fumes and vapours</w:t>
            </w:r>
          </w:p>
          <w:p w:rsidR="00000000" w:rsidRPr="00DD14A7" w:rsidP="00DD14A7">
            <w:pPr>
              <w:pStyle w:val="ListBullet"/>
            </w:pPr>
            <w:r w:rsidRPr="00DD14A7">
              <w:t>props</w:t>
            </w:r>
          </w:p>
          <w:p w:rsidR="00000000" w:rsidRPr="00DD14A7" w:rsidP="00DD14A7">
            <w:pPr>
              <w:pStyle w:val="ListBullet"/>
            </w:pPr>
            <w:r w:rsidRPr="00DD14A7">
              <w:t>shelving</w:t>
            </w:r>
          </w:p>
          <w:p w:rsidR="00000000" w:rsidP="00DD14A7">
            <w:pPr>
              <w:pStyle w:val="ListBullet"/>
              <w:rPr>
                <w:lang w:val="en-NZ"/>
              </w:rPr>
            </w:pPr>
            <w:r w:rsidRPr="00DD14A7">
              <w:t>stability.</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Firing process</w:t>
            </w:r>
            <w:r w:rsidRPr="00DD14A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firing stages, the changes at each stage, and the temperature range and time as they relate to ceramics:</w:t>
            </w:r>
          </w:p>
          <w:p w:rsidR="00000000" w:rsidRPr="00DD14A7" w:rsidP="00DD14A7">
            <w:pPr>
              <w:pStyle w:val="ListBullet2"/>
            </w:pPr>
            <w:r w:rsidRPr="00DD14A7">
              <w:t xml:space="preserve">biscuit firing </w:t>
            </w:r>
          </w:p>
          <w:p w:rsidR="00000000" w:rsidRPr="00DD14A7" w:rsidP="00DD14A7">
            <w:pPr>
              <w:pStyle w:val="ListBullet2"/>
            </w:pPr>
            <w:r w:rsidRPr="00DD14A7">
              <w:t xml:space="preserve">glost firing </w:t>
            </w:r>
          </w:p>
          <w:p w:rsidR="00000000" w:rsidRPr="00DD14A7" w:rsidP="00DD14A7">
            <w:pPr>
              <w:pStyle w:val="ListBullet2"/>
            </w:pPr>
            <w:r w:rsidRPr="00DD14A7">
              <w:t xml:space="preserve">creating reduction in the clay body and the glaze </w:t>
            </w:r>
          </w:p>
          <w:p w:rsidR="00000000" w:rsidRPr="00DD14A7" w:rsidP="00DD14A7">
            <w:pPr>
              <w:pStyle w:val="ListBullet2"/>
            </w:pPr>
            <w:r w:rsidRPr="00DD14A7">
              <w:t>causing oxidation in the clay body and the glaze</w:t>
            </w:r>
          </w:p>
          <w:p w:rsidR="00000000" w:rsidRPr="00DD14A7" w:rsidP="00DD14A7">
            <w:pPr>
              <w:pStyle w:val="ListBullet2"/>
            </w:pPr>
            <w:r w:rsidRPr="00DD14A7">
              <w:t xml:space="preserve">maintaining a neutral atmosphere </w:t>
            </w:r>
          </w:p>
          <w:p w:rsidR="00000000" w:rsidRPr="00DD14A7" w:rsidP="00DD14A7">
            <w:pPr>
              <w:pStyle w:val="ListBullet2"/>
            </w:pPr>
            <w:r w:rsidRPr="00DD14A7">
              <w:t xml:space="preserve">creating a primitive fired effect </w:t>
            </w:r>
          </w:p>
          <w:p w:rsidR="00000000" w:rsidRPr="00DD14A7" w:rsidP="00DD14A7">
            <w:pPr>
              <w:pStyle w:val="ListBullet2"/>
            </w:pPr>
            <w:r w:rsidRPr="00DD14A7">
              <w:t>creating blackware</w:t>
            </w:r>
          </w:p>
          <w:p w:rsidR="00000000" w:rsidRPr="00DD14A7" w:rsidP="00DD14A7">
            <w:pPr>
              <w:pStyle w:val="ListBullet2"/>
            </w:pPr>
            <w:r w:rsidRPr="00DD14A7">
              <w:t>raku firing</w:t>
            </w:r>
          </w:p>
          <w:p w:rsidR="00000000" w:rsidRPr="00DD14A7" w:rsidP="00DD14A7">
            <w:pPr>
              <w:pStyle w:val="ListBullet2"/>
            </w:pPr>
            <w:r w:rsidRPr="00DD14A7">
              <w:t>saltglaze firing</w:t>
            </w:r>
          </w:p>
          <w:p w:rsidR="00000000" w:rsidRPr="00DD14A7" w:rsidP="00DD14A7">
            <w:pPr>
              <w:pStyle w:val="ListBullet2"/>
            </w:pPr>
            <w:r w:rsidRPr="00DD14A7">
              <w:t>wood firi</w:t>
            </w:r>
            <w:r w:rsidRPr="00DD14A7">
              <w:t xml:space="preserve">ng </w:t>
            </w:r>
          </w:p>
          <w:p w:rsidR="00000000" w:rsidRPr="00DD14A7" w:rsidP="00DD14A7">
            <w:pPr>
              <w:pStyle w:val="ListBullet2"/>
            </w:pPr>
            <w:r w:rsidRPr="00DD14A7">
              <w:t>using saggars for support or effect</w:t>
            </w:r>
          </w:p>
          <w:p w:rsidR="00000000" w:rsidRPr="00DD14A7" w:rsidP="00DD14A7">
            <w:pPr>
              <w:pStyle w:val="ListBullet"/>
            </w:pPr>
            <w:r w:rsidRPr="00DD14A7">
              <w:t xml:space="preserve">firing stages, the changes at each stage, and the temperature range and time as they relate to glass: </w:t>
            </w:r>
          </w:p>
          <w:p w:rsidR="00000000" w:rsidRPr="00DD14A7" w:rsidP="00DD14A7">
            <w:pPr>
              <w:pStyle w:val="ListBullet2"/>
            </w:pPr>
            <w:r w:rsidRPr="00DD14A7">
              <w:t>firing enamels and lustres</w:t>
            </w:r>
          </w:p>
          <w:p w:rsidR="00000000" w:rsidRPr="00DD14A7" w:rsidP="00DD14A7">
            <w:pPr>
              <w:pStyle w:val="ListBullet2"/>
            </w:pPr>
            <w:r w:rsidRPr="00DD14A7">
              <w:t>stained glass firing</w:t>
            </w:r>
          </w:p>
          <w:p w:rsidR="00000000" w:rsidRPr="00DD14A7" w:rsidP="00DD14A7">
            <w:pPr>
              <w:pStyle w:val="ListBullet2"/>
            </w:pPr>
            <w:r w:rsidRPr="00DD14A7">
              <w:t>bending</w:t>
            </w:r>
          </w:p>
          <w:p w:rsidR="00000000" w:rsidRPr="00DD14A7" w:rsidP="00DD14A7">
            <w:pPr>
              <w:pStyle w:val="ListBullet2"/>
            </w:pPr>
            <w:r w:rsidRPr="00DD14A7">
              <w:t>slumping</w:t>
            </w:r>
          </w:p>
          <w:p w:rsidR="00000000" w:rsidRPr="00DD14A7" w:rsidP="00DD14A7">
            <w:pPr>
              <w:pStyle w:val="ListBullet2"/>
            </w:pPr>
            <w:r w:rsidRPr="00DD14A7">
              <w:t>fusing</w:t>
            </w:r>
          </w:p>
          <w:p w:rsidR="00000000" w:rsidRPr="00DD14A7" w:rsidP="00DD14A7">
            <w:pPr>
              <w:pStyle w:val="ListBullet2"/>
            </w:pPr>
            <w:r w:rsidRPr="00DD14A7">
              <w:t xml:space="preserve">kiln casting </w:t>
            </w:r>
          </w:p>
          <w:p w:rsidR="00000000" w:rsidRPr="00DD14A7" w:rsidP="00DD14A7">
            <w:pPr>
              <w:pStyle w:val="ListBullet2"/>
            </w:pPr>
            <w:r w:rsidRPr="00DD14A7">
              <w:t>thick work</w:t>
            </w:r>
          </w:p>
          <w:p w:rsidR="00000000" w:rsidRPr="00DD14A7" w:rsidP="00DD14A7">
            <w:pPr>
              <w:pStyle w:val="ListBullet2"/>
            </w:pPr>
            <w:r w:rsidRPr="00DD14A7">
              <w:t>complex work</w:t>
            </w:r>
          </w:p>
          <w:p w:rsidR="00000000" w:rsidP="00DD14A7">
            <w:pPr>
              <w:pStyle w:val="ListBullet2"/>
              <w:rPr>
                <w:lang w:val="en-NZ"/>
              </w:rPr>
            </w:pPr>
            <w:r w:rsidRPr="00DD14A7">
              <w:t>annealing.</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 xml:space="preserve">Technical problems </w:t>
            </w:r>
            <w:r w:rsidRPr="00DD14A7">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bloating</w:t>
            </w:r>
          </w:p>
          <w:p w:rsidR="00000000" w:rsidRPr="00DD14A7" w:rsidP="00DD14A7">
            <w:pPr>
              <w:pStyle w:val="ListBullet"/>
            </w:pPr>
            <w:r w:rsidRPr="00DD14A7">
              <w:t>colour issues</w:t>
            </w:r>
          </w:p>
          <w:p w:rsidR="00000000" w:rsidRPr="00DD14A7" w:rsidP="00DD14A7">
            <w:pPr>
              <w:pStyle w:val="ListBullet"/>
            </w:pPr>
            <w:r w:rsidRPr="00DD14A7">
              <w:t>dunting</w:t>
            </w:r>
          </w:p>
          <w:p w:rsidR="00000000" w:rsidRPr="00DD14A7" w:rsidP="00DD14A7">
            <w:pPr>
              <w:pStyle w:val="ListBullet"/>
            </w:pPr>
            <w:r w:rsidRPr="00DD14A7">
              <w:t>firing cracks</w:t>
            </w:r>
          </w:p>
          <w:p w:rsidR="00000000" w:rsidRPr="00DD14A7" w:rsidP="00DD14A7">
            <w:pPr>
              <w:pStyle w:val="ListBullet"/>
            </w:pPr>
            <w:r w:rsidRPr="00DD14A7">
              <w:t>thermal shock</w:t>
            </w:r>
          </w:p>
          <w:p w:rsidR="00000000" w:rsidRPr="00DD14A7" w:rsidP="00DD14A7">
            <w:pPr>
              <w:pStyle w:val="ListBullet"/>
            </w:pPr>
            <w:r w:rsidRPr="00DD14A7">
              <w:t>overfiring</w:t>
            </w:r>
          </w:p>
          <w:p w:rsidR="00000000" w:rsidRPr="00DD14A7" w:rsidP="00DD14A7">
            <w:pPr>
              <w:pStyle w:val="ListBullet"/>
            </w:pPr>
            <w:r w:rsidRPr="00DD14A7">
              <w:t>underfiring</w:t>
            </w:r>
          </w:p>
          <w:p w:rsidR="00000000" w:rsidP="00DD14A7">
            <w:pPr>
              <w:pStyle w:val="ListBullet"/>
              <w:rPr>
                <w:lang w:val="en-NZ"/>
              </w:rPr>
            </w:pPr>
            <w:r w:rsidRPr="00DD14A7">
              <w:t>warping.</w:t>
            </w:r>
          </w:p>
        </w:tc>
      </w:tr>
      <w:tr w:rsidTr="00DD14A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4A7">
            <w:pPr>
              <w:pStyle w:val="BodyText"/>
              <w:rPr>
                <w:lang w:val="en-NZ"/>
              </w:rPr>
            </w:pPr>
            <w:r w:rsidRPr="00DD14A7">
              <w:rPr>
                <w:rStyle w:val="BoldandItalics"/>
              </w:rPr>
              <w:t xml:space="preserve">Information </w:t>
            </w:r>
            <w:r w:rsidRPr="00DD14A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4A7" w:rsidP="00DD14A7">
            <w:pPr>
              <w:pStyle w:val="ListBullet"/>
            </w:pPr>
            <w:r w:rsidRPr="00DD14A7">
              <w:t>control mechanisms used</w:t>
            </w:r>
          </w:p>
          <w:p w:rsidR="00000000" w:rsidRPr="00DD14A7" w:rsidP="00DD14A7">
            <w:pPr>
              <w:pStyle w:val="ListBullet"/>
            </w:pPr>
            <w:r w:rsidRPr="00DD14A7">
              <w:t>firing process</w:t>
            </w:r>
          </w:p>
          <w:p w:rsidR="00000000" w:rsidRPr="00DD14A7" w:rsidP="00DD14A7">
            <w:pPr>
              <w:pStyle w:val="ListBullet"/>
            </w:pPr>
            <w:r w:rsidRPr="00DD14A7">
              <w:t>energy and fuel type</w:t>
            </w:r>
          </w:p>
          <w:p w:rsidR="00000000" w:rsidRPr="00DD14A7" w:rsidP="00DD14A7">
            <w:pPr>
              <w:pStyle w:val="ListBullet"/>
            </w:pPr>
            <w:r w:rsidRPr="00DD14A7">
              <w:t>timing.</w:t>
            </w:r>
          </w:p>
        </w:tc>
      </w:tr>
    </w:tbl>
    <w:p w:rsidR="00000000" w:rsidRPr="00DD14A7" w:rsidP="00DD14A7">
      <w:pPr>
        <w:pStyle w:val="BodyText"/>
      </w:pPr>
    </w:p>
    <w:p w:rsidR="00000000" w:rsidRPr="00DD14A7" w:rsidP="00DD14A7">
      <w:pPr>
        <w:pStyle w:val="AllowPageBreak"/>
      </w:pPr>
    </w:p>
    <w:p w:rsidR="00000000" w:rsidRPr="00DD14A7" w:rsidP="00DD14A7">
      <w:pPr>
        <w:pStyle w:val="Heading1"/>
      </w:pPr>
      <w:bookmarkStart w:id="12" w:name="O_356720"/>
      <w:bookmarkEnd w:id="12"/>
      <w:r w:rsidRPr="00DD14A7">
        <w:t>Unit Sector(s)</w:t>
      </w:r>
    </w:p>
    <w:p w:rsidR="00000000" w:rsidRPr="00DD14A7" w:rsidP="00DD14A7">
      <w:pPr>
        <w:pStyle w:val="BodyText"/>
      </w:pPr>
      <w:r w:rsidRPr="00DD14A7">
        <w:t>Visual communication – art, craft and design</w:t>
      </w:r>
    </w:p>
    <w:p w:rsidR="00000000" w:rsidRPr="00DD14A7" w:rsidP="00DD14A7"/>
    <w:sectPr w:rsidSect="00DD14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D8F" w:rsidP="003A4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D8F" w:rsidP="00DD1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4D8F" w:rsidP="00DD14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4D8F" w:rsidP="00DD14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D8F" w:rsidP="003A4D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D8F" w:rsidP="00DD14A7">
    <w:pPr>
      <w:pStyle w:val="Header"/>
      <w:framePr w:wrap="around"/>
    </w:pPr>
    <w:r>
      <w:fldChar w:fldCharType="begin"/>
    </w:r>
    <w:r>
      <w:instrText xml:space="preserve"> TITLE   \* MERGEFORMAT </w:instrText>
    </w:r>
    <w:r>
      <w:fldChar w:fldCharType="separate"/>
    </w:r>
    <w:r>
      <w:t>CUVACD510A Manage kiln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4D8F" w:rsidP="00DD14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4A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8C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43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4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14A7"/>
    <w:pPr>
      <w:spacing w:before="360" w:after="60"/>
      <w:outlineLvl w:val="0"/>
    </w:pPr>
    <w:rPr>
      <w:sz w:val="32"/>
    </w:rPr>
  </w:style>
  <w:style w:type="paragraph" w:styleId="Heading2">
    <w:name w:val="heading 2"/>
    <w:basedOn w:val="HeadingBase"/>
    <w:next w:val="BodyText"/>
    <w:link w:val="Heading2Char"/>
    <w:qFormat/>
    <w:rsid w:val="00DD14A7"/>
    <w:pPr>
      <w:keepLines/>
      <w:spacing w:before="240" w:after="120"/>
      <w:outlineLvl w:val="1"/>
    </w:pPr>
    <w:rPr>
      <w:sz w:val="28"/>
      <w:szCs w:val="40"/>
    </w:rPr>
  </w:style>
  <w:style w:type="paragraph" w:styleId="Heading3">
    <w:name w:val="heading 3"/>
    <w:basedOn w:val="HeadingBase"/>
    <w:next w:val="BodyText"/>
    <w:link w:val="Heading3Char"/>
    <w:qFormat/>
    <w:rsid w:val="00DD14A7"/>
    <w:pPr>
      <w:spacing w:before="180" w:after="120"/>
      <w:outlineLvl w:val="2"/>
    </w:pPr>
    <w:rPr>
      <w:spacing w:val="-10"/>
      <w:kern w:val="32"/>
    </w:rPr>
  </w:style>
  <w:style w:type="paragraph" w:styleId="Heading4">
    <w:name w:val="heading 4"/>
    <w:basedOn w:val="HeadingBase"/>
    <w:next w:val="BodyText"/>
    <w:link w:val="Heading4Char"/>
    <w:qFormat/>
    <w:rsid w:val="00DD14A7"/>
    <w:pPr>
      <w:spacing w:before="160" w:after="120"/>
      <w:outlineLvl w:val="3"/>
    </w:pPr>
    <w:rPr>
      <w:sz w:val="22"/>
    </w:rPr>
  </w:style>
  <w:style w:type="paragraph" w:styleId="Heading5">
    <w:name w:val="heading 5"/>
    <w:basedOn w:val="HeadingBase"/>
    <w:next w:val="Normal"/>
    <w:link w:val="Heading5Char"/>
    <w:qFormat/>
    <w:rsid w:val="00DD14A7"/>
    <w:pPr>
      <w:spacing w:before="80"/>
      <w:outlineLvl w:val="4"/>
    </w:pPr>
    <w:rPr>
      <w:color w:val="918585"/>
      <w:sz w:val="20"/>
    </w:rPr>
  </w:style>
  <w:style w:type="paragraph" w:styleId="Heading6">
    <w:name w:val="heading 6"/>
    <w:basedOn w:val="HeadingBase"/>
    <w:next w:val="Normal"/>
    <w:link w:val="Heading6Char"/>
    <w:qFormat/>
    <w:rsid w:val="00DD14A7"/>
    <w:pPr>
      <w:spacing w:before="60"/>
      <w:outlineLvl w:val="5"/>
    </w:pPr>
    <w:rPr>
      <w:color w:val="918585"/>
      <w:sz w:val="20"/>
    </w:rPr>
  </w:style>
  <w:style w:type="paragraph" w:styleId="Heading7">
    <w:name w:val="heading 7"/>
    <w:basedOn w:val="Normal"/>
    <w:next w:val="Normal"/>
    <w:link w:val="Heading7Char"/>
    <w:qFormat/>
    <w:rsid w:val="00DD14A7"/>
    <w:pPr>
      <w:ind w:left="720"/>
      <w:outlineLvl w:val="6"/>
    </w:pPr>
    <w:rPr>
      <w:i/>
    </w:rPr>
  </w:style>
  <w:style w:type="paragraph" w:styleId="Heading8">
    <w:name w:val="heading 8"/>
    <w:basedOn w:val="Normal"/>
    <w:next w:val="Normal"/>
    <w:link w:val="Heading8Char"/>
    <w:qFormat/>
    <w:rsid w:val="00DD14A7"/>
    <w:pPr>
      <w:ind w:left="720"/>
      <w:outlineLvl w:val="7"/>
    </w:pPr>
    <w:rPr>
      <w:i/>
    </w:rPr>
  </w:style>
  <w:style w:type="paragraph" w:styleId="Heading9">
    <w:name w:val="heading 9"/>
    <w:basedOn w:val="Normal"/>
    <w:next w:val="Normal"/>
    <w:link w:val="Heading9Char"/>
    <w:qFormat/>
    <w:rsid w:val="00DD14A7"/>
    <w:pPr>
      <w:ind w:left="720"/>
      <w:outlineLvl w:val="8"/>
    </w:pPr>
    <w:rPr>
      <w:i/>
    </w:rPr>
  </w:style>
  <w:style w:type="character" w:default="1" w:styleId="DefaultParagraphFont">
    <w:name w:val="Default Paragraph Font"/>
    <w:uiPriority w:val="1"/>
    <w:unhideWhenUsed/>
    <w:rsid w:val="00DD1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4A7"/>
  </w:style>
  <w:style w:type="character" w:customStyle="1" w:styleId="Heading1Char">
    <w:name w:val="Heading 1 Char"/>
    <w:basedOn w:val="DefaultParagraphFont"/>
    <w:link w:val="Heading1"/>
    <w:rsid w:val="00DD14A7"/>
    <w:rPr>
      <w:rFonts w:ascii="Times New Roman" w:eastAsia="Times New Roman" w:hAnsi="Times New Roman" w:cs="Times New Roman"/>
      <w:b/>
      <w:sz w:val="32"/>
      <w:szCs w:val="20"/>
      <w:lang w:eastAsia="en-US"/>
    </w:rPr>
  </w:style>
  <w:style w:type="paragraph" w:styleId="BodyText">
    <w:name w:val="Body Text"/>
    <w:basedOn w:val="Normal"/>
    <w:link w:val="BodyTextChar"/>
    <w:rsid w:val="00DD14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4A7"/>
    <w:rPr>
      <w:rFonts w:ascii="Times New Roman" w:eastAsia="Times New Roman" w:hAnsi="Times New Roman" w:cs="Times New Roman"/>
      <w:sz w:val="24"/>
      <w:lang w:val="en-US" w:eastAsia="en-US"/>
    </w:rPr>
  </w:style>
  <w:style w:type="paragraph" w:styleId="Footer">
    <w:name w:val="footer"/>
    <w:basedOn w:val="Normal"/>
    <w:link w:val="FooterChar"/>
    <w:rsid w:val="00DD1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4A7"/>
    <w:rPr>
      <w:rFonts w:ascii="Times New Roman" w:eastAsia="Times New Roman" w:hAnsi="Times New Roman" w:cs="Times New Roman"/>
      <w:sz w:val="16"/>
      <w:lang w:val="en-US" w:eastAsia="en-US"/>
    </w:rPr>
  </w:style>
  <w:style w:type="paragraph" w:styleId="ListBullet">
    <w:name w:val="List Bullet"/>
    <w:basedOn w:val="List"/>
    <w:rsid w:val="00DD14A7"/>
    <w:pPr>
      <w:numPr>
        <w:numId w:val="13"/>
      </w:numPr>
      <w:tabs>
        <w:tab w:val="clear" w:pos="340"/>
      </w:tabs>
      <w:spacing w:before="40" w:after="40"/>
    </w:pPr>
  </w:style>
  <w:style w:type="character" w:customStyle="1" w:styleId="SpecialBold">
    <w:name w:val="Special Bold"/>
    <w:basedOn w:val="DefaultParagraphFont"/>
    <w:rsid w:val="00DD14A7"/>
    <w:rPr>
      <w:b/>
      <w:spacing w:val="0"/>
    </w:rPr>
  </w:style>
  <w:style w:type="paragraph" w:styleId="ListBullet2">
    <w:name w:val="List Bullet 2"/>
    <w:basedOn w:val="List2"/>
    <w:rsid w:val="00DD14A7"/>
    <w:pPr>
      <w:numPr>
        <w:numId w:val="14"/>
      </w:numPr>
      <w:tabs>
        <w:tab w:val="clear" w:pos="680"/>
      </w:tabs>
    </w:pPr>
  </w:style>
  <w:style w:type="paragraph" w:styleId="Header">
    <w:name w:val="header"/>
    <w:basedOn w:val="Normal"/>
    <w:link w:val="HeaderChar"/>
    <w:rsid w:val="00DD1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4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14A7"/>
    <w:rPr>
      <w:i/>
    </w:rPr>
  </w:style>
  <w:style w:type="paragraph" w:customStyle="1" w:styleId="SuperHeading">
    <w:name w:val="SuperHeading"/>
    <w:basedOn w:val="Normal"/>
    <w:rsid w:val="00DD14A7"/>
    <w:pPr>
      <w:spacing w:before="240" w:after="120"/>
      <w:outlineLvl w:val="0"/>
    </w:pPr>
    <w:rPr>
      <w:rFonts w:ascii="Times New Roman" w:hAnsi="Times New Roman"/>
      <w:b/>
      <w:sz w:val="28"/>
    </w:rPr>
  </w:style>
  <w:style w:type="paragraph" w:customStyle="1" w:styleId="AllowPageBreak">
    <w:name w:val="AllowPageBreak"/>
    <w:rsid w:val="00DD1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14A7"/>
    <w:rPr>
      <w:b/>
      <w:i/>
      <w:u w:val="none"/>
    </w:rPr>
  </w:style>
  <w:style w:type="character" w:customStyle="1" w:styleId="Heading2Char">
    <w:name w:val="Heading 2 Char"/>
    <w:basedOn w:val="DefaultParagraphFont"/>
    <w:link w:val="Heading2"/>
    <w:rsid w:val="00DD1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4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14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14A7"/>
    <w:rPr>
      <w:rFonts w:ascii="Courier New" w:eastAsia="Times New Roman" w:hAnsi="Courier New" w:cs="Times New Roman"/>
      <w:i/>
      <w:szCs w:val="20"/>
      <w:lang w:val="en-US" w:eastAsia="en-US"/>
    </w:rPr>
  </w:style>
  <w:style w:type="paragraph" w:customStyle="1" w:styleId="HeadingBase">
    <w:name w:val="Heading Base"/>
    <w:rsid w:val="00DD1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4A7"/>
    <w:pPr>
      <w:tabs>
        <w:tab w:val="right" w:leader="dot" w:pos="9072"/>
      </w:tabs>
      <w:ind w:left="567"/>
    </w:pPr>
    <w:rPr>
      <w:szCs w:val="22"/>
    </w:rPr>
  </w:style>
  <w:style w:type="paragraph" w:customStyle="1" w:styleId="TOCBase">
    <w:name w:val="TOC Base"/>
    <w:rsid w:val="00DD1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4A7"/>
    <w:pPr>
      <w:tabs>
        <w:tab w:val="right" w:leader="dot" w:pos="9072"/>
      </w:tabs>
      <w:spacing w:before="40" w:after="40"/>
      <w:ind w:left="284"/>
    </w:pPr>
    <w:rPr>
      <w:rFonts w:ascii="Times New Roman" w:hAnsi="Times New Roman"/>
    </w:rPr>
  </w:style>
  <w:style w:type="paragraph" w:styleId="TOC1">
    <w:name w:val="toc 1"/>
    <w:basedOn w:val="TOCBase"/>
    <w:next w:val="Normal"/>
    <w:rsid w:val="00DD14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4A7"/>
    <w:pPr>
      <w:spacing w:before="5040"/>
      <w:jc w:val="center"/>
    </w:pPr>
    <w:rPr>
      <w:sz w:val="48"/>
      <w:szCs w:val="72"/>
      <w:lang w:val="en-US"/>
    </w:rPr>
  </w:style>
  <w:style w:type="character" w:customStyle="1" w:styleId="TitleChar">
    <w:name w:val="Title Char"/>
    <w:basedOn w:val="DefaultParagraphFont"/>
    <w:link w:val="Title"/>
    <w:rsid w:val="00DD1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4A7"/>
    <w:pPr>
      <w:tabs>
        <w:tab w:val="left" w:pos="3600"/>
        <w:tab w:val="left" w:pos="3958"/>
      </w:tabs>
    </w:pPr>
  </w:style>
  <w:style w:type="paragraph" w:styleId="List">
    <w:name w:val="List"/>
    <w:basedOn w:val="BodyText"/>
    <w:next w:val="BodyText"/>
    <w:rsid w:val="00DD14A7"/>
    <w:pPr>
      <w:tabs>
        <w:tab w:val="left" w:pos="340"/>
      </w:tabs>
      <w:spacing w:before="60" w:after="60"/>
      <w:ind w:left="340" w:hanging="340"/>
    </w:pPr>
  </w:style>
  <w:style w:type="paragraph" w:customStyle="1" w:styleId="Note">
    <w:name w:val="Note"/>
    <w:basedOn w:val="BodyText"/>
    <w:rsid w:val="00DD1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4A7"/>
    <w:pPr>
      <w:framePr w:wrap="auto" w:hAnchor="text" w:y="6049"/>
    </w:pPr>
    <w:rPr>
      <w:color w:val="000000"/>
      <w:sz w:val="40"/>
    </w:rPr>
  </w:style>
  <w:style w:type="paragraph" w:customStyle="1" w:styleId="TOCTitle">
    <w:name w:val="TOCTitle"/>
    <w:basedOn w:val="Heading1"/>
    <w:rsid w:val="00DD14A7"/>
    <w:pPr>
      <w:spacing w:after="240"/>
      <w:jc w:val="center"/>
      <w:outlineLvl w:val="9"/>
    </w:pPr>
    <w:rPr>
      <w:caps/>
    </w:rPr>
  </w:style>
  <w:style w:type="paragraph" w:customStyle="1" w:styleId="Version">
    <w:name w:val="Version"/>
    <w:rsid w:val="00DD1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4A7"/>
    <w:pPr>
      <w:keepNext w:val="0"/>
      <w:tabs>
        <w:tab w:val="right" w:pos="4176"/>
      </w:tabs>
      <w:ind w:left="198" w:hanging="198"/>
    </w:pPr>
    <w:rPr>
      <w:rFonts w:ascii="Garamond" w:hAnsi="Garamond"/>
    </w:rPr>
  </w:style>
  <w:style w:type="paragraph" w:styleId="IndexHeading">
    <w:name w:val="index heading"/>
    <w:basedOn w:val="Normal"/>
    <w:next w:val="Index1"/>
    <w:semiHidden/>
    <w:rsid w:val="00DD14A7"/>
    <w:pPr>
      <w:spacing w:before="120" w:after="120"/>
    </w:pPr>
    <w:rPr>
      <w:rFonts w:ascii="Arial" w:hAnsi="Arial"/>
      <w:b/>
      <w:color w:val="918585"/>
      <w:sz w:val="24"/>
    </w:rPr>
  </w:style>
  <w:style w:type="paragraph" w:customStyle="1" w:styleId="Chapter">
    <w:name w:val="Chapter"/>
    <w:basedOn w:val="Normal"/>
    <w:rsid w:val="00DD14A7"/>
    <w:pPr>
      <w:spacing w:before="240"/>
    </w:pPr>
    <w:rPr>
      <w:rFonts w:ascii="Times New Roman" w:hAnsi="Times New Roman"/>
      <w:smallCaps/>
      <w:spacing w:val="80"/>
      <w:sz w:val="28"/>
    </w:rPr>
  </w:style>
  <w:style w:type="paragraph" w:customStyle="1" w:styleId="InChapter">
    <w:name w:val="InChapter"/>
    <w:basedOn w:val="Heading3"/>
    <w:rsid w:val="00DD14A7"/>
    <w:pPr>
      <w:spacing w:after="240"/>
      <w:outlineLvl w:val="9"/>
    </w:pPr>
    <w:rPr>
      <w:noProof/>
    </w:rPr>
  </w:style>
  <w:style w:type="paragraph" w:styleId="Index2">
    <w:name w:val="index 2"/>
    <w:basedOn w:val="Normal"/>
    <w:next w:val="Normal"/>
    <w:semiHidden/>
    <w:rsid w:val="00DD14A7"/>
    <w:pPr>
      <w:tabs>
        <w:tab w:val="right" w:pos="4176"/>
      </w:tabs>
      <w:ind w:left="568" w:hanging="284"/>
    </w:pPr>
    <w:rPr>
      <w:rFonts w:ascii="Garamond" w:hAnsi="Garamond"/>
    </w:rPr>
  </w:style>
  <w:style w:type="paragraph" w:customStyle="1" w:styleId="Byline">
    <w:name w:val="Byline"/>
    <w:rsid w:val="00DD1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4A7"/>
    <w:pPr>
      <w:tabs>
        <w:tab w:val="clear" w:pos="3600"/>
        <w:tab w:val="clear" w:pos="3958"/>
      </w:tabs>
      <w:jc w:val="right"/>
    </w:pPr>
  </w:style>
  <w:style w:type="paragraph" w:styleId="Caption">
    <w:name w:val="caption"/>
    <w:basedOn w:val="BodyText"/>
    <w:next w:val="Normal"/>
    <w:qFormat/>
    <w:rsid w:val="00DD14A7"/>
    <w:pPr>
      <w:framePr w:w="2268" w:hSpace="181" w:vSpace="181" w:wrap="around" w:vAnchor="text" w:hAnchor="page" w:x="1135" w:y="285" w:anchorLock="1"/>
    </w:pPr>
    <w:rPr>
      <w:i/>
    </w:rPr>
  </w:style>
  <w:style w:type="paragraph" w:customStyle="1" w:styleId="MiniTOCTitle">
    <w:name w:val="MiniTOCTitle"/>
    <w:basedOn w:val="Heading4"/>
    <w:rsid w:val="00DD14A7"/>
    <w:pPr>
      <w:spacing w:before="240"/>
      <w:outlineLvl w:val="9"/>
    </w:pPr>
    <w:rPr>
      <w:noProof/>
      <w:sz w:val="24"/>
    </w:rPr>
  </w:style>
  <w:style w:type="paragraph" w:customStyle="1" w:styleId="MiniTOCItem">
    <w:name w:val="MiniTOCItem"/>
    <w:basedOn w:val="ListBullet"/>
    <w:rsid w:val="00DD14A7"/>
    <w:pPr>
      <w:numPr>
        <w:numId w:val="0"/>
      </w:numPr>
      <w:tabs>
        <w:tab w:val="right" w:leader="dot" w:pos="6521"/>
      </w:tabs>
      <w:spacing w:before="0" w:after="0"/>
    </w:pPr>
  </w:style>
  <w:style w:type="paragraph" w:customStyle="1" w:styleId="TOFTitle">
    <w:name w:val="TOFTitle"/>
    <w:basedOn w:val="TOCTitle"/>
    <w:rsid w:val="00DD14A7"/>
  </w:style>
  <w:style w:type="paragraph" w:styleId="TableofFigures">
    <w:name w:val="table of figures"/>
    <w:basedOn w:val="Normal"/>
    <w:next w:val="Normal"/>
    <w:semiHidden/>
    <w:rsid w:val="00DD14A7"/>
    <w:pPr>
      <w:tabs>
        <w:tab w:val="right" w:leader="dot" w:pos="9072"/>
      </w:tabs>
      <w:ind w:left="970" w:hanging="403"/>
    </w:pPr>
    <w:rPr>
      <w:rFonts w:ascii="Times New Roman" w:hAnsi="Times New Roman"/>
      <w:b/>
    </w:rPr>
  </w:style>
  <w:style w:type="paragraph" w:styleId="ListNumber">
    <w:name w:val="List Number"/>
    <w:basedOn w:val="List"/>
    <w:rsid w:val="00DD14A7"/>
    <w:pPr>
      <w:numPr>
        <w:numId w:val="11"/>
      </w:numPr>
    </w:pPr>
  </w:style>
  <w:style w:type="character" w:customStyle="1" w:styleId="WingdingSymbols">
    <w:name w:val="Wingding Symbols"/>
    <w:rsid w:val="00DD14A7"/>
    <w:rPr>
      <w:rFonts w:ascii="Wingdings" w:hAnsi="Wingdings"/>
    </w:rPr>
  </w:style>
  <w:style w:type="paragraph" w:customStyle="1" w:styleId="TableHeading">
    <w:name w:val="Table Heading"/>
    <w:basedOn w:val="HeadingBase"/>
    <w:rsid w:val="00DD14A7"/>
    <w:pPr>
      <w:keepLines/>
      <w:pBdr>
        <w:bottom w:val="single" w:sz="6" w:space="1" w:color="918585"/>
      </w:pBdr>
      <w:spacing w:before="240"/>
    </w:pPr>
  </w:style>
  <w:style w:type="character" w:customStyle="1" w:styleId="HotSpot">
    <w:name w:val="HotSpot"/>
    <w:rsid w:val="00DD14A7"/>
    <w:rPr>
      <w:color w:val="0033CC"/>
      <w:u w:val="none"/>
    </w:rPr>
  </w:style>
  <w:style w:type="paragraph" w:customStyle="1" w:styleId="BodyTextRight">
    <w:name w:val="Body Text Right"/>
    <w:basedOn w:val="BodyText"/>
    <w:rsid w:val="00DD14A7"/>
    <w:pPr>
      <w:spacing w:before="0" w:after="0"/>
      <w:jc w:val="right"/>
    </w:pPr>
  </w:style>
  <w:style w:type="paragraph" w:styleId="Index3">
    <w:name w:val="index 3"/>
    <w:basedOn w:val="ListNumber2"/>
    <w:next w:val="Normal"/>
    <w:semiHidden/>
    <w:rsid w:val="00DD14A7"/>
    <w:pPr>
      <w:numPr>
        <w:numId w:val="0"/>
      </w:numPr>
      <w:tabs>
        <w:tab w:val="right" w:leader="dot" w:pos="4176"/>
      </w:tabs>
    </w:pPr>
  </w:style>
  <w:style w:type="paragraph" w:styleId="ListNumber2">
    <w:name w:val="List Number 2"/>
    <w:basedOn w:val="List2"/>
    <w:rsid w:val="00DD14A7"/>
    <w:pPr>
      <w:numPr>
        <w:numId w:val="10"/>
      </w:numPr>
      <w:tabs>
        <w:tab w:val="clear" w:pos="1060"/>
      </w:tabs>
    </w:pPr>
  </w:style>
  <w:style w:type="paragraph" w:customStyle="1" w:styleId="MarginNote">
    <w:name w:val="Margin Note"/>
    <w:basedOn w:val="BodyText"/>
    <w:rsid w:val="00DD1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4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14A7"/>
    <w:rPr>
      <w:sz w:val="32"/>
    </w:rPr>
  </w:style>
  <w:style w:type="paragraph" w:customStyle="1" w:styleId="HeadingProcedure">
    <w:name w:val="Heading Procedure"/>
    <w:basedOn w:val="HeadingBase"/>
    <w:next w:val="Normal"/>
    <w:rsid w:val="00DD14A7"/>
    <w:pPr>
      <w:tabs>
        <w:tab w:val="left" w:pos="0"/>
      </w:tabs>
      <w:spacing w:before="120" w:after="60"/>
    </w:pPr>
    <w:rPr>
      <w:i/>
      <w:color w:val="918585"/>
      <w:sz w:val="22"/>
    </w:rPr>
  </w:style>
  <w:style w:type="paragraph" w:customStyle="1" w:styleId="TableBodyText">
    <w:name w:val="Table Body Text"/>
    <w:basedOn w:val="BodyText"/>
    <w:rsid w:val="00DD14A7"/>
    <w:pPr>
      <w:spacing w:before="60" w:after="60"/>
    </w:pPr>
  </w:style>
  <w:style w:type="paragraph" w:styleId="ListContinue">
    <w:name w:val="List Continue"/>
    <w:basedOn w:val="List"/>
    <w:rsid w:val="00DD14A7"/>
    <w:pPr>
      <w:ind w:firstLine="0"/>
    </w:pPr>
  </w:style>
  <w:style w:type="paragraph" w:customStyle="1" w:styleId="ListNote">
    <w:name w:val="List Note"/>
    <w:basedOn w:val="List"/>
    <w:rsid w:val="00DD14A7"/>
    <w:pPr>
      <w:pBdr>
        <w:top w:val="single" w:sz="6" w:space="2" w:color="918585"/>
        <w:bottom w:val="single" w:sz="6" w:space="2" w:color="918585"/>
      </w:pBdr>
      <w:tabs>
        <w:tab w:val="left" w:pos="1021"/>
      </w:tabs>
      <w:ind w:firstLine="0"/>
    </w:pPr>
  </w:style>
  <w:style w:type="paragraph" w:customStyle="1" w:styleId="Warning">
    <w:name w:val="Warning"/>
    <w:basedOn w:val="BodyText"/>
    <w:rsid w:val="00DD14A7"/>
    <w:pPr>
      <w:shd w:val="clear" w:color="auto" w:fill="D9D9D9"/>
      <w:tabs>
        <w:tab w:val="left" w:pos="992"/>
      </w:tabs>
      <w:ind w:left="119" w:right="119"/>
    </w:pPr>
    <w:rPr>
      <w:sz w:val="20"/>
    </w:rPr>
  </w:style>
  <w:style w:type="paragraph" w:customStyle="1" w:styleId="MarginIcons">
    <w:name w:val="Margin Icons"/>
    <w:basedOn w:val="BodyText"/>
    <w:rsid w:val="00DD1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4A7"/>
    <w:rPr>
      <w:rFonts w:ascii="Courier New" w:hAnsi="Courier New"/>
    </w:rPr>
  </w:style>
  <w:style w:type="paragraph" w:customStyle="1" w:styleId="NoteBullet">
    <w:name w:val="Note Bullet"/>
    <w:basedOn w:val="Note"/>
    <w:rsid w:val="00DD14A7"/>
    <w:pPr>
      <w:tabs>
        <w:tab w:val="clear" w:pos="680"/>
      </w:tabs>
      <w:spacing w:before="60" w:after="60"/>
    </w:pPr>
  </w:style>
  <w:style w:type="paragraph" w:customStyle="1" w:styleId="SubHeading2">
    <w:name w:val="SubHeading2"/>
    <w:basedOn w:val="HeadingBase"/>
    <w:rsid w:val="00DD14A7"/>
    <w:pPr>
      <w:spacing w:before="240" w:after="60"/>
    </w:pPr>
    <w:rPr>
      <w:sz w:val="20"/>
    </w:rPr>
  </w:style>
  <w:style w:type="paragraph" w:customStyle="1" w:styleId="SubHeading1">
    <w:name w:val="SubHeading1"/>
    <w:basedOn w:val="HeadingBase"/>
    <w:rsid w:val="00DD14A7"/>
    <w:pPr>
      <w:spacing w:before="240" w:after="60"/>
    </w:pPr>
    <w:rPr>
      <w:color w:val="918585"/>
      <w:sz w:val="22"/>
    </w:rPr>
  </w:style>
  <w:style w:type="paragraph" w:customStyle="1" w:styleId="SideHeading">
    <w:name w:val="Side Heading"/>
    <w:basedOn w:val="HeadingBase"/>
    <w:rsid w:val="00DD1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4A7"/>
    <w:pPr>
      <w:numPr>
        <w:numId w:val="12"/>
      </w:numPr>
    </w:pPr>
  </w:style>
  <w:style w:type="paragraph" w:styleId="PlainText">
    <w:name w:val="Plain Text"/>
    <w:basedOn w:val="Normal"/>
    <w:link w:val="PlainTextChar"/>
    <w:rsid w:val="00DD14A7"/>
    <w:rPr>
      <w:sz w:val="20"/>
    </w:rPr>
  </w:style>
  <w:style w:type="character" w:customStyle="1" w:styleId="PlainTextChar">
    <w:name w:val="Plain Text Char"/>
    <w:basedOn w:val="DefaultParagraphFont"/>
    <w:link w:val="PlainText"/>
    <w:rsid w:val="00DD14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14A7"/>
    <w:rPr>
      <w:b/>
      <w:smallCaps/>
    </w:rPr>
  </w:style>
  <w:style w:type="paragraph" w:customStyle="1" w:styleId="TableListNumber">
    <w:name w:val="Table List Number"/>
    <w:basedOn w:val="ListNumber"/>
    <w:rsid w:val="00DD14A7"/>
    <w:pPr>
      <w:numPr>
        <w:numId w:val="0"/>
      </w:numPr>
    </w:pPr>
  </w:style>
  <w:style w:type="paragraph" w:styleId="TOC4">
    <w:name w:val="toc 4"/>
    <w:basedOn w:val="TOCBase"/>
    <w:next w:val="Normal"/>
    <w:semiHidden/>
    <w:rsid w:val="00DD14A7"/>
    <w:pPr>
      <w:tabs>
        <w:tab w:val="right" w:leader="dot" w:pos="9071"/>
      </w:tabs>
      <w:ind w:left="1701"/>
    </w:pPr>
  </w:style>
  <w:style w:type="paragraph" w:customStyle="1" w:styleId="ListAlpha">
    <w:name w:val="List Alpha"/>
    <w:basedOn w:val="List"/>
    <w:rsid w:val="00DD14A7"/>
    <w:pPr>
      <w:numPr>
        <w:numId w:val="9"/>
      </w:numPr>
    </w:pPr>
  </w:style>
  <w:style w:type="paragraph" w:customStyle="1" w:styleId="ListAlpha2">
    <w:name w:val="List Alpha 2"/>
    <w:basedOn w:val="List2"/>
    <w:rsid w:val="00DD14A7"/>
    <w:pPr>
      <w:numPr>
        <w:numId w:val="8"/>
      </w:numPr>
    </w:pPr>
  </w:style>
  <w:style w:type="paragraph" w:styleId="List2">
    <w:name w:val="List 2"/>
    <w:basedOn w:val="BodyText"/>
    <w:rsid w:val="00DD14A7"/>
    <w:pPr>
      <w:tabs>
        <w:tab w:val="left" w:pos="680"/>
      </w:tabs>
      <w:spacing w:before="60" w:after="60"/>
      <w:ind w:left="680" w:hanging="340"/>
    </w:pPr>
  </w:style>
  <w:style w:type="paragraph" w:styleId="List3">
    <w:name w:val="List 3"/>
    <w:basedOn w:val="BodyText"/>
    <w:rsid w:val="00DD14A7"/>
    <w:pPr>
      <w:tabs>
        <w:tab w:val="left" w:pos="1021"/>
      </w:tabs>
      <w:spacing w:before="60" w:after="60"/>
      <w:ind w:left="1020" w:hanging="340"/>
    </w:pPr>
  </w:style>
  <w:style w:type="paragraph" w:styleId="List4">
    <w:name w:val="List 4"/>
    <w:basedOn w:val="BodyText"/>
    <w:rsid w:val="00DD14A7"/>
    <w:pPr>
      <w:tabs>
        <w:tab w:val="left" w:pos="1361"/>
      </w:tabs>
      <w:spacing w:before="60" w:after="60"/>
      <w:ind w:left="1361" w:hanging="340"/>
    </w:pPr>
  </w:style>
  <w:style w:type="paragraph" w:styleId="List5">
    <w:name w:val="List 5"/>
    <w:basedOn w:val="BodyText"/>
    <w:rsid w:val="00DD14A7"/>
    <w:pPr>
      <w:tabs>
        <w:tab w:val="left" w:pos="1701"/>
      </w:tabs>
      <w:spacing w:before="60" w:after="60"/>
      <w:ind w:left="1701" w:hanging="340"/>
    </w:pPr>
  </w:style>
  <w:style w:type="paragraph" w:styleId="ListBullet3">
    <w:name w:val="List Bullet 3"/>
    <w:basedOn w:val="List3"/>
    <w:rsid w:val="00DD14A7"/>
    <w:pPr>
      <w:numPr>
        <w:numId w:val="15"/>
      </w:numPr>
      <w:tabs>
        <w:tab w:val="clear" w:pos="1021"/>
      </w:tabs>
      <w:ind w:left="1037" w:hanging="357"/>
    </w:pPr>
  </w:style>
  <w:style w:type="paragraph" w:styleId="ListBullet4">
    <w:name w:val="List Bullet 4"/>
    <w:basedOn w:val="List4"/>
    <w:rsid w:val="00DD14A7"/>
    <w:pPr>
      <w:numPr>
        <w:numId w:val="3"/>
      </w:numPr>
    </w:pPr>
  </w:style>
  <w:style w:type="paragraph" w:styleId="ListBullet5">
    <w:name w:val="List Bullet 5"/>
    <w:basedOn w:val="List5"/>
    <w:rsid w:val="00DD14A7"/>
    <w:pPr>
      <w:numPr>
        <w:numId w:val="4"/>
      </w:numPr>
    </w:pPr>
  </w:style>
  <w:style w:type="paragraph" w:styleId="ListContinue2">
    <w:name w:val="List Continue 2"/>
    <w:basedOn w:val="List2"/>
    <w:rsid w:val="00DD14A7"/>
    <w:pPr>
      <w:ind w:firstLine="0"/>
    </w:pPr>
  </w:style>
  <w:style w:type="paragraph" w:styleId="ListContinue3">
    <w:name w:val="List Continue 3"/>
    <w:basedOn w:val="List3"/>
    <w:rsid w:val="00DD14A7"/>
    <w:pPr>
      <w:ind w:left="1021" w:firstLine="0"/>
    </w:pPr>
  </w:style>
  <w:style w:type="paragraph" w:styleId="ListContinue4">
    <w:name w:val="List Continue 4"/>
    <w:basedOn w:val="List4"/>
    <w:rsid w:val="00DD14A7"/>
    <w:pPr>
      <w:ind w:firstLine="0"/>
    </w:pPr>
  </w:style>
  <w:style w:type="paragraph" w:styleId="ListContinue5">
    <w:name w:val="List Continue 5"/>
    <w:basedOn w:val="List5"/>
    <w:rsid w:val="00DD14A7"/>
    <w:pPr>
      <w:ind w:firstLine="0"/>
    </w:pPr>
  </w:style>
  <w:style w:type="paragraph" w:styleId="ListNumber3">
    <w:name w:val="List Number 3"/>
    <w:basedOn w:val="List3"/>
    <w:rsid w:val="00DD14A7"/>
    <w:pPr>
      <w:numPr>
        <w:numId w:val="5"/>
      </w:numPr>
    </w:pPr>
  </w:style>
  <w:style w:type="paragraph" w:styleId="ListNumber4">
    <w:name w:val="List Number 4"/>
    <w:basedOn w:val="List4"/>
    <w:rsid w:val="00DD14A7"/>
    <w:pPr>
      <w:numPr>
        <w:numId w:val="6"/>
      </w:numPr>
    </w:pPr>
  </w:style>
  <w:style w:type="paragraph" w:styleId="ListNumber5">
    <w:name w:val="List Number 5"/>
    <w:basedOn w:val="List5"/>
    <w:rsid w:val="00DD14A7"/>
    <w:pPr>
      <w:numPr>
        <w:numId w:val="7"/>
      </w:numPr>
    </w:pPr>
  </w:style>
  <w:style w:type="paragraph" w:styleId="BlockText">
    <w:name w:val="Block Text"/>
    <w:basedOn w:val="Normal"/>
    <w:rsid w:val="00DD14A7"/>
    <w:pPr>
      <w:spacing w:after="120"/>
      <w:ind w:left="1440" w:right="1440"/>
    </w:pPr>
  </w:style>
  <w:style w:type="character" w:customStyle="1" w:styleId="Subscript">
    <w:name w:val="Subscript"/>
    <w:basedOn w:val="DefaultParagraphFont"/>
    <w:rsid w:val="00DD14A7"/>
    <w:rPr>
      <w:sz w:val="16"/>
      <w:vertAlign w:val="subscript"/>
    </w:rPr>
  </w:style>
  <w:style w:type="character" w:customStyle="1" w:styleId="Superscript">
    <w:name w:val="Superscript"/>
    <w:basedOn w:val="DefaultParagraphFont"/>
    <w:rsid w:val="00DD14A7"/>
    <w:rPr>
      <w:sz w:val="16"/>
      <w:vertAlign w:val="superscript"/>
    </w:rPr>
  </w:style>
  <w:style w:type="character" w:customStyle="1" w:styleId="Symbols">
    <w:name w:val="Symbols"/>
    <w:basedOn w:val="DefaultParagraphFont"/>
    <w:rsid w:val="00DD14A7"/>
    <w:rPr>
      <w:rFonts w:ascii="Symbol" w:hAnsi="Symbol"/>
    </w:rPr>
  </w:style>
  <w:style w:type="character" w:customStyle="1" w:styleId="MenuOptions">
    <w:name w:val="Menu Options"/>
    <w:basedOn w:val="DefaultParagraphFont"/>
    <w:rsid w:val="00DD14A7"/>
    <w:rPr>
      <w:rFonts w:ascii="Arial Narrow" w:hAnsi="Arial Narrow"/>
      <w:smallCaps/>
    </w:rPr>
  </w:style>
  <w:style w:type="character" w:customStyle="1" w:styleId="Buttons">
    <w:name w:val="Buttons"/>
    <w:basedOn w:val="DefaultParagraphFont"/>
    <w:rsid w:val="00DD14A7"/>
    <w:rPr>
      <w:b/>
    </w:rPr>
  </w:style>
  <w:style w:type="character" w:customStyle="1" w:styleId="Underlined">
    <w:name w:val="Underlined"/>
    <w:basedOn w:val="DefaultParagraphFont"/>
    <w:rsid w:val="00DD14A7"/>
    <w:rPr>
      <w:u w:val="single"/>
    </w:rPr>
  </w:style>
  <w:style w:type="paragraph" w:customStyle="1" w:styleId="TableBodyTextRight">
    <w:name w:val="Table Body Text Right"/>
    <w:basedOn w:val="TableBodyText"/>
    <w:rsid w:val="00DD14A7"/>
    <w:pPr>
      <w:widowControl w:val="0"/>
      <w:autoSpaceDE w:val="0"/>
      <w:autoSpaceDN w:val="0"/>
      <w:adjustRightInd w:val="0"/>
      <w:jc w:val="right"/>
    </w:pPr>
    <w:rPr>
      <w:rFonts w:cs="Arial"/>
      <w:szCs w:val="18"/>
    </w:rPr>
  </w:style>
  <w:style w:type="paragraph" w:customStyle="1" w:styleId="CopyrightText">
    <w:name w:val="Copyright Text"/>
    <w:basedOn w:val="BodyText"/>
    <w:rsid w:val="00DD14A7"/>
    <w:rPr>
      <w:sz w:val="18"/>
    </w:rPr>
  </w:style>
  <w:style w:type="paragraph" w:customStyle="1" w:styleId="BodySmallRight">
    <w:name w:val="Body Small Right"/>
    <w:basedOn w:val="BodyTextRight"/>
    <w:rsid w:val="00DD14A7"/>
    <w:rPr>
      <w:sz w:val="18"/>
      <w:szCs w:val="18"/>
    </w:rPr>
  </w:style>
  <w:style w:type="paragraph" w:customStyle="1" w:styleId="MarginEdition">
    <w:name w:val="Margin Edition"/>
    <w:basedOn w:val="MarginNote"/>
    <w:rsid w:val="00DD14A7"/>
    <w:pPr>
      <w:spacing w:before="0" w:after="0"/>
    </w:pPr>
    <w:rPr>
      <w:rFonts w:ascii="Times New Roman" w:hAnsi="Times New Roman"/>
      <w:color w:val="999999"/>
    </w:rPr>
  </w:style>
  <w:style w:type="paragraph" w:customStyle="1" w:styleId="Spacer">
    <w:name w:val="Spacer"/>
    <w:basedOn w:val="Normal"/>
    <w:rsid w:val="00DD14A7"/>
    <w:rPr>
      <w:sz w:val="2"/>
      <w:szCs w:val="2"/>
    </w:rPr>
  </w:style>
  <w:style w:type="character" w:customStyle="1" w:styleId="Small">
    <w:name w:val="Small"/>
    <w:basedOn w:val="DefaultParagraphFont"/>
    <w:rsid w:val="00DD14A7"/>
    <w:rPr>
      <w:sz w:val="16"/>
    </w:rPr>
  </w:style>
  <w:style w:type="paragraph" w:customStyle="1" w:styleId="WideTable">
    <w:name w:val="Wide Table"/>
    <w:basedOn w:val="Normal"/>
    <w:rsid w:val="00DD14A7"/>
    <w:pPr>
      <w:ind w:left="-1418"/>
    </w:pPr>
    <w:rPr>
      <w:sz w:val="2"/>
      <w:szCs w:val="2"/>
    </w:rPr>
  </w:style>
  <w:style w:type="character" w:styleId="PageNumber">
    <w:name w:val="page number"/>
    <w:basedOn w:val="DefaultParagraphFont"/>
    <w:rsid w:val="00DD14A7"/>
  </w:style>
  <w:style w:type="paragraph" w:styleId="Quote">
    <w:name w:val="Quote"/>
    <w:basedOn w:val="Heading1"/>
    <w:link w:val="QuoteChar"/>
    <w:qFormat/>
    <w:rsid w:val="00DD14A7"/>
    <w:rPr>
      <w:b w:val="0"/>
      <w:sz w:val="72"/>
      <w:szCs w:val="72"/>
      <w:lang w:val="en-NZ"/>
    </w:rPr>
  </w:style>
  <w:style w:type="character" w:customStyle="1" w:styleId="QuoteChar">
    <w:name w:val="Quote Char"/>
    <w:basedOn w:val="DefaultParagraphFont"/>
    <w:link w:val="Quote"/>
    <w:rsid w:val="00DD1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4A7"/>
    <w:pPr>
      <w:pageBreakBefore/>
    </w:pPr>
  </w:style>
  <w:style w:type="paragraph" w:customStyle="1" w:styleId="Border">
    <w:name w:val="Border"/>
    <w:basedOn w:val="Normal"/>
    <w:qFormat/>
    <w:rsid w:val="00DD1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4A7"/>
    <w:rPr>
      <w:b/>
      <w:bCs/>
      <w:i/>
      <w:iCs/>
      <w:color w:val="auto"/>
    </w:rPr>
  </w:style>
  <w:style w:type="paragraph" w:styleId="IntenseQuote">
    <w:name w:val="Intense Quote"/>
    <w:basedOn w:val="Normal"/>
    <w:next w:val="Normal"/>
    <w:link w:val="IntenseQuoteChar"/>
    <w:uiPriority w:val="30"/>
    <w:qFormat/>
    <w:rsid w:val="00DD1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4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14A7"/>
    <w:rPr>
      <w:smallCaps/>
      <w:color w:val="auto"/>
      <w:u w:val="single"/>
    </w:rPr>
  </w:style>
  <w:style w:type="character" w:styleId="IntenseReference">
    <w:name w:val="Intense Reference"/>
    <w:basedOn w:val="DefaultParagraphFont"/>
    <w:uiPriority w:val="32"/>
    <w:qFormat/>
    <w:rsid w:val="00DD14A7"/>
    <w:rPr>
      <w:b/>
      <w:bCs/>
      <w:smallCaps/>
      <w:color w:val="auto"/>
      <w:spacing w:val="5"/>
      <w:u w:val="single"/>
    </w:rPr>
  </w:style>
  <w:style w:type="paragraph" w:customStyle="1" w:styleId="2ColumnHeading">
    <w:name w:val="2Column Heading"/>
    <w:basedOn w:val="BodyText"/>
    <w:qFormat/>
    <w:rsid w:val="00DD14A7"/>
    <w:pPr>
      <w:spacing w:after="60"/>
      <w:ind w:left="-2268"/>
    </w:pPr>
    <w:rPr>
      <w:b/>
    </w:rPr>
  </w:style>
  <w:style w:type="paragraph" w:customStyle="1" w:styleId="Heading1TOC">
    <w:name w:val="Heading1 TOC"/>
    <w:basedOn w:val="Normal"/>
    <w:qFormat/>
    <w:rsid w:val="00DD14A7"/>
    <w:pPr>
      <w:spacing w:before="240" w:after="120"/>
    </w:pPr>
    <w:rPr>
      <w:rFonts w:ascii="Times New Roman" w:hAnsi="Times New Roman"/>
      <w:b/>
      <w:sz w:val="32"/>
    </w:rPr>
  </w:style>
  <w:style w:type="paragraph" w:customStyle="1" w:styleId="Heading2TOC">
    <w:name w:val="Heading2 TOC"/>
    <w:basedOn w:val="Normal"/>
    <w:qFormat/>
    <w:rsid w:val="00DD14A7"/>
    <w:pPr>
      <w:spacing w:before="240" w:after="60"/>
    </w:pPr>
    <w:rPr>
      <w:rFonts w:ascii="Times New Roman" w:hAnsi="Times New Roman"/>
      <w:b/>
      <w:sz w:val="28"/>
    </w:rPr>
  </w:style>
  <w:style w:type="character" w:customStyle="1" w:styleId="Underline">
    <w:name w:val="Underline"/>
    <w:basedOn w:val="DefaultParagraphFont"/>
    <w:qFormat/>
    <w:rsid w:val="00DD14A7"/>
    <w:rPr>
      <w:u w:val="single"/>
    </w:rPr>
  </w:style>
  <w:style w:type="paragraph" w:styleId="BalloonText">
    <w:name w:val="Balloon Text"/>
    <w:basedOn w:val="Normal"/>
    <w:link w:val="BalloonTextChar"/>
    <w:rsid w:val="00DD14A7"/>
    <w:rPr>
      <w:rFonts w:ascii="Tahoma" w:hAnsi="Tahoma" w:cs="Tahoma"/>
      <w:sz w:val="16"/>
      <w:szCs w:val="16"/>
    </w:rPr>
  </w:style>
  <w:style w:type="character" w:customStyle="1" w:styleId="BalloonTextChar">
    <w:name w:val="Balloon Text Char"/>
    <w:basedOn w:val="DefaultParagraphFont"/>
    <w:link w:val="BalloonText"/>
    <w:rsid w:val="00DD14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14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4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8398</Characters>
  <Application>Microsoft Office Word</Application>
  <DocSecurity>0</DocSecurity>
  <Lines>297</Lines>
  <Paragraphs>197</Paragraphs>
  <ScaleCrop>false</ScaleCrop>
  <Company>Author-it Software Corporation Ltd.</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CUVACD510A Manage kiln operations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