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FAD" w:rsidP="00DF1FAD">
      <w:pPr>
        <w:pStyle w:val="Title"/>
      </w:pPr>
      <w:r>
        <w:fldChar w:fldCharType="begin"/>
      </w:r>
      <w:r>
        <w:instrText xml:space="preserve"> TITLE   \* MERGEFORMAT </w:instrText>
      </w:r>
      <w:r>
        <w:fldChar w:fldCharType="separate"/>
      </w:r>
      <w:r>
        <w:t>CUVPHI514A Employ colour management in a digital imaging workplace</w:t>
      </w:r>
      <w:r>
        <w:fldChar w:fldCharType="end"/>
      </w:r>
    </w:p>
    <w:p w:rsidR="00DF1FAD" w:rsidP="00DF1FAD">
      <w:pPr>
        <w:pStyle w:val="Version"/>
        <w:sectPr w:rsidSect="002A2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3D5" w:rsidP="002A23D5">
      <w:pPr>
        <w:pStyle w:val="SuperHeading"/>
      </w:pPr>
      <w:r w:rsidRPr="002A23D5">
        <w:t>CUVPHI514A Employ colour management in a digital imaging workplace</w:t>
      </w:r>
    </w:p>
    <w:p w:rsidR="00000000" w:rsidRPr="002A23D5" w:rsidP="002A23D5">
      <w:pPr>
        <w:pStyle w:val="Heading1"/>
      </w:pPr>
      <w:bookmarkStart w:id="1" w:name="O_270439"/>
      <w:bookmarkEnd w:id="1"/>
      <w:r w:rsidRPr="002A23D5">
        <w:t>Modification History</w:t>
      </w:r>
    </w:p>
    <w:p w:rsidR="00000000" w:rsidRPr="002A23D5" w:rsidP="002A23D5">
      <w:pPr>
        <w:pStyle w:val="BodyText"/>
      </w:pPr>
      <w:r w:rsidRPr="002A23D5">
        <w:t>Not Applicable</w:t>
      </w:r>
    </w:p>
    <w:p w:rsidR="00000000" w:rsidRPr="002A23D5" w:rsidP="002A23D5">
      <w:pPr>
        <w:pStyle w:val="AllowPageBreak"/>
      </w:pPr>
    </w:p>
    <w:p w:rsidR="00000000" w:rsidRPr="002A23D5" w:rsidP="002A23D5">
      <w:pPr>
        <w:pStyle w:val="Heading1"/>
      </w:pPr>
      <w:bookmarkStart w:id="2" w:name="O_202908"/>
      <w:bookmarkEnd w:id="2"/>
      <w:r w:rsidRPr="002A23D5">
        <w:t>Unit Descriptor</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This unit describes the performance outcomes, skills and knowledge requi</w:t>
            </w:r>
            <w:r w:rsidRPr="002A23D5">
              <w:t>red to manage colour in a digital imaging workplace.</w:t>
            </w:r>
          </w:p>
          <w:p w:rsidR="00000000" w:rsidRPr="002A23D5" w:rsidP="002A23D5">
            <w:pPr>
              <w:pStyle w:val="BodyText"/>
            </w:pPr>
            <w:r w:rsidRPr="002A23D5">
              <w:t>No licensing, legislative, regulatory or certification requirements apply to this unit at the time of endorsement.</w:t>
            </w:r>
          </w:p>
        </w:tc>
      </w:tr>
    </w:tbl>
    <w:p w:rsidR="00DF1FAD" w:rsidP="002A23D5">
      <w:pPr>
        <w:pStyle w:val="BodyText"/>
      </w:pPr>
    </w:p>
    <w:p w:rsidR="00DF1FAD" w:rsidP="002A23D5">
      <w:pPr>
        <w:pStyle w:val="BodyText"/>
      </w:pPr>
    </w:p>
    <w:p w:rsidR="00000000" w:rsidRPr="002A23D5" w:rsidP="002A23D5">
      <w:pPr>
        <w:pStyle w:val="Heading1"/>
      </w:pPr>
      <w:bookmarkStart w:id="3" w:name="O_202911"/>
      <w:bookmarkEnd w:id="3"/>
      <w:r w:rsidRPr="002A23D5">
        <w:t>Application of the Unit</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This unit applies to any digital imaging industry where digital files are captured, acquired, created, manipulated, integrated, enhanced, output, managed and archived to a variety of media in which colour accuracy is integral.</w:t>
            </w:r>
          </w:p>
          <w:p w:rsidR="00000000" w:rsidRPr="002A23D5" w:rsidP="002A23D5">
            <w:pPr>
              <w:pStyle w:val="BodyText"/>
            </w:pPr>
            <w:r w:rsidRPr="002A23D5">
              <w:t>This unit requires the self-d</w:t>
            </w:r>
            <w:r w:rsidRPr="002A23D5">
              <w:t>irected application of skills and knowledge to research, evaluate, plan, coordinate and manage the accuracy, consistency and integrity of colour in born digital and hybrid (digitised/scanned film or print) workflows.</w:t>
            </w:r>
          </w:p>
          <w:p w:rsidR="00000000" w:rsidRPr="002A23D5" w:rsidP="002A23D5">
            <w:pPr>
              <w:pStyle w:val="BodyText"/>
            </w:pPr>
            <w:r w:rsidRPr="002A23D5">
              <w:t>This work is usually undertaken autonom</w:t>
            </w:r>
            <w:r w:rsidRPr="002A23D5">
              <w:t>ously (with guidance where required).</w:t>
            </w:r>
          </w:p>
        </w:tc>
      </w:tr>
    </w:tbl>
    <w:p w:rsidR="00DF1FAD" w:rsidP="002A23D5">
      <w:pPr>
        <w:pStyle w:val="BodyText"/>
      </w:pPr>
    </w:p>
    <w:p w:rsidR="00DF1FAD" w:rsidP="002A23D5">
      <w:pPr>
        <w:pStyle w:val="BodyText"/>
      </w:pPr>
    </w:p>
    <w:p w:rsidR="00000000" w:rsidRPr="002A23D5" w:rsidP="002A23D5">
      <w:pPr>
        <w:pStyle w:val="Heading1"/>
      </w:pPr>
      <w:bookmarkStart w:id="4" w:name="O_278699"/>
      <w:bookmarkEnd w:id="4"/>
      <w:r w:rsidRPr="002A23D5">
        <w:t>Licensing/Regulatory Information</w:t>
      </w:r>
    </w:p>
    <w:p w:rsidR="00000000" w:rsidRPr="002A23D5" w:rsidP="002A23D5">
      <w:pPr>
        <w:pStyle w:val="BodyText"/>
      </w:pPr>
      <w:r w:rsidRPr="002A23D5">
        <w:t>Refer to Unit Descriptor</w:t>
      </w:r>
    </w:p>
    <w:p w:rsidR="00000000" w:rsidRPr="002A23D5" w:rsidP="002A23D5">
      <w:pPr>
        <w:pStyle w:val="AllowPageBreak"/>
      </w:pPr>
    </w:p>
    <w:p w:rsidR="00000000" w:rsidRPr="002A23D5" w:rsidP="002A23D5">
      <w:pPr>
        <w:pStyle w:val="Heading1"/>
      </w:pPr>
      <w:bookmarkStart w:id="5" w:name="O_202910"/>
      <w:bookmarkEnd w:id="5"/>
      <w:r w:rsidRPr="002A23D5">
        <w:t>Pre-Requisites</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Prerequisite units</w:t>
            </w:r>
            <w:r w:rsidRPr="002A23D5">
              <w:t xml:space="preserve"> </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The following units or demonstrated equivalence are required prior to undertaking this unit:</w:t>
            </w:r>
          </w:p>
          <w:p w:rsidR="00000000" w:rsidRPr="002A23D5" w:rsidP="002A23D5">
            <w:pPr>
              <w:pStyle w:val="ListBullet"/>
            </w:pPr>
            <w:r w:rsidRPr="002A23D5">
              <w:t>CUFDIG303A Produce and prepare photo images</w:t>
            </w:r>
          </w:p>
          <w:p w:rsidR="00000000" w:rsidRPr="002A23D5" w:rsidP="002A23D5">
            <w:pPr>
              <w:pStyle w:val="ListBullet"/>
            </w:pPr>
            <w:r w:rsidRPr="002A23D5">
              <w:t>CUFDIG304A Create visual design components.</w:t>
            </w:r>
          </w:p>
        </w:tc>
      </w:tr>
    </w:tbl>
    <w:p w:rsidR="00DF1FAD" w:rsidP="002A23D5">
      <w:pPr>
        <w:pStyle w:val="BodyText"/>
      </w:pPr>
    </w:p>
    <w:p w:rsidR="00DF1FAD" w:rsidP="002A23D5">
      <w:pPr>
        <w:pStyle w:val="BodyText"/>
      </w:pPr>
    </w:p>
    <w:p w:rsidR="00000000" w:rsidRPr="002A23D5" w:rsidP="002A23D5">
      <w:pPr>
        <w:pStyle w:val="Heading1"/>
      </w:pPr>
      <w:bookmarkStart w:id="6" w:name="O_202909"/>
      <w:bookmarkEnd w:id="6"/>
      <w:r w:rsidRPr="002A23D5">
        <w:t>Employability Skills Information</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This unit contains employability skills.</w:t>
            </w:r>
          </w:p>
        </w:tc>
      </w:tr>
    </w:tbl>
    <w:p w:rsidR="00DF1FAD" w:rsidP="002A23D5">
      <w:pPr>
        <w:pStyle w:val="BodyText"/>
      </w:pPr>
    </w:p>
    <w:p w:rsidR="00DF1FAD" w:rsidP="002A23D5">
      <w:pPr>
        <w:pStyle w:val="BodyText"/>
      </w:pPr>
    </w:p>
    <w:p w:rsidR="00000000" w:rsidRPr="002A23D5" w:rsidP="002A23D5">
      <w:pPr>
        <w:pStyle w:val="Heading1"/>
      </w:pPr>
      <w:bookmarkStart w:id="7" w:name="O_288485"/>
      <w:bookmarkEnd w:id="7"/>
      <w:r w:rsidRPr="002A23D5">
        <w:t>Elements and Performance Criteria Pre-Content</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Performance criteria describe the performance n</w:t>
            </w:r>
            <w:r w:rsidRPr="002A23D5">
              <w:t xml:space="preserve">eeded to demonstrate achievement of the element. Where </w:t>
            </w:r>
            <w:r w:rsidRPr="002A23D5">
              <w:rPr>
                <w:rStyle w:val="BoldandItalics"/>
              </w:rPr>
              <w:t>bold italicised</w:t>
            </w:r>
            <w:r w:rsidRPr="002A23D5">
              <w:t xml:space="preserve"> text is used, further information is detailed in the required skills and knowledge section and the range statement. Assessment of performance is to be consistent with the evidence guide</w:t>
            </w:r>
            <w:r w:rsidRPr="002A23D5">
              <w:t>.</w:t>
            </w:r>
          </w:p>
        </w:tc>
      </w:tr>
    </w:tbl>
    <w:p w:rsidR="00000000" w:rsidRPr="002A23D5" w:rsidP="002A23D5">
      <w:pPr>
        <w:pStyle w:val="BodyText"/>
      </w:pPr>
    </w:p>
    <w:p w:rsidR="00000000" w:rsidRPr="002A23D5" w:rsidP="002A23D5">
      <w:pPr>
        <w:pStyle w:val="AllowPageBreak"/>
      </w:pPr>
    </w:p>
    <w:p w:rsidR="00000000" w:rsidRPr="002A23D5" w:rsidP="002A23D5">
      <w:pPr>
        <w:pStyle w:val="Heading1"/>
      </w:pPr>
      <w:bookmarkStart w:id="8" w:name="O_235152"/>
      <w:bookmarkEnd w:id="8"/>
      <w:r w:rsidRPr="002A23D5">
        <w:t>Elements and Performance Criteria</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PERFORMANCE CRITERIA</w:t>
            </w:r>
          </w:p>
        </w:tc>
      </w:tr>
      <w:tr w:rsidTr="00DF1FA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A23D5">
            <w:pPr>
              <w:pStyle w:val="List2"/>
              <w:rPr>
                <w:lang w:val="en-NZ"/>
              </w:rPr>
            </w:pPr>
            <w:r w:rsidRPr="002A23D5">
              <w:t>1</w:t>
            </w:r>
            <w:r w:rsidRPr="002A23D5">
              <w:tab/>
            </w:r>
            <w:r w:rsidRPr="002A23D5">
              <w:rPr>
                <w:rStyle w:val="SpecialBold"/>
              </w:rPr>
              <w:t>Research history and apply theory of colour in a digital imaging context</w:t>
            </w:r>
            <w:r w:rsidRPr="002A23D5">
              <w:t>.</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List3"/>
            </w:pPr>
            <w:r w:rsidRPr="002A23D5">
              <w:t>1.1</w:t>
            </w:r>
            <w:r w:rsidRPr="002A23D5">
              <w:tab/>
              <w:t xml:space="preserve">Identify </w:t>
            </w:r>
            <w:r w:rsidRPr="002A23D5">
              <w:rPr>
                <w:rStyle w:val="BoldandItalics"/>
              </w:rPr>
              <w:t>colour theories</w:t>
            </w:r>
            <w:r w:rsidRPr="002A23D5">
              <w:t>/</w:t>
            </w:r>
            <w:r w:rsidRPr="002A23D5">
              <w:rPr>
                <w:rStyle w:val="BoldandItalics"/>
              </w:rPr>
              <w:t>theory</w:t>
            </w:r>
            <w:r w:rsidRPr="002A23D5">
              <w:t xml:space="preserve"> as it applies to the </w:t>
            </w:r>
            <w:r w:rsidRPr="002A23D5">
              <w:rPr>
                <w:rStyle w:val="BoldandItalics"/>
              </w:rPr>
              <w:t>digital imaging context</w:t>
            </w:r>
            <w:r w:rsidRPr="002A23D5">
              <w:t xml:space="preserve"> using appropriate </w:t>
            </w:r>
            <w:r w:rsidRPr="002A23D5">
              <w:rPr>
                <w:rStyle w:val="BoldandItalics"/>
              </w:rPr>
              <w:t>sources of information</w:t>
            </w:r>
            <w:r w:rsidRPr="002A23D5">
              <w:t xml:space="preserve"> and </w:t>
            </w:r>
            <w:r w:rsidRPr="002A23D5">
              <w:rPr>
                <w:rStyle w:val="BoldandItalics"/>
              </w:rPr>
              <w:t>standards</w:t>
            </w:r>
            <w:r w:rsidRPr="002A23D5">
              <w:t>.</w:t>
            </w:r>
          </w:p>
          <w:p w:rsidR="00000000" w:rsidRPr="002A23D5" w:rsidP="002A23D5">
            <w:pPr>
              <w:pStyle w:val="List3"/>
            </w:pPr>
            <w:r w:rsidRPr="002A23D5">
              <w:t>1.2</w:t>
            </w:r>
            <w:r w:rsidRPr="002A23D5">
              <w:tab/>
              <w:t xml:space="preserve">Evaluate currency/credibility of information gathered and ensure research scope is sufficiently broad. </w:t>
            </w:r>
          </w:p>
          <w:p w:rsidR="00000000" w:rsidP="002A23D5">
            <w:pPr>
              <w:pStyle w:val="List3"/>
              <w:rPr>
                <w:lang w:val="en-NZ"/>
              </w:rPr>
            </w:pPr>
            <w:r w:rsidRPr="002A23D5">
              <w:t>1.3</w:t>
            </w:r>
            <w:r w:rsidRPr="002A23D5">
              <w:tab/>
              <w:t xml:space="preserve">Examine how colour is created, defined and managed in contemporary </w:t>
            </w:r>
            <w:r w:rsidRPr="002A23D5">
              <w:rPr>
                <w:rStyle w:val="BoldandItalics"/>
              </w:rPr>
              <w:t>digital imaging devi</w:t>
            </w:r>
            <w:r w:rsidRPr="002A23D5">
              <w:rPr>
                <w:rStyle w:val="BoldandItalics"/>
              </w:rPr>
              <w:t>ces</w:t>
            </w:r>
            <w:r w:rsidRPr="002A23D5">
              <w:t>.</w:t>
            </w:r>
          </w:p>
        </w:tc>
      </w:tr>
      <w:tr w:rsidTr="00DF1FA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List3"/>
            </w:pPr>
            <w:r w:rsidRPr="002A23D5">
              <w:t>1.4</w:t>
            </w:r>
            <w:r w:rsidRPr="002A23D5">
              <w:tab/>
              <w:t xml:space="preserve">Investigate the areas of capture, display, output and archive spaces in contemporary digital imaging devices where colour management is critical to the production of a </w:t>
            </w:r>
            <w:r w:rsidRPr="002A23D5">
              <w:rPr>
                <w:rStyle w:val="BoldandItalics"/>
              </w:rPr>
              <w:t>quality product</w:t>
            </w:r>
            <w:r w:rsidRPr="002A23D5">
              <w:t>.</w:t>
            </w:r>
          </w:p>
          <w:p w:rsidR="00000000" w:rsidP="002A23D5">
            <w:pPr>
              <w:pStyle w:val="List3"/>
              <w:rPr>
                <w:lang w:val="en-NZ"/>
              </w:rPr>
            </w:pPr>
            <w:r w:rsidRPr="002A23D5">
              <w:t>1.5</w:t>
            </w:r>
            <w:r w:rsidRPr="002A23D5">
              <w:tab/>
              <w:t>Maintain accurate and comprehensive details of sources o</w:t>
            </w:r>
            <w:r w:rsidRPr="002A23D5">
              <w:t>f information and standards.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A23D5">
            <w:pPr>
              <w:pStyle w:val="List2"/>
              <w:rPr>
                <w:lang w:val="en-NZ"/>
              </w:rPr>
            </w:pPr>
            <w:r w:rsidRPr="002A23D5">
              <w:t>2</w:t>
            </w:r>
            <w:r w:rsidRPr="002A23D5">
              <w:tab/>
            </w:r>
            <w:r w:rsidRPr="002A23D5">
              <w:rPr>
                <w:rStyle w:val="SpecialBold"/>
              </w:rPr>
              <w:t>Identify appropriate colour management systems and strategies and apply to a workplace</w:t>
            </w:r>
            <w:r w:rsidRPr="002A23D5">
              <w:t>.</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List3"/>
            </w:pPr>
            <w:r w:rsidRPr="002A23D5">
              <w:t>2.1</w:t>
            </w:r>
            <w:r w:rsidRPr="002A23D5">
              <w:tab/>
              <w:t xml:space="preserve">Identify and select appropriate </w:t>
            </w:r>
            <w:r w:rsidRPr="002A23D5">
              <w:rPr>
                <w:rStyle w:val="BoldandItalics"/>
              </w:rPr>
              <w:t>colour management systems and strategies</w:t>
            </w:r>
            <w:r w:rsidRPr="002A23D5">
              <w:t xml:space="preserve"> for specific digital imaging devices.</w:t>
            </w:r>
          </w:p>
          <w:p w:rsidR="00000000" w:rsidRPr="002A23D5" w:rsidP="002A23D5">
            <w:pPr>
              <w:pStyle w:val="List3"/>
            </w:pPr>
            <w:r w:rsidRPr="002A23D5">
              <w:t>2.2</w:t>
            </w:r>
            <w:r w:rsidRPr="002A23D5">
              <w:tab/>
            </w:r>
            <w:r w:rsidRPr="002A23D5">
              <w:t>Evaluate suitability of selected colour management systems and strategies in terms of relevance and cost efficiency.</w:t>
            </w:r>
          </w:p>
          <w:p w:rsidR="00000000" w:rsidP="002A23D5">
            <w:pPr>
              <w:pStyle w:val="List3"/>
              <w:rPr>
                <w:lang w:val="en-NZ"/>
              </w:rPr>
            </w:pPr>
            <w:r w:rsidRPr="002A23D5">
              <w:t>2.3</w:t>
            </w:r>
            <w:r w:rsidRPr="002A23D5">
              <w:tab/>
              <w:t>Adopt and adapt selected colour management systems and strategies to digital workplace.</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A23D5">
            <w:pPr>
              <w:pStyle w:val="List2"/>
              <w:rPr>
                <w:lang w:val="en-NZ"/>
              </w:rPr>
            </w:pPr>
            <w:r w:rsidRPr="002A23D5">
              <w:t>3</w:t>
            </w:r>
            <w:r w:rsidRPr="002A23D5">
              <w:tab/>
            </w:r>
            <w:r w:rsidRPr="002A23D5">
              <w:rPr>
                <w:rStyle w:val="SpecialBold"/>
              </w:rPr>
              <w:t>Review and update colour management strat</w:t>
            </w:r>
            <w:r w:rsidRPr="002A23D5">
              <w:rPr>
                <w:rStyle w:val="SpecialBold"/>
              </w:rPr>
              <w:t>egies</w:t>
            </w:r>
            <w:r w:rsidRPr="002A23D5">
              <w:t>.</w:t>
            </w:r>
          </w:p>
        </w:tc>
        <w:tc>
          <w:tcPr>
            <w:tcW w:w="5811" w:type="dxa"/>
            <w:tcBorders>
              <w:top w:val="nil"/>
              <w:left w:val="nil"/>
              <w:bottom w:val="nil"/>
              <w:right w:val="nil"/>
            </w:tcBorders>
            <w:tcMar>
              <w:top w:w="0" w:type="dxa"/>
              <w:left w:w="62" w:type="dxa"/>
              <w:bottom w:w="0" w:type="dxa"/>
              <w:right w:w="62" w:type="dxa"/>
            </w:tcMar>
          </w:tcPr>
          <w:p w:rsidR="00000000" w:rsidRPr="002A23D5" w:rsidP="002A23D5">
            <w:pPr>
              <w:pStyle w:val="List3"/>
            </w:pPr>
            <w:r w:rsidRPr="002A23D5">
              <w:t>3.1</w:t>
            </w:r>
            <w:r w:rsidRPr="002A23D5">
              <w:tab/>
              <w:t>Review performance and assess impact of adapted colour management systems and strategies.</w:t>
            </w:r>
          </w:p>
          <w:p w:rsidR="00000000" w:rsidP="002A23D5">
            <w:pPr>
              <w:pStyle w:val="List3"/>
              <w:rPr>
                <w:lang w:val="en-NZ"/>
              </w:rPr>
            </w:pPr>
            <w:r w:rsidRPr="002A23D5">
              <w:t>3.2</w:t>
            </w:r>
            <w:r w:rsidRPr="002A23D5">
              <w:tab/>
              <w:t>Develop systems to update and respond to future colour management systems and strategies as they arise from emerging technologies and workplace practic</w:t>
            </w:r>
            <w:r w:rsidRPr="002A23D5">
              <w:t>es.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A23D5" w:rsidP="002A23D5">
            <w:pPr>
              <w:pStyle w:val="BodyText"/>
            </w:pPr>
          </w:p>
        </w:tc>
      </w:tr>
    </w:tbl>
    <w:p w:rsidR="00DF1FAD" w:rsidP="002A23D5">
      <w:pPr>
        <w:pStyle w:val="BodyText"/>
      </w:pPr>
    </w:p>
    <w:p w:rsidR="00DF1FAD" w:rsidP="002A23D5">
      <w:pPr>
        <w:pStyle w:val="BodyText"/>
      </w:pPr>
    </w:p>
    <w:p w:rsidR="00000000" w:rsidRPr="002A23D5" w:rsidP="002A23D5">
      <w:pPr>
        <w:pStyle w:val="Heading1"/>
      </w:pPr>
      <w:bookmarkStart w:id="9" w:name="O_259102"/>
      <w:bookmarkEnd w:id="9"/>
      <w:r w:rsidRPr="002A23D5">
        <w:t>Required Skills and Knowledge</w:t>
      </w:r>
    </w:p>
    <w:tbl>
      <w:tblPr>
        <w:tblW w:w="0" w:type="auto"/>
        <w:tblLayout w:type="fixed"/>
        <w:tblCellMar>
          <w:left w:w="62" w:type="dxa"/>
          <w:right w:w="62" w:type="dxa"/>
        </w:tblCellMar>
        <w:tblLook w:val="0000"/>
      </w:tblPr>
      <w:tblGrid>
        <w:gridCol w:w="8505"/>
      </w:tblGrid>
      <w:tr w:rsidTr="00DF1FA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REQUIRED SKILLS AND KNOWLEDGE</w:t>
            </w:r>
            <w:r w:rsidRPr="002A23D5">
              <w:t xml:space="preserve"> </w:t>
            </w:r>
          </w:p>
        </w:tc>
      </w:tr>
      <w:tr w:rsidTr="00DF1FA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t>This section describes the skills and knowledge required for this unit.</w:t>
            </w:r>
          </w:p>
        </w:tc>
      </w:tr>
      <w:tr w:rsidTr="00DF1FA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rPr>
                <w:rStyle w:val="SpecialBold"/>
              </w:rPr>
              <w:t>Required skills</w:t>
            </w:r>
            <w:r w:rsidRPr="002A23D5">
              <w:t>:</w:t>
            </w:r>
          </w:p>
          <w:p w:rsidR="00000000" w:rsidRPr="002A23D5" w:rsidP="002A23D5">
            <w:pPr>
              <w:pStyle w:val="ListBullet"/>
            </w:pPr>
            <w:r w:rsidRPr="002A23D5">
              <w:t>research techniques sufficient to access information on colour theory and management</w:t>
            </w:r>
          </w:p>
          <w:p w:rsidR="00000000" w:rsidRPr="002A23D5" w:rsidP="002A23D5">
            <w:pPr>
              <w:pStyle w:val="ListBullet"/>
            </w:pPr>
            <w:r w:rsidRPr="002A23D5">
              <w:t>literacy skills sufficient to interrogate/interpret a broad range of information on colour theory and management</w:t>
            </w:r>
          </w:p>
          <w:p w:rsidR="00000000" w:rsidRPr="002A23D5" w:rsidP="002A23D5">
            <w:pPr>
              <w:pStyle w:val="ListBullet"/>
            </w:pPr>
            <w:r w:rsidRPr="002A23D5">
              <w:t>numeracy skills sufficient to understand numeric values an</w:t>
            </w:r>
            <w:r w:rsidRPr="002A23D5">
              <w:t>d meaning against colour theory and how RGB, CMYK and LAB colour values are quantified</w:t>
            </w:r>
          </w:p>
          <w:p w:rsidR="00000000" w:rsidRPr="002A23D5" w:rsidP="002A23D5">
            <w:pPr>
              <w:pStyle w:val="ListBullet"/>
            </w:pPr>
            <w:r w:rsidRPr="002A23D5">
              <w:t>communication skills sufficient to:</w:t>
            </w:r>
          </w:p>
          <w:p w:rsidR="00000000" w:rsidRPr="002A23D5" w:rsidP="002A23D5">
            <w:pPr>
              <w:pStyle w:val="ListBullet2"/>
            </w:pPr>
            <w:r w:rsidRPr="002A23D5">
              <w:t>critique and discuss colour theory and management</w:t>
            </w:r>
          </w:p>
          <w:p w:rsidR="00000000" w:rsidRPr="002A23D5" w:rsidP="002A23D5">
            <w:pPr>
              <w:pStyle w:val="ListBullet2"/>
            </w:pPr>
            <w:r w:rsidRPr="002A23D5">
              <w:t>use industry and community networks as sources of information</w:t>
            </w:r>
          </w:p>
          <w:p w:rsidR="00000000" w:rsidRPr="002A23D5" w:rsidP="002A23D5">
            <w:pPr>
              <w:pStyle w:val="ListBullet"/>
            </w:pPr>
            <w:r w:rsidRPr="002A23D5">
              <w:t>critical thinking skills sufficient to identify best practice options and adopt/adapt colour management strategies</w:t>
            </w:r>
          </w:p>
          <w:p w:rsidR="00000000" w:rsidRPr="002A23D5" w:rsidP="002A23D5">
            <w:pPr>
              <w:pStyle w:val="ListBullet"/>
            </w:pPr>
            <w:r w:rsidRPr="002A23D5">
              <w:t>problem solving skills sufficient to:</w:t>
            </w:r>
          </w:p>
          <w:p w:rsidR="00000000" w:rsidRPr="002A23D5" w:rsidP="002A23D5">
            <w:pPr>
              <w:pStyle w:val="ListBullet2"/>
            </w:pPr>
            <w:r w:rsidRPr="002A23D5">
              <w:t>recognise and resolve workplace issues when adopting/adapting colour management systems into digital w</w:t>
            </w:r>
            <w:r w:rsidRPr="002A23D5">
              <w:t>orkplace</w:t>
            </w:r>
          </w:p>
          <w:p w:rsidR="00000000" w:rsidRPr="002A23D5" w:rsidP="002A23D5">
            <w:pPr>
              <w:pStyle w:val="ListBullet2"/>
            </w:pPr>
            <w:r w:rsidRPr="002A23D5">
              <w:t>solve colour issues</w:t>
            </w:r>
          </w:p>
          <w:p w:rsidR="00000000" w:rsidP="002A23D5">
            <w:pPr>
              <w:pStyle w:val="ListBullet"/>
              <w:rPr>
                <w:lang w:val="en-NZ"/>
              </w:rPr>
            </w:pPr>
            <w:r w:rsidRPr="002A23D5">
              <w:t>learning skills sufficient to seek expert advice when adopting/adapting colour management strategies</w:t>
            </w:r>
          </w:p>
        </w:tc>
      </w:tr>
      <w:tr w:rsidTr="00DF1FA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planning and organising skills sufficient to:</w:t>
            </w:r>
          </w:p>
          <w:p w:rsidR="00000000" w:rsidRPr="002A23D5" w:rsidP="002A23D5">
            <w:pPr>
              <w:pStyle w:val="ListBullet2"/>
            </w:pPr>
            <w:r w:rsidRPr="002A23D5">
              <w:t>develop strategies to respond to future colour theory and management strateg</w:t>
            </w:r>
            <w:r w:rsidRPr="002A23D5">
              <w:t>ies</w:t>
            </w:r>
          </w:p>
          <w:p w:rsidR="00000000" w:rsidRPr="002A23D5" w:rsidP="002A23D5">
            <w:pPr>
              <w:pStyle w:val="ListBullet2"/>
            </w:pPr>
            <w:r w:rsidRPr="002A23D5">
              <w:t>document research findings clearly and concisely</w:t>
            </w:r>
          </w:p>
          <w:p w:rsidR="00000000" w:rsidRPr="002A23D5" w:rsidP="002A23D5">
            <w:pPr>
              <w:pStyle w:val="ListBullet2"/>
            </w:pPr>
            <w:r w:rsidRPr="002A23D5">
              <w:t>plan integration of colour management strategies into digital workplace practice</w:t>
            </w:r>
          </w:p>
          <w:p w:rsidR="00000000" w:rsidP="002A23D5">
            <w:pPr>
              <w:pStyle w:val="ListBullet"/>
              <w:rPr>
                <w:lang w:val="en-NZ"/>
              </w:rPr>
            </w:pPr>
            <w:r w:rsidRPr="002A23D5">
              <w:t>technology skills sufficient to coordinate the installation of colour management systems.</w:t>
            </w:r>
          </w:p>
        </w:tc>
      </w:tr>
      <w:tr w:rsidTr="00DF1FA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rPr>
                <w:rStyle w:val="SpecialBold"/>
              </w:rPr>
              <w:t>Required knowledge</w:t>
            </w:r>
            <w:r w:rsidRPr="002A23D5">
              <w:t>:</w:t>
            </w:r>
          </w:p>
          <w:p w:rsidR="00000000" w:rsidRPr="002A23D5" w:rsidP="002A23D5">
            <w:pPr>
              <w:pStyle w:val="ListBullet"/>
            </w:pPr>
            <w:r w:rsidRPr="002A23D5">
              <w:t>colour theories/theory and their application to colour management systems</w:t>
            </w:r>
          </w:p>
          <w:p w:rsidR="00000000" w:rsidRPr="002A23D5" w:rsidP="002A23D5">
            <w:pPr>
              <w:pStyle w:val="ListBullet"/>
            </w:pPr>
            <w:r w:rsidRPr="002A23D5">
              <w:t>commonly used research methodologies</w:t>
            </w:r>
          </w:p>
          <w:p w:rsidR="00000000" w:rsidRPr="002A23D5" w:rsidP="002A23D5">
            <w:pPr>
              <w:pStyle w:val="ListBullet"/>
            </w:pPr>
            <w:r w:rsidRPr="002A23D5">
              <w:t>current trends and emerging technologies in colour management systems</w:t>
            </w:r>
          </w:p>
          <w:p w:rsidR="00000000" w:rsidP="002A23D5">
            <w:pPr>
              <w:pStyle w:val="ListBullet"/>
              <w:rPr>
                <w:lang w:val="en-NZ"/>
              </w:rPr>
            </w:pPr>
            <w:r w:rsidRPr="002A23D5">
              <w:t>OHS requirements relating to computer usage.</w:t>
            </w:r>
          </w:p>
        </w:tc>
      </w:tr>
      <w:tr w:rsidTr="00DF1FA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A23D5" w:rsidP="002A23D5">
            <w:pPr>
              <w:pStyle w:val="BodyText"/>
            </w:pPr>
          </w:p>
        </w:tc>
      </w:tr>
    </w:tbl>
    <w:p w:rsidR="00DF1FAD" w:rsidP="002A23D5">
      <w:pPr>
        <w:pStyle w:val="BodyText"/>
      </w:pPr>
    </w:p>
    <w:p w:rsidR="00DF1FAD" w:rsidP="002A23D5">
      <w:pPr>
        <w:pStyle w:val="BodyText"/>
      </w:pPr>
    </w:p>
    <w:p w:rsidR="00000000" w:rsidRPr="002A23D5" w:rsidP="002A23D5">
      <w:pPr>
        <w:pStyle w:val="Heading1"/>
      </w:pPr>
      <w:bookmarkStart w:id="10" w:name="O_243136"/>
      <w:bookmarkEnd w:id="10"/>
      <w:r w:rsidRPr="002A23D5">
        <w:t>Evidence</w:t>
      </w:r>
      <w:r w:rsidRPr="002A23D5">
        <w:t xml:space="preserve"> Guide</w:t>
      </w:r>
    </w:p>
    <w:tbl>
      <w:tblPr>
        <w:tblW w:w="0" w:type="auto"/>
        <w:tblLayout w:type="fixed"/>
        <w:tblCellMar>
          <w:left w:w="62" w:type="dxa"/>
          <w:right w:w="62" w:type="dxa"/>
        </w:tblCellMar>
        <w:tblLook w:val="0000"/>
      </w:tblPr>
      <w:tblGrid>
        <w:gridCol w:w="3061"/>
        <w:gridCol w:w="5444"/>
      </w:tblGrid>
      <w:tr w:rsidTr="00DF1FA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EVIDENCE GUIDE</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t>The evidence guide provides advice on assessment and must be read in conjunction with the performance criteria, required skills and knowledge, range statement and the Assessment Guidelines for the Training Package.</w:t>
            </w: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Evidence of the following is essential:</w:t>
            </w:r>
          </w:p>
          <w:p w:rsidR="00000000" w:rsidRPr="002A23D5" w:rsidP="002A23D5">
            <w:pPr>
              <w:pStyle w:val="ListBullet"/>
            </w:pPr>
            <w:r w:rsidRPr="002A23D5">
              <w:t>ability to research colour theory and digital colour management systems/strategies</w:t>
            </w:r>
          </w:p>
          <w:p w:rsidR="00000000" w:rsidRPr="002A23D5" w:rsidP="002A23D5">
            <w:pPr>
              <w:pStyle w:val="ListBullet"/>
            </w:pPr>
            <w:r w:rsidRPr="002A23D5">
              <w:t>ability to evaluate and adapt appropria</w:t>
            </w:r>
            <w:r w:rsidRPr="002A23D5">
              <w:t>te digital colour management systems/strategies</w:t>
            </w:r>
          </w:p>
          <w:p w:rsidR="00000000" w:rsidP="002A23D5">
            <w:pPr>
              <w:pStyle w:val="ListBullet"/>
              <w:rPr>
                <w:lang w:val="en-NZ"/>
              </w:rPr>
            </w:pPr>
            <w:r w:rsidRPr="002A23D5">
              <w:t>ability to maintain and review digital colour management systems/strategies.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Assessment must ensure:</w:t>
            </w:r>
          </w:p>
          <w:p w:rsidR="00000000" w:rsidRPr="002A23D5" w:rsidP="002A23D5">
            <w:pPr>
              <w:pStyle w:val="ListBullet"/>
            </w:pPr>
            <w:r w:rsidRPr="002A23D5">
              <w:t>access to appropriate technology and sources of information to research colour theory and digital colour management systems/strategies</w:t>
            </w:r>
          </w:p>
          <w:p w:rsidR="00000000" w:rsidRPr="002A23D5" w:rsidP="002A23D5">
            <w:pPr>
              <w:pStyle w:val="ListBullet"/>
            </w:pPr>
            <w:r w:rsidRPr="002A23D5">
              <w:t>access to an environment where a range of digital imaging devices and colour management systems can be applied</w:t>
            </w:r>
          </w:p>
          <w:p w:rsidR="00000000" w:rsidRPr="002A23D5" w:rsidP="002A23D5">
            <w:pPr>
              <w:pStyle w:val="ListBullet"/>
            </w:pPr>
            <w:r w:rsidRPr="002A23D5">
              <w:t xml:space="preserve">access to </w:t>
            </w:r>
            <w:r w:rsidRPr="002A23D5">
              <w:t>appropriate learning and assessment support when required</w:t>
            </w:r>
          </w:p>
          <w:p w:rsidR="00000000" w:rsidP="002A23D5">
            <w:pPr>
              <w:pStyle w:val="ListBullet"/>
              <w:rPr>
                <w:lang w:val="en-NZ"/>
              </w:rPr>
            </w:pPr>
            <w:r w:rsidRPr="002A23D5">
              <w:t>the use of culturally appropriate processes, and techniques appropriate to the oracy, language and literacy capacity of the assessee and the work being performed.</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A range of assessment methods should be used to assess practical skills and knowledge. The following examples are appropriate for this unit:</w:t>
            </w:r>
          </w:p>
          <w:p w:rsidR="00000000" w:rsidRPr="002A23D5" w:rsidP="002A23D5">
            <w:pPr>
              <w:pStyle w:val="ListBullet"/>
            </w:pPr>
            <w:r w:rsidRPr="002A23D5">
              <w:t xml:space="preserve">direct questioning combined with review of portfolios of evidence and third party workplace reports of on-the-job </w:t>
            </w:r>
            <w:r w:rsidRPr="002A23D5">
              <w:t>performance by candidate</w:t>
            </w:r>
          </w:p>
          <w:p w:rsidR="00000000" w:rsidRPr="002A23D5" w:rsidP="002A23D5">
            <w:pPr>
              <w:pStyle w:val="ListBullet"/>
            </w:pPr>
            <w:r w:rsidRPr="002A23D5">
              <w:t>direct observation of candidate's evaluation, adaptation and management of appropriate colour management practices and strategies</w:t>
            </w:r>
          </w:p>
          <w:p w:rsidR="00000000" w:rsidRPr="002A23D5" w:rsidP="002A23D5">
            <w:pPr>
              <w:pStyle w:val="ListBullet"/>
            </w:pPr>
            <w:r w:rsidRPr="002A23D5">
              <w:t>case studies to assess candidate's ability to evaluate workplaces and their use of digital colour management practices and strategies</w:t>
            </w:r>
          </w:p>
          <w:p w:rsidR="00000000" w:rsidP="002A23D5">
            <w:pPr>
              <w:pStyle w:val="ListBullet"/>
              <w:rPr>
                <w:lang w:val="en-NZ"/>
              </w:rPr>
            </w:pPr>
            <w:r w:rsidRPr="002A23D5">
              <w:t>problem solving activities to assess candidate's critical thinking skills.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BodyText"/>
            </w:pPr>
            <w:r w:rsidRPr="002A23D5">
              <w:t>Holistic assessment with other units relev</w:t>
            </w:r>
            <w:r w:rsidRPr="002A23D5">
              <w:t>ant to the industry sector, workplace and job role is recommended.</w:t>
            </w:r>
          </w:p>
        </w:tc>
      </w:tr>
    </w:tbl>
    <w:p w:rsidR="00DF1FAD" w:rsidP="002A23D5">
      <w:pPr>
        <w:pStyle w:val="BodyText"/>
      </w:pPr>
    </w:p>
    <w:p w:rsidR="00DF1FAD" w:rsidP="002A23D5">
      <w:pPr>
        <w:pStyle w:val="BodyText"/>
      </w:pPr>
    </w:p>
    <w:p w:rsidR="00000000" w:rsidRPr="002A23D5" w:rsidP="002A23D5">
      <w:pPr>
        <w:pStyle w:val="Heading1"/>
      </w:pPr>
      <w:bookmarkStart w:id="11" w:name="O_251119"/>
      <w:bookmarkEnd w:id="11"/>
      <w:r w:rsidRPr="002A23D5">
        <w:t>Range Statement</w:t>
      </w:r>
    </w:p>
    <w:tbl>
      <w:tblPr>
        <w:tblW w:w="0" w:type="auto"/>
        <w:tblLayout w:type="fixed"/>
        <w:tblCellMar>
          <w:left w:w="62" w:type="dxa"/>
          <w:right w:w="62" w:type="dxa"/>
        </w:tblCellMar>
        <w:tblLook w:val="0000"/>
      </w:tblPr>
      <w:tblGrid>
        <w:gridCol w:w="3061"/>
        <w:gridCol w:w="5444"/>
      </w:tblGrid>
      <w:tr w:rsidTr="00DF1FA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RANGE STATEMENT</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t xml:space="preserve">The range statement relates to the unit of competency as a whole. It allows for different work environments and situations that may affect performance. </w:t>
            </w:r>
            <w:r w:rsidRPr="002A23D5">
              <w:rPr>
                <w:rStyle w:val="BoldandItalics"/>
              </w:rPr>
              <w:t>Bold italicised</w:t>
            </w:r>
            <w:r w:rsidRPr="002A23D5">
              <w:t xml:space="preserve"> wording, if used in the performance criteria, is detailed below. Essential operating con</w:t>
            </w:r>
            <w:r w:rsidRPr="002A23D5">
              <w:t>ditions that may be present with training and assessment (depending on the work situation needs of the candidate, accessibility of the item, and local industry and regional contexts) may also be included.</w:t>
            </w: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Colour theories</w:t>
            </w:r>
            <w:r w:rsidRPr="002A23D5">
              <w:t>/</w:t>
            </w:r>
            <w:r w:rsidRPr="002A23D5">
              <w:rPr>
                <w:rStyle w:val="BoldandItalics"/>
              </w:rPr>
              <w:t>theory</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colour charts, including:</w:t>
            </w:r>
          </w:p>
          <w:p w:rsidR="00000000" w:rsidRPr="002A23D5" w:rsidP="002A23D5">
            <w:pPr>
              <w:pStyle w:val="ListBullet2"/>
            </w:pPr>
            <w:r w:rsidRPr="002A23D5">
              <w:t>colour look-up tables (CLUTs)</w:t>
            </w:r>
          </w:p>
          <w:p w:rsidR="00000000" w:rsidRPr="002A23D5" w:rsidP="002A23D5">
            <w:pPr>
              <w:pStyle w:val="ListBullet2"/>
            </w:pPr>
            <w:r w:rsidRPr="002A23D5">
              <w:t>Indexed Colour</w:t>
            </w:r>
          </w:p>
          <w:p w:rsidR="00000000" w:rsidRPr="002A23D5" w:rsidP="002A23D5">
            <w:pPr>
              <w:pStyle w:val="ListBullet2"/>
            </w:pPr>
            <w:r w:rsidRPr="002A23D5">
              <w:t>Pantone Matching System</w:t>
            </w:r>
          </w:p>
          <w:p w:rsidR="00000000" w:rsidRPr="002A23D5" w:rsidP="002A23D5">
            <w:pPr>
              <w:pStyle w:val="ListBullet2"/>
            </w:pPr>
            <w:r w:rsidRPr="002A23D5">
              <w:t>Web Safe Colour</w:t>
            </w:r>
          </w:p>
          <w:p w:rsidR="00000000" w:rsidRPr="002A23D5" w:rsidP="002A23D5">
            <w:pPr>
              <w:pStyle w:val="ListBullet"/>
            </w:pPr>
            <w:r w:rsidRPr="002A23D5">
              <w:t>colour/light measurement:</w:t>
            </w:r>
          </w:p>
          <w:p w:rsidR="00000000" w:rsidRPr="002A23D5" w:rsidP="002A23D5">
            <w:pPr>
              <w:pStyle w:val="ListBullet2"/>
            </w:pPr>
            <w:r w:rsidRPr="002A23D5">
              <w:t>Angstrom</w:t>
            </w:r>
          </w:p>
          <w:p w:rsidR="00000000" w:rsidRPr="002A23D5" w:rsidP="002A23D5">
            <w:pPr>
              <w:pStyle w:val="ListBullet2"/>
            </w:pPr>
            <w:r w:rsidRPr="002A23D5">
              <w:t>candela</w:t>
            </w:r>
          </w:p>
          <w:p w:rsidR="00000000" w:rsidRPr="002A23D5" w:rsidP="002A23D5">
            <w:pPr>
              <w:pStyle w:val="ListBullet2"/>
            </w:pPr>
            <w:r w:rsidRPr="002A23D5">
              <w:t>colour frequency</w:t>
            </w:r>
          </w:p>
          <w:p w:rsidR="00000000" w:rsidRPr="002A23D5" w:rsidP="002A23D5">
            <w:pPr>
              <w:pStyle w:val="ListBullet2"/>
            </w:pPr>
            <w:r w:rsidRPr="002A23D5">
              <w:t>colour rendering index (CRI)</w:t>
            </w:r>
          </w:p>
          <w:p w:rsidR="00000000" w:rsidRPr="002A23D5" w:rsidP="002A23D5">
            <w:pPr>
              <w:pStyle w:val="ListBullet2"/>
            </w:pPr>
            <w:r w:rsidRPr="002A23D5">
              <w:t>colour temperature</w:t>
            </w:r>
          </w:p>
          <w:p w:rsidR="00000000" w:rsidRPr="002A23D5" w:rsidP="002A23D5">
            <w:pPr>
              <w:pStyle w:val="ListBullet2"/>
            </w:pPr>
            <w:r w:rsidRPr="002A23D5">
              <w:t>Kelvin</w:t>
            </w:r>
          </w:p>
          <w:p w:rsidR="00000000" w:rsidRPr="002A23D5" w:rsidP="002A23D5">
            <w:pPr>
              <w:pStyle w:val="ListBullet2"/>
            </w:pPr>
            <w:r w:rsidRPr="002A23D5">
              <w:t>Lumens</w:t>
            </w:r>
          </w:p>
          <w:p w:rsidR="00000000" w:rsidRPr="002A23D5" w:rsidP="002A23D5">
            <w:pPr>
              <w:pStyle w:val="ListBullet2"/>
            </w:pPr>
            <w:r w:rsidRPr="002A23D5">
              <w:t>Lux</w:t>
            </w:r>
          </w:p>
          <w:p w:rsidR="00000000" w:rsidRPr="002A23D5" w:rsidP="002A23D5">
            <w:pPr>
              <w:pStyle w:val="ListBullet2"/>
            </w:pPr>
            <w:r w:rsidRPr="002A23D5">
              <w:t>Mired</w:t>
            </w:r>
          </w:p>
          <w:p w:rsidR="00000000" w:rsidRPr="002A23D5" w:rsidP="002A23D5">
            <w:pPr>
              <w:pStyle w:val="ListBullet2"/>
            </w:pPr>
            <w:r w:rsidRPr="002A23D5">
              <w:t>nanometres</w:t>
            </w:r>
          </w:p>
          <w:p w:rsidR="00000000" w:rsidRPr="002A23D5" w:rsidP="002A23D5">
            <w:pPr>
              <w:pStyle w:val="ListBullet2"/>
            </w:pPr>
            <w:r w:rsidRPr="002A23D5">
              <w:t>wavelength</w:t>
            </w:r>
          </w:p>
          <w:p w:rsidR="00000000" w:rsidRPr="002A23D5" w:rsidP="002A23D5">
            <w:pPr>
              <w:pStyle w:val="ListBullet"/>
            </w:pPr>
            <w:r w:rsidRPr="002A23D5">
              <w:t>colour spaces, including:</w:t>
            </w:r>
          </w:p>
          <w:p w:rsidR="00000000" w:rsidRPr="002A23D5" w:rsidP="002A23D5">
            <w:pPr>
              <w:pStyle w:val="ListBullet2"/>
            </w:pPr>
            <w:r w:rsidRPr="002A23D5">
              <w:t>Adobe RGB(1998)</w:t>
            </w:r>
          </w:p>
          <w:p w:rsidR="00000000" w:rsidRPr="002A23D5" w:rsidP="002A23D5">
            <w:pPr>
              <w:pStyle w:val="ListBullet2"/>
            </w:pPr>
            <w:r w:rsidRPr="002A23D5">
              <w:t>Atkinson</w:t>
            </w:r>
          </w:p>
          <w:p w:rsidR="00000000" w:rsidRPr="002A23D5" w:rsidP="002A23D5">
            <w:pPr>
              <w:pStyle w:val="ListBullet2"/>
            </w:pPr>
            <w:r w:rsidRPr="002A23D5">
              <w:t>Bruce RGB</w:t>
            </w:r>
          </w:p>
          <w:p w:rsidR="00000000" w:rsidRPr="002A23D5" w:rsidP="002A23D5">
            <w:pPr>
              <w:pStyle w:val="ListBullet2"/>
            </w:pPr>
            <w:r w:rsidRPr="002A23D5">
              <w:t xml:space="preserve">CMYK spaces </w:t>
            </w:r>
          </w:p>
          <w:p w:rsidR="00000000" w:rsidRPr="002A23D5" w:rsidP="002A23D5">
            <w:pPr>
              <w:pStyle w:val="ListBullet2"/>
            </w:pPr>
            <w:r w:rsidRPr="002A23D5">
              <w:t xml:space="preserve">ColorMatch RGB </w:t>
            </w:r>
          </w:p>
          <w:p w:rsidR="00000000" w:rsidRPr="002A23D5" w:rsidP="002A23D5">
            <w:pPr>
              <w:pStyle w:val="ListBullet2"/>
            </w:pPr>
            <w:r w:rsidRPr="002A23D5">
              <w:t>Epson RGB(2001)</w:t>
            </w:r>
          </w:p>
          <w:p w:rsidR="00000000" w:rsidRPr="002A23D5" w:rsidP="002A23D5">
            <w:pPr>
              <w:pStyle w:val="ListBullet2"/>
            </w:pPr>
            <w:r w:rsidRPr="002A23D5">
              <w:t>Fraser and EktaSpace</w:t>
            </w:r>
          </w:p>
          <w:p w:rsidR="00000000" w:rsidRPr="002A23D5" w:rsidP="002A23D5">
            <w:pPr>
              <w:pStyle w:val="ListBullet2"/>
            </w:pPr>
            <w:r w:rsidRPr="002A23D5">
              <w:t>greyscale/grayscale spaces</w:t>
            </w:r>
          </w:p>
          <w:p w:rsidR="00000000" w:rsidP="002A23D5">
            <w:pPr>
              <w:pStyle w:val="ListBullet2"/>
              <w:rPr>
                <w:lang w:val="en-NZ"/>
              </w:rPr>
            </w:pPr>
            <w:r w:rsidRPr="002A23D5">
              <w:t>HiFi colour spaces (e.g. Hexachrome)</w:t>
            </w: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2"/>
            </w:pPr>
            <w:r w:rsidRPr="002A23D5">
              <w:t>LAB</w:t>
            </w:r>
          </w:p>
          <w:p w:rsidR="00000000" w:rsidRPr="002A23D5" w:rsidP="002A23D5">
            <w:pPr>
              <w:pStyle w:val="ListBullet2"/>
            </w:pPr>
            <w:r w:rsidRPr="002A23D5">
              <w:t>ProPhoto RGB</w:t>
            </w:r>
          </w:p>
          <w:p w:rsidR="00000000" w:rsidRPr="002A23D5" w:rsidP="002A23D5">
            <w:pPr>
              <w:pStyle w:val="ListBullet2"/>
            </w:pPr>
            <w:r w:rsidRPr="002A23D5">
              <w:t>sRGB</w:t>
            </w:r>
          </w:p>
          <w:p w:rsidR="00000000" w:rsidRPr="002A23D5" w:rsidP="002A23D5">
            <w:pPr>
              <w:pStyle w:val="ListBullet2"/>
            </w:pPr>
            <w:r w:rsidRPr="002A23D5">
              <w:t>Wide Gamut RGB</w:t>
            </w:r>
          </w:p>
          <w:p w:rsidR="00000000" w:rsidRPr="002A23D5" w:rsidP="002A23D5">
            <w:pPr>
              <w:pStyle w:val="ListBullet2"/>
            </w:pPr>
            <w:r w:rsidRPr="002A23D5">
              <w:t>xvRGB</w:t>
            </w:r>
          </w:p>
          <w:p w:rsidR="00000000" w:rsidRPr="002A23D5" w:rsidP="002A23D5">
            <w:pPr>
              <w:pStyle w:val="ListBullet2"/>
            </w:pPr>
            <w:r w:rsidRPr="002A23D5">
              <w:t>xvYCC</w:t>
            </w:r>
          </w:p>
          <w:p w:rsidR="00000000" w:rsidRPr="002A23D5" w:rsidP="002A23D5">
            <w:pPr>
              <w:pStyle w:val="ListBullet2"/>
            </w:pPr>
            <w:r w:rsidRPr="002A23D5">
              <w:t>YCbCr</w:t>
            </w:r>
          </w:p>
          <w:p w:rsidR="00000000" w:rsidRPr="002A23D5" w:rsidP="002A23D5">
            <w:pPr>
              <w:pStyle w:val="ListBullet"/>
            </w:pPr>
            <w:r w:rsidRPr="002A23D5">
              <w:t>colour synthesis (additive and subtractive colour)</w:t>
            </w:r>
          </w:p>
          <w:p w:rsidR="00000000" w:rsidRPr="002A23D5" w:rsidP="002A23D5">
            <w:pPr>
              <w:pStyle w:val="ListBullet"/>
            </w:pPr>
            <w:r w:rsidRPr="002A23D5">
              <w:t>colour systems and models, including:</w:t>
            </w:r>
          </w:p>
          <w:p w:rsidR="00000000" w:rsidRPr="002A23D5" w:rsidP="002A23D5">
            <w:pPr>
              <w:pStyle w:val="ListBullet2"/>
            </w:pPr>
            <w:r w:rsidRPr="002A23D5">
              <w:t>CCIC - Chamber of Commerce Colour Chart</w:t>
            </w:r>
          </w:p>
          <w:p w:rsidR="00000000" w:rsidRPr="002A23D5" w:rsidP="002A23D5">
            <w:pPr>
              <w:pStyle w:val="ListBullet2"/>
            </w:pPr>
            <w:r w:rsidRPr="002A23D5">
              <w:t>CIE - Commission Internationale de l'Eclairage (Lab, Luv, XYZ)</w:t>
            </w:r>
          </w:p>
          <w:p w:rsidR="00000000" w:rsidRPr="002A23D5" w:rsidP="002A23D5">
            <w:pPr>
              <w:pStyle w:val="ListBullet2"/>
            </w:pPr>
            <w:r w:rsidRPr="002A23D5">
              <w:t>Herring's Opponent processes model</w:t>
            </w:r>
          </w:p>
          <w:p w:rsidR="00000000" w:rsidRPr="002A23D5" w:rsidP="002A23D5">
            <w:pPr>
              <w:pStyle w:val="ListBullet2"/>
            </w:pPr>
            <w:r w:rsidRPr="002A23D5">
              <w:t>HSL</w:t>
            </w:r>
          </w:p>
          <w:p w:rsidR="00000000" w:rsidRPr="002A23D5" w:rsidP="002A23D5">
            <w:pPr>
              <w:pStyle w:val="ListBullet2"/>
            </w:pPr>
            <w:r w:rsidRPr="002A23D5">
              <w:t>HSV</w:t>
            </w:r>
          </w:p>
          <w:p w:rsidR="00000000" w:rsidRPr="002A23D5" w:rsidP="002A23D5">
            <w:pPr>
              <w:pStyle w:val="ListBullet2"/>
            </w:pPr>
            <w:r w:rsidRPr="002A23D5">
              <w:t>Munsell colour atlas</w:t>
            </w:r>
          </w:p>
          <w:p w:rsidR="00000000" w:rsidRPr="002A23D5" w:rsidP="002A23D5">
            <w:pPr>
              <w:pStyle w:val="ListBullet2"/>
            </w:pPr>
            <w:r w:rsidRPr="002A23D5">
              <w:t>NCS - Natural Colour System</w:t>
            </w:r>
          </w:p>
          <w:p w:rsidR="00000000" w:rsidRPr="002A23D5" w:rsidP="002A23D5">
            <w:pPr>
              <w:pStyle w:val="ListBullet2"/>
            </w:pPr>
            <w:r w:rsidRPr="002A23D5">
              <w:t>Ostwald surface-colour system</w:t>
            </w:r>
          </w:p>
          <w:p w:rsidR="00000000" w:rsidRPr="002A23D5" w:rsidP="002A23D5">
            <w:pPr>
              <w:pStyle w:val="ListBullet2"/>
            </w:pPr>
            <w:r w:rsidRPr="002A23D5">
              <w:t>PCCS - Practical Colour Coordinate System</w:t>
            </w:r>
          </w:p>
          <w:p w:rsidR="00000000" w:rsidRPr="002A23D5" w:rsidP="002A23D5">
            <w:pPr>
              <w:pStyle w:val="ListBullet2"/>
            </w:pPr>
            <w:r w:rsidRPr="002A23D5">
              <w:t>subjective vs. objective</w:t>
            </w:r>
          </w:p>
          <w:p w:rsidR="00000000" w:rsidRPr="002A23D5" w:rsidP="002A23D5">
            <w:pPr>
              <w:pStyle w:val="ListBullet2"/>
            </w:pPr>
            <w:r w:rsidRPr="002A23D5">
              <w:t>Young-Helmholtz's tri-pigments model</w:t>
            </w:r>
          </w:p>
          <w:p w:rsidR="00000000" w:rsidRPr="002A23D5" w:rsidP="002A23D5">
            <w:pPr>
              <w:pStyle w:val="ListBullet"/>
            </w:pPr>
            <w:r w:rsidRPr="002A23D5">
              <w:t>colour theorists, including:</w:t>
            </w:r>
          </w:p>
          <w:p w:rsidR="00000000" w:rsidRPr="002A23D5" w:rsidP="002A23D5">
            <w:pPr>
              <w:pStyle w:val="ListBullet2"/>
            </w:pPr>
            <w:r w:rsidRPr="002A23D5">
              <w:t>Isaac Newton - Opticks</w:t>
            </w:r>
          </w:p>
          <w:p w:rsidR="00000000" w:rsidRPr="002A23D5" w:rsidP="002A23D5">
            <w:pPr>
              <w:pStyle w:val="ListBullet2"/>
            </w:pPr>
            <w:r w:rsidRPr="002A23D5">
              <w:t>Johann Wolfgang von Goethe - Theory of Colours</w:t>
            </w:r>
          </w:p>
          <w:p w:rsidR="00000000" w:rsidRPr="002A23D5" w:rsidP="002A23D5">
            <w:pPr>
              <w:pStyle w:val="ListBullet2"/>
            </w:pPr>
            <w:r w:rsidRPr="002A23D5">
              <w:t>Michel-Eugène Chevreul - The Law of Simultaneous Colour Contrast</w:t>
            </w:r>
          </w:p>
          <w:p w:rsidR="00000000" w:rsidRPr="002A23D5" w:rsidP="002A23D5">
            <w:pPr>
              <w:pStyle w:val="ListBullet2"/>
            </w:pPr>
            <w:r w:rsidRPr="002A23D5">
              <w:t>Hermann Günther Grassmann - Grassmann's Law</w:t>
            </w:r>
          </w:p>
          <w:p w:rsidR="00000000" w:rsidRPr="002A23D5" w:rsidP="002A23D5">
            <w:pPr>
              <w:pStyle w:val="ListBullet2"/>
            </w:pPr>
            <w:r w:rsidRPr="002A23D5">
              <w:t>Hermann Ludwig Ferdinand von Helmholtz - Handbook of Physiological Optics</w:t>
            </w:r>
          </w:p>
          <w:p w:rsidR="00000000" w:rsidRPr="002A23D5" w:rsidP="002A23D5">
            <w:pPr>
              <w:pStyle w:val="ListBullet2"/>
            </w:pPr>
            <w:r w:rsidRPr="002A23D5">
              <w:t>Ewald Hering - color oppon</w:t>
            </w:r>
            <w:r w:rsidRPr="002A23D5">
              <w:t>ency or opponent process theory</w:t>
            </w:r>
          </w:p>
          <w:p w:rsidR="00000000" w:rsidRPr="002A23D5" w:rsidP="002A23D5">
            <w:pPr>
              <w:pStyle w:val="ListBullet2"/>
            </w:pPr>
            <w:r w:rsidRPr="002A23D5">
              <w:t xml:space="preserve">Ogden Rood - Modern Chromatics </w:t>
            </w:r>
          </w:p>
          <w:p w:rsidR="00000000" w:rsidRPr="002A23D5" w:rsidP="002A23D5">
            <w:pPr>
              <w:pStyle w:val="ListBullet2"/>
            </w:pPr>
            <w:r w:rsidRPr="002A23D5">
              <w:t>Albert Munsell - Munsell Book of Color</w:t>
            </w:r>
          </w:p>
          <w:p w:rsidR="00000000" w:rsidRPr="002A23D5" w:rsidP="002A23D5">
            <w:pPr>
              <w:pStyle w:val="ListBullet2"/>
            </w:pPr>
            <w:r w:rsidRPr="002A23D5">
              <w:t>Wilhelm Ostwald - Color Atlas</w:t>
            </w:r>
          </w:p>
          <w:p w:rsidR="00000000" w:rsidRPr="002A23D5" w:rsidP="002A23D5">
            <w:pPr>
              <w:pStyle w:val="ListBullet2"/>
            </w:pPr>
            <w:r w:rsidRPr="002A23D5">
              <w:t>Wassily Kandinsky, Johannes Itten, Faber Birren, Josef Albers</w:t>
            </w:r>
          </w:p>
          <w:p w:rsidR="00000000" w:rsidRPr="002A23D5" w:rsidP="002A23D5">
            <w:pPr>
              <w:pStyle w:val="ListBullet2"/>
            </w:pPr>
            <w:r w:rsidRPr="002A23D5">
              <w:t>Chenguang Lu - Decoding Model: A Symmetrical Zone Model of Co</w:t>
            </w:r>
            <w:r w:rsidRPr="002A23D5">
              <w:t>lor Vision</w:t>
            </w:r>
          </w:p>
          <w:p w:rsidR="00000000" w:rsidRPr="002A23D5" w:rsidP="002A23D5">
            <w:pPr>
              <w:pStyle w:val="ListBullet"/>
            </w:pPr>
            <w:r w:rsidRPr="002A23D5">
              <w:t>human vision</w:t>
            </w:r>
          </w:p>
          <w:p w:rsidR="00000000" w:rsidP="002A23D5">
            <w:pPr>
              <w:pStyle w:val="ListBullet"/>
              <w:rPr>
                <w:lang w:val="en-NZ"/>
              </w:rPr>
            </w:pPr>
            <w:r w:rsidRPr="002A23D5">
              <w:t>nature of light (e.g. electromagnetic spectrum, natural light phenomena).</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Digital imaging context</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any digital imaging workplace where colour management is required, including:</w:t>
            </w:r>
          </w:p>
          <w:p w:rsidR="00000000" w:rsidRPr="002A23D5" w:rsidP="002A23D5">
            <w:pPr>
              <w:pStyle w:val="ListBullet2"/>
            </w:pPr>
            <w:r w:rsidRPr="002A23D5">
              <w:t>designer's studio</w:t>
            </w:r>
          </w:p>
          <w:p w:rsidR="00000000" w:rsidRPr="002A23D5" w:rsidP="002A23D5">
            <w:pPr>
              <w:pStyle w:val="ListBullet2"/>
            </w:pPr>
            <w:r w:rsidRPr="002A23D5">
              <w:t>digital media studio</w:t>
            </w:r>
          </w:p>
          <w:p w:rsidR="00000000" w:rsidRPr="002A23D5" w:rsidP="002A23D5">
            <w:pPr>
              <w:pStyle w:val="ListBullet2"/>
            </w:pPr>
            <w:r w:rsidRPr="002A23D5">
              <w:t>film and television studio</w:t>
            </w:r>
          </w:p>
          <w:p w:rsidR="00000000" w:rsidRPr="002A23D5" w:rsidP="002A23D5">
            <w:pPr>
              <w:pStyle w:val="ListBullet2"/>
            </w:pPr>
            <w:r w:rsidRPr="002A23D5">
              <w:t>photography studio</w:t>
            </w:r>
          </w:p>
          <w:p w:rsidR="00000000" w:rsidRPr="002A23D5" w:rsidP="002A23D5">
            <w:pPr>
              <w:pStyle w:val="ListBullet2"/>
            </w:pPr>
            <w:r w:rsidRPr="002A23D5">
              <w:t>photoimaging lab or bureau</w:t>
            </w:r>
          </w:p>
          <w:p w:rsidR="00000000" w:rsidP="002A23D5">
            <w:pPr>
              <w:pStyle w:val="ListBullet2"/>
              <w:rPr>
                <w:lang w:val="en-NZ"/>
              </w:rPr>
            </w:pPr>
            <w:r w:rsidRPr="002A23D5">
              <w:t>pre-press bureau.</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Sources of information</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discussions with industry practitioners</w:t>
            </w:r>
          </w:p>
          <w:p w:rsidR="00000000" w:rsidRPr="002A23D5" w:rsidP="002A23D5">
            <w:pPr>
              <w:pStyle w:val="ListBullet"/>
            </w:pPr>
            <w:r w:rsidRPr="002A23D5">
              <w:t>electronic/print media (news, reviews, articles)</w:t>
            </w:r>
          </w:p>
          <w:p w:rsidR="00000000" w:rsidRPr="002A23D5" w:rsidP="002A23D5">
            <w:pPr>
              <w:pStyle w:val="ListBullet"/>
            </w:pPr>
            <w:r w:rsidRPr="002A23D5">
              <w:t>events (industry functions, conferences, trade fairs, expositions)</w:t>
            </w:r>
          </w:p>
          <w:p w:rsidR="00000000" w:rsidRPr="002A23D5" w:rsidP="002A23D5">
            <w:pPr>
              <w:pStyle w:val="ListBullet"/>
            </w:pPr>
            <w:r w:rsidRPr="002A23D5">
              <w:t>government bodies and associated publications</w:t>
            </w:r>
          </w:p>
          <w:p w:rsidR="00000000" w:rsidRPr="002A23D5" w:rsidP="002A23D5">
            <w:pPr>
              <w:pStyle w:val="ListBullet"/>
            </w:pPr>
            <w:r w:rsidRPr="002A23D5">
              <w:t>industry association digital standards</w:t>
            </w:r>
          </w:p>
          <w:p w:rsidR="00000000" w:rsidRPr="002A23D5" w:rsidP="002A23D5">
            <w:pPr>
              <w:pStyle w:val="ListBullet"/>
            </w:pPr>
            <w:r w:rsidRPr="002A23D5">
              <w:t>internet</w:t>
            </w:r>
          </w:p>
          <w:p w:rsidR="00000000" w:rsidRPr="002A23D5" w:rsidP="002A23D5">
            <w:pPr>
              <w:pStyle w:val="ListBullet"/>
            </w:pPr>
            <w:r w:rsidRPr="002A23D5">
              <w:t>libraries/archives (text, film, video, sound, graphic)</w:t>
            </w:r>
          </w:p>
          <w:p w:rsidR="00000000" w:rsidRPr="002A23D5" w:rsidP="002A23D5">
            <w:pPr>
              <w:pStyle w:val="ListBullet"/>
            </w:pPr>
            <w:r w:rsidRPr="002A23D5">
              <w:t>national/international journals (e.g. ar</w:t>
            </w:r>
            <w:r w:rsidRPr="002A23D5">
              <w:t>tist, computing and design journals)</w:t>
            </w:r>
          </w:p>
          <w:p w:rsidR="00000000" w:rsidRPr="002A23D5" w:rsidP="002A23D5">
            <w:pPr>
              <w:pStyle w:val="ListBullet"/>
            </w:pPr>
            <w:r w:rsidRPr="002A23D5">
              <w:t>personal observations and experience</w:t>
            </w:r>
          </w:p>
          <w:p w:rsidR="00000000" w:rsidRPr="002A23D5" w:rsidP="002A23D5">
            <w:pPr>
              <w:pStyle w:val="ListBullet"/>
            </w:pPr>
            <w:r w:rsidRPr="002A23D5">
              <w:t>retail/wholesale suppliers of products and services</w:t>
            </w:r>
          </w:p>
          <w:p w:rsidR="00000000" w:rsidRPr="002A23D5" w:rsidP="002A23D5">
            <w:pPr>
              <w:pStyle w:val="ListBullet"/>
            </w:pPr>
            <w:r w:rsidRPr="002A23D5">
              <w:t>technical publications/reference books</w:t>
            </w:r>
          </w:p>
          <w:p w:rsidR="00000000" w:rsidP="002A23D5">
            <w:pPr>
              <w:pStyle w:val="ListBullet"/>
              <w:rPr>
                <w:lang w:val="en-NZ"/>
              </w:rPr>
            </w:pPr>
            <w:r w:rsidRPr="002A23D5">
              <w:t>training programs, seminars, conferences, competitions, awards, exhibitions, symposiums, wo</w:t>
            </w:r>
            <w:r w:rsidRPr="002A23D5">
              <w:t>rkshops, master classes and other professional development opportunities.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Standards</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 xml:space="preserve">ISO 15076-1:2005 Image technology colour management - Architecture, profile format </w:t>
            </w:r>
            <w:r w:rsidRPr="002A23D5">
              <w:t>and data structure - Part 1: Based on ICC.1:2004-10 (Profile version 4.2.0.0) Image technology colour management - Architecture, profile format, and data structure</w:t>
            </w:r>
          </w:p>
          <w:p w:rsidR="00000000" w:rsidRPr="002A23D5" w:rsidP="002A23D5">
            <w:pPr>
              <w:pStyle w:val="ListBullet"/>
            </w:pPr>
            <w:r w:rsidRPr="002A23D5">
              <w:t>ISO 12646:2004 Graphic technology - Displays for colour proofing - Characteristics and viewi</w:t>
            </w:r>
            <w:r w:rsidRPr="002A23D5">
              <w:t xml:space="preserve">ng conditions </w:t>
            </w:r>
          </w:p>
          <w:p w:rsidR="00000000" w:rsidRPr="002A23D5" w:rsidP="002A23D5">
            <w:pPr>
              <w:pStyle w:val="ListBullet"/>
            </w:pPr>
            <w:r w:rsidRPr="002A23D5">
              <w:t>ISO 3664:2000 Viewing conditions - Graphic technology and photography</w:t>
            </w:r>
          </w:p>
          <w:p w:rsidR="00000000" w:rsidRPr="002A23D5" w:rsidP="002A23D5">
            <w:pPr>
              <w:pStyle w:val="ListBullet"/>
            </w:pPr>
            <w:r w:rsidRPr="002A23D5">
              <w:t>IEC 61966-9 Multimedia systems and equipment - Colour measurement and management - Part 9: Digital cameras</w:t>
            </w:r>
          </w:p>
          <w:p w:rsidR="00000000" w:rsidP="002A23D5">
            <w:pPr>
              <w:pStyle w:val="ListBullet"/>
              <w:rPr>
                <w:lang w:val="en-NZ"/>
              </w:rPr>
            </w:pPr>
            <w:r w:rsidRPr="002A23D5">
              <w:t>IEC 61966-8 Multimedia systems and equipment - Colour measuremen</w:t>
            </w:r>
            <w:r w:rsidRPr="002A23D5">
              <w:t>t and management - Part 8: Multimedia colour scanners</w:t>
            </w: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 xml:space="preserve">IEC 61966-7-1 Multimedia systems and equipment - Colour measurement and management - Part 7-1: Colour printers - Reflective prints - RGB inputs </w:t>
            </w:r>
          </w:p>
          <w:p w:rsidR="00000000" w:rsidRPr="002A23D5" w:rsidP="002A23D5">
            <w:pPr>
              <w:pStyle w:val="ListBullet"/>
            </w:pPr>
            <w:r w:rsidRPr="002A23D5">
              <w:t>IEC 61966-4 Multimedia systems and equipment - Colour measurement and management - Part 4: Equipment using liquid crystal display panels</w:t>
            </w:r>
          </w:p>
          <w:p w:rsidR="00000000" w:rsidRPr="002A23D5" w:rsidP="002A23D5">
            <w:pPr>
              <w:pStyle w:val="ListBullet"/>
            </w:pPr>
            <w:r w:rsidRPr="002A23D5">
              <w:t xml:space="preserve">IEC 61966-3 Multimedia systems and equipment - Colour measurement and management - Part 3: Equipment using cathode ray </w:t>
            </w:r>
            <w:r w:rsidRPr="002A23D5">
              <w:t>tubes</w:t>
            </w:r>
          </w:p>
          <w:p w:rsidR="00000000" w:rsidRPr="002A23D5" w:rsidP="002A23D5">
            <w:pPr>
              <w:pStyle w:val="ListBullet"/>
            </w:pPr>
            <w:r w:rsidRPr="002A23D5">
              <w:t>IEC 61966-2-1 and IEC 61966-2-1-am1 Multimedia systems and equipment - Colour measurement and management - Part 2-1: Colour management - Default RGB colour space - sRGB</w:t>
            </w:r>
          </w:p>
          <w:p w:rsidR="00000000" w:rsidRPr="002A23D5" w:rsidP="002A23D5">
            <w:pPr>
              <w:pStyle w:val="ListBullet"/>
            </w:pPr>
            <w:r w:rsidRPr="002A23D5">
              <w:t>IEC 61966-2-2 Multimedia systems and equipment - Colour measurement and managemen</w:t>
            </w:r>
            <w:r w:rsidRPr="002A23D5">
              <w:t>t - Part 2-2: Colour management - Extended RGB colour space - scRGB</w:t>
            </w:r>
          </w:p>
          <w:p w:rsidR="00000000" w:rsidRPr="002A23D5" w:rsidP="002A23D5">
            <w:pPr>
              <w:pStyle w:val="ListBullet"/>
            </w:pPr>
            <w:r w:rsidRPr="002A23D5">
              <w:t>IEC 61966-2-4 Multimedia systems and equipment - Colour measurement and management - Part 2-4: Colour management - Extended-gamut YCC colour space for video applications - xvYCC</w:t>
            </w:r>
          </w:p>
          <w:p w:rsidR="00000000" w:rsidRPr="002A23D5" w:rsidP="002A23D5">
            <w:pPr>
              <w:pStyle w:val="ListBullet"/>
            </w:pPr>
            <w:r w:rsidRPr="002A23D5">
              <w:t>ISO 22028-</w:t>
            </w:r>
            <w:r w:rsidRPr="002A23D5">
              <w:t>1:2004 Photography and Graphic Technology - Extended colour encodings for digital image storage, manipulation and interchange - Part 1: Architecture and requirements (ISO TC42)</w:t>
            </w:r>
          </w:p>
          <w:p w:rsidR="00000000" w:rsidRPr="002A23D5" w:rsidP="002A23D5">
            <w:pPr>
              <w:pStyle w:val="ListBullet"/>
            </w:pPr>
            <w:r w:rsidRPr="002A23D5">
              <w:t>ISO 12234-4: Photography - Electronic still-picture imaging - Part 4: Exchangea</w:t>
            </w:r>
            <w:r w:rsidRPr="002A23D5">
              <w:t>ble image file format (Exif 2.2) (ISO TC42)</w:t>
            </w:r>
          </w:p>
          <w:p w:rsidR="00000000" w:rsidP="002A23D5">
            <w:pPr>
              <w:pStyle w:val="ListBullet"/>
              <w:rPr>
                <w:lang w:val="en-NZ"/>
              </w:rPr>
            </w:pPr>
            <w:r w:rsidRPr="002A23D5">
              <w:t>IEC 61966-5 -Multimedia systems and equipment - Colour measurement and management - Part 5: Equipment using plasma display panels.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Digital imaging devices</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cameras</w:t>
            </w:r>
          </w:p>
          <w:p w:rsidR="00000000" w:rsidRPr="002A23D5" w:rsidP="002A23D5">
            <w:pPr>
              <w:pStyle w:val="ListBullet"/>
            </w:pPr>
            <w:r w:rsidRPr="002A23D5">
              <w:t>computers (hardware and software)</w:t>
            </w:r>
          </w:p>
          <w:p w:rsidR="00000000" w:rsidRPr="002A23D5" w:rsidP="002A23D5">
            <w:pPr>
              <w:pStyle w:val="ListBullet"/>
            </w:pPr>
            <w:r w:rsidRPr="002A23D5">
              <w:t>output devices:</w:t>
            </w:r>
          </w:p>
          <w:p w:rsidR="00000000" w:rsidRPr="002A23D5" w:rsidP="002A23D5">
            <w:pPr>
              <w:pStyle w:val="ListBullet2"/>
            </w:pPr>
            <w:r w:rsidRPr="002A23D5">
              <w:t>data projectors</w:t>
            </w:r>
          </w:p>
          <w:p w:rsidR="00000000" w:rsidRPr="002A23D5" w:rsidP="002A23D5">
            <w:pPr>
              <w:pStyle w:val="ListBullet2"/>
            </w:pPr>
            <w:r w:rsidRPr="002A23D5">
              <w:t>desktop printers</w:t>
            </w:r>
          </w:p>
          <w:p w:rsidR="00000000" w:rsidRPr="002A23D5" w:rsidP="002A23D5">
            <w:pPr>
              <w:pStyle w:val="ListBullet2"/>
            </w:pPr>
            <w:r w:rsidRPr="002A23D5">
              <w:t>film writers</w:t>
            </w:r>
          </w:p>
          <w:p w:rsidR="00000000" w:rsidRPr="002A23D5" w:rsidP="002A23D5">
            <w:pPr>
              <w:pStyle w:val="ListBullet2"/>
            </w:pPr>
            <w:r w:rsidRPr="002A23D5">
              <w:t>graphic arts printers</w:t>
            </w:r>
          </w:p>
          <w:p w:rsidR="00000000" w:rsidRPr="002A23D5" w:rsidP="002A23D5">
            <w:pPr>
              <w:pStyle w:val="ListBullet2"/>
            </w:pPr>
            <w:r w:rsidRPr="002A23D5">
              <w:t>imagesetters</w:t>
            </w:r>
          </w:p>
          <w:p w:rsidR="00000000" w:rsidRPr="002A23D5" w:rsidP="002A23D5">
            <w:pPr>
              <w:pStyle w:val="ListBullet2"/>
            </w:pPr>
            <w:r w:rsidRPr="002A23D5">
              <w:t>lab or bureau printers</w:t>
            </w:r>
          </w:p>
          <w:p w:rsidR="00000000" w:rsidRPr="002A23D5" w:rsidP="002A23D5">
            <w:pPr>
              <w:pStyle w:val="ListBullet2"/>
            </w:pPr>
            <w:r w:rsidRPr="002A23D5">
              <w:t>output to screen based display</w:t>
            </w:r>
          </w:p>
          <w:p w:rsidR="00000000" w:rsidRPr="002A23D5" w:rsidP="002A23D5">
            <w:pPr>
              <w:pStyle w:val="ListBullet"/>
            </w:pPr>
            <w:r w:rsidRPr="002A23D5">
              <w:t>scanners</w:t>
            </w:r>
          </w:p>
          <w:p w:rsidR="00000000" w:rsidRPr="002A23D5" w:rsidP="002A23D5">
            <w:pPr>
              <w:pStyle w:val="ListBullet"/>
            </w:pPr>
            <w:r w:rsidRPr="002A23D5">
              <w:t>self-contained capture backs (microscopes and telescopes)</w:t>
            </w:r>
          </w:p>
          <w:p w:rsidR="00000000" w:rsidP="002A23D5">
            <w:pPr>
              <w:pStyle w:val="ListBullet"/>
              <w:rPr>
                <w:lang w:val="en-NZ"/>
              </w:rPr>
            </w:pPr>
            <w:r w:rsidRPr="002A23D5">
              <w:t>video.</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Quality product</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computer or game software</w:t>
            </w:r>
          </w:p>
          <w:p w:rsidR="00000000" w:rsidRPr="002A23D5" w:rsidP="002A23D5">
            <w:pPr>
              <w:pStyle w:val="ListBullet"/>
            </w:pPr>
            <w:r w:rsidRPr="002A23D5">
              <w:t>digital images</w:t>
            </w:r>
          </w:p>
          <w:p w:rsidR="00000000" w:rsidRPr="002A23D5" w:rsidP="002A23D5">
            <w:pPr>
              <w:pStyle w:val="ListBullet"/>
            </w:pPr>
            <w:r w:rsidRPr="002A23D5">
              <w:t>documents for output via:</w:t>
            </w:r>
          </w:p>
          <w:p w:rsidR="00000000" w:rsidRPr="002A23D5" w:rsidP="002A23D5">
            <w:pPr>
              <w:pStyle w:val="ListBullet2"/>
            </w:pPr>
            <w:r w:rsidRPr="002A23D5">
              <w:t>CMYK printing presses</w:t>
            </w:r>
          </w:p>
          <w:p w:rsidR="00000000" w:rsidRPr="002A23D5" w:rsidP="002A23D5">
            <w:pPr>
              <w:pStyle w:val="ListBullet2"/>
            </w:pPr>
            <w:r w:rsidRPr="002A23D5">
              <w:t>desktop printers</w:t>
            </w:r>
          </w:p>
          <w:p w:rsidR="00000000" w:rsidRPr="002A23D5" w:rsidP="002A23D5">
            <w:pPr>
              <w:pStyle w:val="ListBullet2"/>
            </w:pPr>
            <w:r w:rsidRPr="002A23D5">
              <w:t>film writers</w:t>
            </w:r>
          </w:p>
          <w:p w:rsidR="00000000" w:rsidRPr="002A23D5" w:rsidP="002A23D5">
            <w:pPr>
              <w:pStyle w:val="ListBullet2"/>
            </w:pPr>
            <w:r w:rsidRPr="002A23D5">
              <w:t>LED and CRT printers</w:t>
            </w:r>
          </w:p>
          <w:p w:rsidR="00000000" w:rsidRPr="002A23D5" w:rsidP="002A23D5">
            <w:pPr>
              <w:pStyle w:val="ListBullet2"/>
            </w:pPr>
            <w:r w:rsidRPr="002A23D5">
              <w:t>wide format inkjet printers</w:t>
            </w:r>
          </w:p>
          <w:p w:rsidR="00000000" w:rsidRPr="002A23D5" w:rsidP="002A23D5">
            <w:pPr>
              <w:pStyle w:val="ListBullet"/>
            </w:pPr>
            <w:r w:rsidRPr="002A23D5">
              <w:t>interactive sequences</w:t>
            </w:r>
          </w:p>
          <w:p w:rsidR="00000000" w:rsidRPr="002A23D5" w:rsidP="002A23D5">
            <w:pPr>
              <w:pStyle w:val="ListBullet"/>
            </w:pPr>
            <w:r w:rsidRPr="002A23D5">
              <w:t>videos</w:t>
            </w:r>
          </w:p>
          <w:p w:rsidR="00000000" w:rsidP="002A23D5">
            <w:pPr>
              <w:pStyle w:val="ListBullet"/>
              <w:rPr>
                <w:lang w:val="en-NZ"/>
              </w:rPr>
            </w:pPr>
            <w:r w:rsidRPr="002A23D5">
              <w:t>websites.</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A23D5">
            <w:pPr>
              <w:pStyle w:val="BodyText"/>
              <w:rPr>
                <w:lang w:val="en-NZ"/>
              </w:rPr>
            </w:pPr>
          </w:p>
        </w:tc>
      </w:tr>
      <w:tr w:rsidTr="00DF1FA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BoldandItalics"/>
              </w:rPr>
              <w:t>Colour management systems or strategies</w:t>
            </w:r>
            <w:r w:rsidRPr="002A23D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A23D5" w:rsidP="002A23D5">
            <w:pPr>
              <w:pStyle w:val="ListBullet"/>
            </w:pPr>
            <w:r w:rsidRPr="002A23D5">
              <w:t>calibration devices</w:t>
            </w:r>
          </w:p>
          <w:p w:rsidR="00000000" w:rsidRPr="002A23D5" w:rsidP="002A23D5">
            <w:pPr>
              <w:pStyle w:val="ListBullet2"/>
            </w:pPr>
            <w:r w:rsidRPr="002A23D5">
              <w:t>colourimeters</w:t>
            </w:r>
          </w:p>
          <w:p w:rsidR="00000000" w:rsidRPr="002A23D5" w:rsidP="002A23D5">
            <w:pPr>
              <w:pStyle w:val="ListBullet2"/>
            </w:pPr>
            <w:r w:rsidRPr="002A23D5">
              <w:t>devices for camera, screen, scan and output calibration</w:t>
            </w:r>
          </w:p>
          <w:p w:rsidR="00000000" w:rsidRPr="002A23D5" w:rsidP="002A23D5">
            <w:pPr>
              <w:pStyle w:val="ListBullet2"/>
            </w:pPr>
            <w:r w:rsidRPr="002A23D5">
              <w:t>spectrophotometer</w:t>
            </w:r>
          </w:p>
          <w:p w:rsidR="00000000" w:rsidRPr="002A23D5" w:rsidP="002A23D5">
            <w:pPr>
              <w:pStyle w:val="ListBullet"/>
            </w:pPr>
            <w:r w:rsidRPr="002A23D5">
              <w:t>profiling</w:t>
            </w:r>
          </w:p>
          <w:p w:rsidR="00000000" w:rsidRPr="002A23D5" w:rsidP="002A23D5">
            <w:pPr>
              <w:pStyle w:val="ListBullet2"/>
            </w:pPr>
            <w:r w:rsidRPr="002A23D5">
              <w:t>canned and custom profile</w:t>
            </w:r>
          </w:p>
          <w:p w:rsidR="00000000" w:rsidRPr="002A23D5" w:rsidP="002A23D5">
            <w:pPr>
              <w:pStyle w:val="ListBullet2"/>
            </w:pPr>
            <w:r w:rsidRPr="002A23D5">
              <w:t>colour and resolution targets for scanning and/or digital camera capture</w:t>
            </w:r>
          </w:p>
          <w:p w:rsidR="00000000" w:rsidRPr="002A23D5" w:rsidP="002A23D5">
            <w:pPr>
              <w:pStyle w:val="ListBullet2"/>
            </w:pPr>
            <w:r w:rsidRPr="002A23D5">
              <w:t>device-dependent and device-independent</w:t>
            </w:r>
          </w:p>
          <w:p w:rsidR="00000000" w:rsidRPr="002A23D5" w:rsidP="002A23D5">
            <w:pPr>
              <w:pStyle w:val="ListBullet2"/>
            </w:pPr>
            <w:r w:rsidRPr="002A23D5">
              <w:t>embed/apply/discard/convert profile options</w:t>
            </w:r>
          </w:p>
          <w:p w:rsidR="00000000" w:rsidRPr="002A23D5" w:rsidP="002A23D5">
            <w:pPr>
              <w:pStyle w:val="ListBullet2"/>
            </w:pPr>
            <w:r w:rsidRPr="002A23D5">
              <w:t>ICC Profiles</w:t>
            </w:r>
          </w:p>
          <w:p w:rsidR="00000000" w:rsidRPr="002A23D5" w:rsidP="002A23D5">
            <w:pPr>
              <w:pStyle w:val="ListBullet2"/>
            </w:pPr>
            <w:r w:rsidRPr="002A23D5">
              <w:t>reference cards and printer colour reference swatch books</w:t>
            </w:r>
          </w:p>
          <w:p w:rsidR="00000000" w:rsidRPr="002A23D5" w:rsidP="002A23D5">
            <w:pPr>
              <w:pStyle w:val="ListBullet"/>
            </w:pPr>
            <w:r w:rsidRPr="002A23D5">
              <w:t>workplace environment:</w:t>
            </w:r>
          </w:p>
          <w:p w:rsidR="00000000" w:rsidRPr="002A23D5" w:rsidP="002A23D5">
            <w:pPr>
              <w:pStyle w:val="ListBullet2"/>
            </w:pPr>
            <w:r w:rsidRPr="002A23D5">
              <w:t>air</w:t>
            </w:r>
            <w:r w:rsidRPr="002A23D5">
              <w:t xml:space="preserve"> borne pollutants</w:t>
            </w:r>
          </w:p>
          <w:p w:rsidR="00000000" w:rsidRPr="002A23D5" w:rsidP="002A23D5">
            <w:pPr>
              <w:pStyle w:val="ListBullet2"/>
            </w:pPr>
            <w:r w:rsidRPr="002A23D5">
              <w:t>ambient lighting</w:t>
            </w:r>
          </w:p>
          <w:p w:rsidR="00000000" w:rsidRPr="002A23D5" w:rsidP="002A23D5">
            <w:pPr>
              <w:pStyle w:val="ListBullet2"/>
            </w:pPr>
            <w:r w:rsidRPr="002A23D5">
              <w:t>controlled viewing conditions</w:t>
            </w:r>
          </w:p>
          <w:p w:rsidR="00000000" w:rsidRPr="002A23D5" w:rsidP="002A23D5">
            <w:pPr>
              <w:pStyle w:val="ListBullet2"/>
            </w:pPr>
            <w:r w:rsidRPr="002A23D5">
              <w:t>temperature and humidity</w:t>
            </w:r>
          </w:p>
          <w:p w:rsidR="00000000" w:rsidRPr="002A23D5" w:rsidP="002A23D5">
            <w:pPr>
              <w:pStyle w:val="ListBullet"/>
            </w:pPr>
            <w:r w:rsidRPr="002A23D5">
              <w:t>WYSIWYG and closed loop system:</w:t>
            </w:r>
          </w:p>
          <w:p w:rsidR="00000000" w:rsidRPr="002A23D5" w:rsidP="002A23D5">
            <w:pPr>
              <w:pStyle w:val="ListBullet2"/>
            </w:pPr>
            <w:r w:rsidRPr="002A23D5">
              <w:t>colour management policies</w:t>
            </w:r>
          </w:p>
          <w:p w:rsidR="00000000" w:rsidRPr="002A23D5" w:rsidP="002A23D5">
            <w:pPr>
              <w:pStyle w:val="ListBullet2"/>
            </w:pPr>
            <w:r w:rsidRPr="002A23D5">
              <w:t>colour picker</w:t>
            </w:r>
          </w:p>
          <w:p w:rsidR="00000000" w:rsidRPr="002A23D5" w:rsidP="002A23D5">
            <w:pPr>
              <w:pStyle w:val="ListBullet2"/>
            </w:pPr>
            <w:r w:rsidRPr="002A23D5">
              <w:t>colour space gamut and gamut warnings</w:t>
            </w:r>
          </w:p>
          <w:p w:rsidR="00000000" w:rsidRPr="002A23D5" w:rsidP="002A23D5">
            <w:pPr>
              <w:pStyle w:val="ListBullet2"/>
            </w:pPr>
            <w:r w:rsidRPr="002A23D5">
              <w:t>dynamic range</w:t>
            </w:r>
          </w:p>
          <w:p w:rsidR="00000000" w:rsidRPr="002A23D5" w:rsidP="002A23D5">
            <w:pPr>
              <w:pStyle w:val="ListBullet2"/>
            </w:pPr>
            <w:r w:rsidRPr="002A23D5">
              <w:t>gamma</w:t>
            </w:r>
          </w:p>
          <w:p w:rsidR="00000000" w:rsidRPr="002A23D5" w:rsidP="002A23D5">
            <w:pPr>
              <w:pStyle w:val="ListBullet2"/>
            </w:pPr>
            <w:r w:rsidRPr="002A23D5">
              <w:t>hue and saturation</w:t>
            </w:r>
          </w:p>
          <w:p w:rsidR="00000000" w:rsidRPr="002A23D5" w:rsidP="002A23D5">
            <w:pPr>
              <w:pStyle w:val="ListBullet2"/>
            </w:pPr>
            <w:r w:rsidRPr="002A23D5">
              <w:t>rendering intents</w:t>
            </w:r>
          </w:p>
          <w:p w:rsidR="00000000" w:rsidRPr="002A23D5" w:rsidP="002A23D5">
            <w:pPr>
              <w:pStyle w:val="ListBullet2"/>
            </w:pPr>
            <w:r w:rsidRPr="002A23D5">
              <w:t>soft proofing</w:t>
            </w:r>
          </w:p>
          <w:p w:rsidR="00000000" w:rsidP="002A23D5">
            <w:pPr>
              <w:pStyle w:val="ListBullet2"/>
              <w:rPr>
                <w:lang w:val="en-NZ"/>
              </w:rPr>
            </w:pPr>
            <w:r w:rsidRPr="002A23D5">
              <w:t>white and grey balance and black point.</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A23D5" w:rsidP="002A23D5">
            <w:pPr>
              <w:pStyle w:val="BodyText"/>
            </w:pPr>
          </w:p>
        </w:tc>
      </w:tr>
    </w:tbl>
    <w:p w:rsidR="00DF1FAD" w:rsidP="002A23D5">
      <w:pPr>
        <w:pStyle w:val="BodyText"/>
      </w:pPr>
    </w:p>
    <w:p w:rsidR="00DF1FAD" w:rsidP="002A23D5">
      <w:pPr>
        <w:pStyle w:val="BodyText"/>
      </w:pPr>
    </w:p>
    <w:p w:rsidR="00000000" w:rsidRPr="002A23D5" w:rsidP="002A23D5">
      <w:pPr>
        <w:pStyle w:val="Heading1"/>
      </w:pPr>
      <w:bookmarkStart w:id="12" w:name="O_294460"/>
      <w:bookmarkEnd w:id="12"/>
      <w:r w:rsidRPr="002A23D5">
        <w:t>Unit Sector(s)</w:t>
      </w:r>
    </w:p>
    <w:p w:rsidR="00000000" w:rsidRPr="002A23D5" w:rsidP="002A23D5">
      <w:pPr>
        <w:pStyle w:val="BodyText"/>
      </w:pPr>
      <w:r w:rsidRPr="002A23D5">
        <w:t>Not Applicable</w:t>
      </w:r>
    </w:p>
    <w:p w:rsidR="00000000" w:rsidRPr="002A23D5" w:rsidP="002A23D5">
      <w:pPr>
        <w:pStyle w:val="AllowPageBreak"/>
      </w:pPr>
    </w:p>
    <w:p w:rsidR="00000000" w:rsidRPr="002A23D5" w:rsidP="002A23D5">
      <w:pPr>
        <w:pStyle w:val="Heading1"/>
      </w:pPr>
      <w:bookmarkStart w:id="13" w:name="O_202912"/>
      <w:bookmarkEnd w:id="13"/>
      <w:r w:rsidRPr="002A23D5">
        <w:t>Competency field</w:t>
      </w:r>
    </w:p>
    <w:tbl>
      <w:tblPr>
        <w:tblW w:w="0" w:type="auto"/>
        <w:tblLayout w:type="fixed"/>
        <w:tblCellMar>
          <w:left w:w="62" w:type="dxa"/>
          <w:right w:w="62" w:type="dxa"/>
        </w:tblCellMar>
        <w:tblLook w:val="0000"/>
      </w:tblPr>
      <w:tblGrid>
        <w:gridCol w:w="2694"/>
        <w:gridCol w:w="5811"/>
      </w:tblGrid>
      <w:tr w:rsidTr="00DF1FA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2A23D5">
            <w:pPr>
              <w:pStyle w:val="BodyText"/>
              <w:rPr>
                <w:lang w:val="en-NZ"/>
              </w:rPr>
            </w:pPr>
            <w:r w:rsidRPr="002A23D5">
              <w:t>Design and Visual Communication - Photoimaging</w:t>
            </w:r>
          </w:p>
        </w:tc>
      </w:tr>
      <w:tr w:rsidTr="00DF1FA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A23D5" w:rsidP="002A23D5">
            <w:pPr>
              <w:pStyle w:val="BodyText"/>
            </w:pPr>
          </w:p>
        </w:tc>
      </w:tr>
    </w:tbl>
    <w:p w:rsidR="00DF1FAD" w:rsidP="002A23D5">
      <w:pPr>
        <w:pStyle w:val="BodyText"/>
      </w:pPr>
    </w:p>
    <w:p w:rsidR="00DF1FAD" w:rsidP="002A23D5">
      <w:pPr>
        <w:pStyle w:val="BodyText"/>
      </w:pPr>
    </w:p>
    <w:p w:rsidR="00000000" w:rsidRPr="002A23D5" w:rsidP="002A23D5"/>
    <w:sectPr w:rsidSect="002A2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FAD" w:rsidP="00DF1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AD" w:rsidP="002A2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1FAD" w:rsidP="002A23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1FAD" w:rsidP="002A23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FAD" w:rsidP="00DF1F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FAD" w:rsidP="002A23D5">
    <w:pPr>
      <w:pStyle w:val="Header"/>
      <w:framePr w:wrap="around"/>
    </w:pPr>
    <w:r>
      <w:fldChar w:fldCharType="begin"/>
    </w:r>
    <w:r>
      <w:instrText xml:space="preserve"> TITLE   \* MERGEFORMAT </w:instrText>
    </w:r>
    <w:r>
      <w:fldChar w:fldCharType="separate"/>
    </w:r>
    <w:r>
      <w:t>CUVPHI514A Employ colour management in a digital imaging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1FAD" w:rsidP="002A23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AE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8D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A4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3D5"/>
    <w:pPr>
      <w:spacing w:before="360" w:after="60"/>
      <w:outlineLvl w:val="0"/>
    </w:pPr>
    <w:rPr>
      <w:sz w:val="32"/>
    </w:rPr>
  </w:style>
  <w:style w:type="paragraph" w:styleId="Heading2">
    <w:name w:val="heading 2"/>
    <w:basedOn w:val="HeadingBase"/>
    <w:next w:val="BodyText"/>
    <w:link w:val="Heading2Char"/>
    <w:qFormat/>
    <w:rsid w:val="002A23D5"/>
    <w:pPr>
      <w:keepLines/>
      <w:spacing w:before="240" w:after="120"/>
      <w:outlineLvl w:val="1"/>
    </w:pPr>
    <w:rPr>
      <w:sz w:val="28"/>
      <w:szCs w:val="40"/>
    </w:rPr>
  </w:style>
  <w:style w:type="paragraph" w:styleId="Heading3">
    <w:name w:val="heading 3"/>
    <w:basedOn w:val="HeadingBase"/>
    <w:next w:val="BodyText"/>
    <w:link w:val="Heading3Char"/>
    <w:qFormat/>
    <w:rsid w:val="002A23D5"/>
    <w:pPr>
      <w:spacing w:before="180" w:after="120"/>
      <w:outlineLvl w:val="2"/>
    </w:pPr>
    <w:rPr>
      <w:spacing w:val="-10"/>
      <w:kern w:val="32"/>
    </w:rPr>
  </w:style>
  <w:style w:type="paragraph" w:styleId="Heading4">
    <w:name w:val="heading 4"/>
    <w:basedOn w:val="HeadingBase"/>
    <w:next w:val="BodyText"/>
    <w:link w:val="Heading4Char"/>
    <w:qFormat/>
    <w:rsid w:val="002A23D5"/>
    <w:pPr>
      <w:spacing w:before="160" w:after="120"/>
      <w:outlineLvl w:val="3"/>
    </w:pPr>
    <w:rPr>
      <w:sz w:val="22"/>
    </w:rPr>
  </w:style>
  <w:style w:type="paragraph" w:styleId="Heading5">
    <w:name w:val="heading 5"/>
    <w:basedOn w:val="HeadingBase"/>
    <w:next w:val="Normal"/>
    <w:link w:val="Heading5Char"/>
    <w:qFormat/>
    <w:rsid w:val="002A23D5"/>
    <w:pPr>
      <w:spacing w:before="80"/>
      <w:outlineLvl w:val="4"/>
    </w:pPr>
    <w:rPr>
      <w:color w:val="918585"/>
      <w:sz w:val="20"/>
    </w:rPr>
  </w:style>
  <w:style w:type="paragraph" w:styleId="Heading6">
    <w:name w:val="heading 6"/>
    <w:basedOn w:val="HeadingBase"/>
    <w:next w:val="Normal"/>
    <w:link w:val="Heading6Char"/>
    <w:qFormat/>
    <w:rsid w:val="002A23D5"/>
    <w:pPr>
      <w:spacing w:before="60"/>
      <w:outlineLvl w:val="5"/>
    </w:pPr>
    <w:rPr>
      <w:color w:val="918585"/>
      <w:sz w:val="20"/>
    </w:rPr>
  </w:style>
  <w:style w:type="paragraph" w:styleId="Heading7">
    <w:name w:val="heading 7"/>
    <w:basedOn w:val="Normal"/>
    <w:next w:val="Normal"/>
    <w:link w:val="Heading7Char"/>
    <w:qFormat/>
    <w:rsid w:val="002A23D5"/>
    <w:pPr>
      <w:ind w:left="720"/>
      <w:outlineLvl w:val="6"/>
    </w:pPr>
    <w:rPr>
      <w:i/>
    </w:rPr>
  </w:style>
  <w:style w:type="paragraph" w:styleId="Heading8">
    <w:name w:val="heading 8"/>
    <w:basedOn w:val="Normal"/>
    <w:next w:val="Normal"/>
    <w:link w:val="Heading8Char"/>
    <w:qFormat/>
    <w:rsid w:val="002A23D5"/>
    <w:pPr>
      <w:ind w:left="720"/>
      <w:outlineLvl w:val="7"/>
    </w:pPr>
    <w:rPr>
      <w:i/>
    </w:rPr>
  </w:style>
  <w:style w:type="paragraph" w:styleId="Heading9">
    <w:name w:val="heading 9"/>
    <w:basedOn w:val="Normal"/>
    <w:next w:val="Normal"/>
    <w:link w:val="Heading9Char"/>
    <w:qFormat/>
    <w:rsid w:val="002A23D5"/>
    <w:pPr>
      <w:ind w:left="720"/>
      <w:outlineLvl w:val="8"/>
    </w:pPr>
    <w:rPr>
      <w:i/>
    </w:rPr>
  </w:style>
  <w:style w:type="character" w:default="1" w:styleId="DefaultParagraphFont">
    <w:name w:val="Default Paragraph Font"/>
    <w:uiPriority w:val="1"/>
    <w:unhideWhenUsed/>
    <w:rsid w:val="002A2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3D5"/>
  </w:style>
  <w:style w:type="character" w:customStyle="1" w:styleId="Heading1Char">
    <w:name w:val="Heading 1 Char"/>
    <w:basedOn w:val="DefaultParagraphFont"/>
    <w:link w:val="Heading1"/>
    <w:rsid w:val="002A23D5"/>
    <w:rPr>
      <w:rFonts w:ascii="Times New Roman" w:eastAsia="Times New Roman" w:hAnsi="Times New Roman" w:cs="Times New Roman"/>
      <w:b/>
      <w:sz w:val="32"/>
      <w:szCs w:val="20"/>
      <w:lang w:eastAsia="en-US"/>
    </w:rPr>
  </w:style>
  <w:style w:type="paragraph" w:styleId="BodyText">
    <w:name w:val="Body Text"/>
    <w:basedOn w:val="Normal"/>
    <w:link w:val="BodyTextChar"/>
    <w:rsid w:val="002A2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3D5"/>
    <w:rPr>
      <w:rFonts w:ascii="Times New Roman" w:eastAsia="Times New Roman" w:hAnsi="Times New Roman" w:cs="Times New Roman"/>
      <w:sz w:val="24"/>
      <w:lang w:val="en-US" w:eastAsia="en-US"/>
    </w:rPr>
  </w:style>
  <w:style w:type="paragraph" w:styleId="Footer">
    <w:name w:val="footer"/>
    <w:basedOn w:val="Normal"/>
    <w:link w:val="FooterChar"/>
    <w:rsid w:val="002A2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3D5"/>
    <w:rPr>
      <w:rFonts w:ascii="Times New Roman" w:eastAsia="Times New Roman" w:hAnsi="Times New Roman" w:cs="Times New Roman"/>
      <w:sz w:val="16"/>
      <w:lang w:val="en-US" w:eastAsia="en-US"/>
    </w:rPr>
  </w:style>
  <w:style w:type="paragraph" w:styleId="ListBullet">
    <w:name w:val="List Bullet"/>
    <w:basedOn w:val="List"/>
    <w:rsid w:val="002A23D5"/>
    <w:pPr>
      <w:numPr>
        <w:numId w:val="13"/>
      </w:numPr>
      <w:tabs>
        <w:tab w:val="clear" w:pos="340"/>
      </w:tabs>
      <w:spacing w:before="40" w:after="40"/>
    </w:pPr>
  </w:style>
  <w:style w:type="character" w:customStyle="1" w:styleId="SpecialBold">
    <w:name w:val="Special Bold"/>
    <w:basedOn w:val="DefaultParagraphFont"/>
    <w:rsid w:val="002A23D5"/>
    <w:rPr>
      <w:b/>
      <w:spacing w:val="0"/>
    </w:rPr>
  </w:style>
  <w:style w:type="paragraph" w:styleId="ListBullet2">
    <w:name w:val="List Bullet 2"/>
    <w:basedOn w:val="List2"/>
    <w:rsid w:val="002A23D5"/>
    <w:pPr>
      <w:numPr>
        <w:numId w:val="14"/>
      </w:numPr>
      <w:tabs>
        <w:tab w:val="clear" w:pos="680"/>
      </w:tabs>
    </w:pPr>
  </w:style>
  <w:style w:type="paragraph" w:styleId="Header">
    <w:name w:val="header"/>
    <w:basedOn w:val="Normal"/>
    <w:link w:val="HeaderChar"/>
    <w:rsid w:val="002A2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3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3D5"/>
    <w:pPr>
      <w:spacing w:before="240" w:after="120"/>
      <w:outlineLvl w:val="0"/>
    </w:pPr>
    <w:rPr>
      <w:rFonts w:ascii="Times New Roman" w:hAnsi="Times New Roman"/>
      <w:b/>
      <w:sz w:val="28"/>
    </w:rPr>
  </w:style>
  <w:style w:type="paragraph" w:customStyle="1" w:styleId="AllowPageBreak">
    <w:name w:val="AllowPageBreak"/>
    <w:rsid w:val="002A23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23D5"/>
    <w:pPr>
      <w:tabs>
        <w:tab w:val="left" w:pos="680"/>
      </w:tabs>
      <w:spacing w:before="60" w:after="60"/>
      <w:ind w:left="680" w:hanging="340"/>
    </w:pPr>
  </w:style>
  <w:style w:type="paragraph" w:styleId="List3">
    <w:name w:val="List 3"/>
    <w:basedOn w:val="BodyText"/>
    <w:rsid w:val="002A23D5"/>
    <w:pPr>
      <w:tabs>
        <w:tab w:val="left" w:pos="1021"/>
      </w:tabs>
      <w:spacing w:before="60" w:after="60"/>
      <w:ind w:left="1020" w:hanging="340"/>
    </w:pPr>
  </w:style>
  <w:style w:type="character" w:customStyle="1" w:styleId="BoldandItalics">
    <w:name w:val="Bold and Italics"/>
    <w:qFormat/>
    <w:rsid w:val="002A23D5"/>
    <w:rPr>
      <w:b/>
      <w:i/>
      <w:u w:val="none"/>
    </w:rPr>
  </w:style>
  <w:style w:type="character" w:customStyle="1" w:styleId="Heading2Char">
    <w:name w:val="Heading 2 Char"/>
    <w:basedOn w:val="DefaultParagraphFont"/>
    <w:link w:val="Heading2"/>
    <w:rsid w:val="002A2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3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3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3D5"/>
    <w:rPr>
      <w:rFonts w:ascii="Courier New" w:eastAsia="Times New Roman" w:hAnsi="Courier New" w:cs="Times New Roman"/>
      <w:i/>
      <w:szCs w:val="20"/>
      <w:lang w:val="en-US" w:eastAsia="en-US"/>
    </w:rPr>
  </w:style>
  <w:style w:type="paragraph" w:customStyle="1" w:styleId="HeadingBase">
    <w:name w:val="Heading Base"/>
    <w:rsid w:val="002A2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3D5"/>
    <w:pPr>
      <w:tabs>
        <w:tab w:val="right" w:leader="dot" w:pos="9072"/>
      </w:tabs>
      <w:ind w:left="567"/>
    </w:pPr>
    <w:rPr>
      <w:szCs w:val="22"/>
    </w:rPr>
  </w:style>
  <w:style w:type="paragraph" w:customStyle="1" w:styleId="TOCBase">
    <w:name w:val="TOC Base"/>
    <w:rsid w:val="002A2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3D5"/>
    <w:pPr>
      <w:tabs>
        <w:tab w:val="right" w:leader="dot" w:pos="9072"/>
      </w:tabs>
      <w:spacing w:before="40" w:after="40"/>
      <w:ind w:left="284"/>
    </w:pPr>
    <w:rPr>
      <w:rFonts w:ascii="Times New Roman" w:hAnsi="Times New Roman"/>
    </w:rPr>
  </w:style>
  <w:style w:type="paragraph" w:styleId="TOC1">
    <w:name w:val="toc 1"/>
    <w:basedOn w:val="TOCBase"/>
    <w:next w:val="Normal"/>
    <w:rsid w:val="002A23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3D5"/>
    <w:pPr>
      <w:spacing w:before="5040"/>
      <w:jc w:val="center"/>
    </w:pPr>
    <w:rPr>
      <w:sz w:val="48"/>
      <w:szCs w:val="72"/>
      <w:lang w:val="en-US"/>
    </w:rPr>
  </w:style>
  <w:style w:type="character" w:customStyle="1" w:styleId="TitleChar">
    <w:name w:val="Title Char"/>
    <w:basedOn w:val="DefaultParagraphFont"/>
    <w:link w:val="Title"/>
    <w:rsid w:val="002A2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3D5"/>
    <w:pPr>
      <w:tabs>
        <w:tab w:val="left" w:pos="3600"/>
        <w:tab w:val="left" w:pos="3958"/>
      </w:tabs>
    </w:pPr>
  </w:style>
  <w:style w:type="paragraph" w:styleId="List">
    <w:name w:val="List"/>
    <w:basedOn w:val="BodyText"/>
    <w:next w:val="BodyText"/>
    <w:rsid w:val="002A23D5"/>
    <w:pPr>
      <w:tabs>
        <w:tab w:val="left" w:pos="340"/>
      </w:tabs>
      <w:spacing w:before="60" w:after="60"/>
      <w:ind w:left="340" w:hanging="340"/>
    </w:pPr>
  </w:style>
  <w:style w:type="paragraph" w:customStyle="1" w:styleId="Note">
    <w:name w:val="Note"/>
    <w:basedOn w:val="BodyText"/>
    <w:rsid w:val="002A2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3D5"/>
    <w:pPr>
      <w:framePr w:wrap="auto" w:hAnchor="text" w:y="6049"/>
    </w:pPr>
    <w:rPr>
      <w:color w:val="000000"/>
      <w:sz w:val="40"/>
    </w:rPr>
  </w:style>
  <w:style w:type="paragraph" w:customStyle="1" w:styleId="TOCTitle">
    <w:name w:val="TOCTitle"/>
    <w:basedOn w:val="Heading1"/>
    <w:rsid w:val="002A23D5"/>
    <w:pPr>
      <w:spacing w:after="240"/>
      <w:jc w:val="center"/>
      <w:outlineLvl w:val="9"/>
    </w:pPr>
    <w:rPr>
      <w:caps/>
    </w:rPr>
  </w:style>
  <w:style w:type="paragraph" w:customStyle="1" w:styleId="Version">
    <w:name w:val="Version"/>
    <w:rsid w:val="002A2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3D5"/>
    <w:pPr>
      <w:keepNext w:val="0"/>
      <w:tabs>
        <w:tab w:val="right" w:pos="4176"/>
      </w:tabs>
      <w:ind w:left="198" w:hanging="198"/>
    </w:pPr>
    <w:rPr>
      <w:rFonts w:ascii="Garamond" w:hAnsi="Garamond"/>
    </w:rPr>
  </w:style>
  <w:style w:type="paragraph" w:styleId="IndexHeading">
    <w:name w:val="index heading"/>
    <w:basedOn w:val="Normal"/>
    <w:next w:val="Index1"/>
    <w:semiHidden/>
    <w:rsid w:val="002A23D5"/>
    <w:pPr>
      <w:spacing w:before="120" w:after="120"/>
    </w:pPr>
    <w:rPr>
      <w:rFonts w:ascii="Arial" w:hAnsi="Arial"/>
      <w:b/>
      <w:color w:val="918585"/>
      <w:sz w:val="24"/>
    </w:rPr>
  </w:style>
  <w:style w:type="paragraph" w:customStyle="1" w:styleId="Chapter">
    <w:name w:val="Chapter"/>
    <w:basedOn w:val="Normal"/>
    <w:rsid w:val="002A23D5"/>
    <w:pPr>
      <w:spacing w:before="240"/>
    </w:pPr>
    <w:rPr>
      <w:rFonts w:ascii="Times New Roman" w:hAnsi="Times New Roman"/>
      <w:smallCaps/>
      <w:spacing w:val="80"/>
      <w:sz w:val="28"/>
    </w:rPr>
  </w:style>
  <w:style w:type="paragraph" w:customStyle="1" w:styleId="InChapter">
    <w:name w:val="InChapter"/>
    <w:basedOn w:val="Heading3"/>
    <w:rsid w:val="002A23D5"/>
    <w:pPr>
      <w:spacing w:after="240"/>
      <w:outlineLvl w:val="9"/>
    </w:pPr>
    <w:rPr>
      <w:noProof/>
    </w:rPr>
  </w:style>
  <w:style w:type="paragraph" w:styleId="Index2">
    <w:name w:val="index 2"/>
    <w:basedOn w:val="Normal"/>
    <w:next w:val="Normal"/>
    <w:semiHidden/>
    <w:rsid w:val="002A23D5"/>
    <w:pPr>
      <w:tabs>
        <w:tab w:val="right" w:pos="4176"/>
      </w:tabs>
      <w:ind w:left="568" w:hanging="284"/>
    </w:pPr>
    <w:rPr>
      <w:rFonts w:ascii="Garamond" w:hAnsi="Garamond"/>
    </w:rPr>
  </w:style>
  <w:style w:type="paragraph" w:customStyle="1" w:styleId="Byline">
    <w:name w:val="Byline"/>
    <w:rsid w:val="002A2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3D5"/>
    <w:pPr>
      <w:tabs>
        <w:tab w:val="clear" w:pos="3600"/>
        <w:tab w:val="clear" w:pos="3958"/>
      </w:tabs>
      <w:jc w:val="right"/>
    </w:pPr>
  </w:style>
  <w:style w:type="character" w:styleId="Emphasis">
    <w:name w:val="Emphasis"/>
    <w:basedOn w:val="DefaultParagraphFont"/>
    <w:qFormat/>
    <w:rsid w:val="002A23D5"/>
    <w:rPr>
      <w:i/>
    </w:rPr>
  </w:style>
  <w:style w:type="paragraph" w:styleId="Caption">
    <w:name w:val="caption"/>
    <w:basedOn w:val="BodyText"/>
    <w:next w:val="Normal"/>
    <w:qFormat/>
    <w:rsid w:val="002A23D5"/>
    <w:pPr>
      <w:framePr w:w="2268" w:hSpace="181" w:vSpace="181" w:wrap="around" w:vAnchor="text" w:hAnchor="page" w:x="1135" w:y="285" w:anchorLock="1"/>
    </w:pPr>
    <w:rPr>
      <w:i/>
    </w:rPr>
  </w:style>
  <w:style w:type="paragraph" w:customStyle="1" w:styleId="MiniTOCTitle">
    <w:name w:val="MiniTOCTitle"/>
    <w:basedOn w:val="Heading4"/>
    <w:rsid w:val="002A23D5"/>
    <w:pPr>
      <w:spacing w:before="240"/>
      <w:outlineLvl w:val="9"/>
    </w:pPr>
    <w:rPr>
      <w:noProof/>
      <w:sz w:val="24"/>
    </w:rPr>
  </w:style>
  <w:style w:type="paragraph" w:customStyle="1" w:styleId="MiniTOCItem">
    <w:name w:val="MiniTOCItem"/>
    <w:basedOn w:val="ListBullet"/>
    <w:rsid w:val="002A23D5"/>
    <w:pPr>
      <w:numPr>
        <w:numId w:val="0"/>
      </w:numPr>
      <w:tabs>
        <w:tab w:val="right" w:leader="dot" w:pos="6521"/>
      </w:tabs>
      <w:spacing w:before="0" w:after="0"/>
    </w:pPr>
  </w:style>
  <w:style w:type="paragraph" w:customStyle="1" w:styleId="TOFTitle">
    <w:name w:val="TOFTitle"/>
    <w:basedOn w:val="TOCTitle"/>
    <w:rsid w:val="002A23D5"/>
  </w:style>
  <w:style w:type="paragraph" w:styleId="TableofFigures">
    <w:name w:val="table of figures"/>
    <w:basedOn w:val="Normal"/>
    <w:next w:val="Normal"/>
    <w:semiHidden/>
    <w:rsid w:val="002A23D5"/>
    <w:pPr>
      <w:tabs>
        <w:tab w:val="right" w:leader="dot" w:pos="9072"/>
      </w:tabs>
      <w:ind w:left="970" w:hanging="403"/>
    </w:pPr>
    <w:rPr>
      <w:rFonts w:ascii="Times New Roman" w:hAnsi="Times New Roman"/>
      <w:b/>
    </w:rPr>
  </w:style>
  <w:style w:type="paragraph" w:styleId="ListNumber">
    <w:name w:val="List Number"/>
    <w:basedOn w:val="List"/>
    <w:rsid w:val="002A23D5"/>
    <w:pPr>
      <w:numPr>
        <w:numId w:val="11"/>
      </w:numPr>
    </w:pPr>
  </w:style>
  <w:style w:type="character" w:customStyle="1" w:styleId="WingdingSymbols">
    <w:name w:val="Wingding Symbols"/>
    <w:rsid w:val="002A23D5"/>
    <w:rPr>
      <w:rFonts w:ascii="Wingdings" w:hAnsi="Wingdings"/>
    </w:rPr>
  </w:style>
  <w:style w:type="paragraph" w:customStyle="1" w:styleId="TableHeading">
    <w:name w:val="Table Heading"/>
    <w:basedOn w:val="HeadingBase"/>
    <w:rsid w:val="002A23D5"/>
    <w:pPr>
      <w:keepLines/>
      <w:pBdr>
        <w:bottom w:val="single" w:sz="6" w:space="1" w:color="918585"/>
      </w:pBdr>
      <w:spacing w:before="240"/>
    </w:pPr>
  </w:style>
  <w:style w:type="character" w:customStyle="1" w:styleId="HotSpot">
    <w:name w:val="HotSpot"/>
    <w:rsid w:val="002A23D5"/>
    <w:rPr>
      <w:color w:val="0033CC"/>
      <w:u w:val="none"/>
    </w:rPr>
  </w:style>
  <w:style w:type="paragraph" w:customStyle="1" w:styleId="BodyTextRight">
    <w:name w:val="Body Text Right"/>
    <w:basedOn w:val="BodyText"/>
    <w:rsid w:val="002A23D5"/>
    <w:pPr>
      <w:spacing w:before="0" w:after="0"/>
      <w:jc w:val="right"/>
    </w:pPr>
  </w:style>
  <w:style w:type="paragraph" w:styleId="Index3">
    <w:name w:val="index 3"/>
    <w:basedOn w:val="ListNumber2"/>
    <w:next w:val="Normal"/>
    <w:semiHidden/>
    <w:rsid w:val="002A23D5"/>
    <w:pPr>
      <w:numPr>
        <w:numId w:val="0"/>
      </w:numPr>
      <w:tabs>
        <w:tab w:val="right" w:leader="dot" w:pos="4176"/>
      </w:tabs>
    </w:pPr>
  </w:style>
  <w:style w:type="paragraph" w:styleId="ListNumber2">
    <w:name w:val="List Number 2"/>
    <w:basedOn w:val="List2"/>
    <w:rsid w:val="002A23D5"/>
    <w:pPr>
      <w:numPr>
        <w:numId w:val="10"/>
      </w:numPr>
      <w:tabs>
        <w:tab w:val="clear" w:pos="1060"/>
      </w:tabs>
    </w:pPr>
  </w:style>
  <w:style w:type="paragraph" w:customStyle="1" w:styleId="MarginNote">
    <w:name w:val="Margin Note"/>
    <w:basedOn w:val="BodyText"/>
    <w:rsid w:val="002A2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3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3D5"/>
    <w:rPr>
      <w:sz w:val="32"/>
    </w:rPr>
  </w:style>
  <w:style w:type="paragraph" w:customStyle="1" w:styleId="HeadingProcedure">
    <w:name w:val="Heading Procedure"/>
    <w:basedOn w:val="HeadingBase"/>
    <w:next w:val="Normal"/>
    <w:rsid w:val="002A23D5"/>
    <w:pPr>
      <w:tabs>
        <w:tab w:val="left" w:pos="0"/>
      </w:tabs>
      <w:spacing w:before="120" w:after="60"/>
    </w:pPr>
    <w:rPr>
      <w:i/>
      <w:color w:val="918585"/>
      <w:sz w:val="22"/>
    </w:rPr>
  </w:style>
  <w:style w:type="paragraph" w:customStyle="1" w:styleId="TableBodyText">
    <w:name w:val="Table Body Text"/>
    <w:basedOn w:val="BodyText"/>
    <w:rsid w:val="002A23D5"/>
    <w:pPr>
      <w:spacing w:before="60" w:after="60"/>
    </w:pPr>
  </w:style>
  <w:style w:type="paragraph" w:styleId="ListContinue">
    <w:name w:val="List Continue"/>
    <w:basedOn w:val="List"/>
    <w:rsid w:val="002A23D5"/>
    <w:pPr>
      <w:ind w:firstLine="0"/>
    </w:pPr>
  </w:style>
  <w:style w:type="paragraph" w:customStyle="1" w:styleId="ListNote">
    <w:name w:val="List Note"/>
    <w:basedOn w:val="List"/>
    <w:rsid w:val="002A23D5"/>
    <w:pPr>
      <w:pBdr>
        <w:top w:val="single" w:sz="6" w:space="2" w:color="918585"/>
        <w:bottom w:val="single" w:sz="6" w:space="2" w:color="918585"/>
      </w:pBdr>
      <w:tabs>
        <w:tab w:val="left" w:pos="1021"/>
      </w:tabs>
      <w:ind w:firstLine="0"/>
    </w:pPr>
  </w:style>
  <w:style w:type="paragraph" w:customStyle="1" w:styleId="Warning">
    <w:name w:val="Warning"/>
    <w:basedOn w:val="BodyText"/>
    <w:rsid w:val="002A23D5"/>
    <w:pPr>
      <w:shd w:val="clear" w:color="auto" w:fill="D9D9D9"/>
      <w:tabs>
        <w:tab w:val="left" w:pos="992"/>
      </w:tabs>
      <w:ind w:left="119" w:right="119"/>
    </w:pPr>
    <w:rPr>
      <w:sz w:val="20"/>
    </w:rPr>
  </w:style>
  <w:style w:type="paragraph" w:customStyle="1" w:styleId="MarginIcons">
    <w:name w:val="Margin Icons"/>
    <w:basedOn w:val="BodyText"/>
    <w:rsid w:val="002A2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3D5"/>
    <w:rPr>
      <w:rFonts w:ascii="Courier New" w:hAnsi="Courier New"/>
    </w:rPr>
  </w:style>
  <w:style w:type="paragraph" w:customStyle="1" w:styleId="NoteBullet">
    <w:name w:val="Note Bullet"/>
    <w:basedOn w:val="Note"/>
    <w:rsid w:val="002A23D5"/>
    <w:pPr>
      <w:tabs>
        <w:tab w:val="clear" w:pos="680"/>
      </w:tabs>
      <w:spacing w:before="60" w:after="60"/>
    </w:pPr>
  </w:style>
  <w:style w:type="paragraph" w:customStyle="1" w:styleId="SubHeading2">
    <w:name w:val="SubHeading2"/>
    <w:basedOn w:val="HeadingBase"/>
    <w:rsid w:val="002A23D5"/>
    <w:pPr>
      <w:spacing w:before="240" w:after="60"/>
    </w:pPr>
    <w:rPr>
      <w:sz w:val="20"/>
    </w:rPr>
  </w:style>
  <w:style w:type="paragraph" w:customStyle="1" w:styleId="SubHeading1">
    <w:name w:val="SubHeading1"/>
    <w:basedOn w:val="HeadingBase"/>
    <w:rsid w:val="002A23D5"/>
    <w:pPr>
      <w:spacing w:before="240" w:after="60"/>
    </w:pPr>
    <w:rPr>
      <w:color w:val="918585"/>
      <w:sz w:val="22"/>
    </w:rPr>
  </w:style>
  <w:style w:type="paragraph" w:customStyle="1" w:styleId="SideHeading">
    <w:name w:val="Side Heading"/>
    <w:basedOn w:val="HeadingBase"/>
    <w:rsid w:val="002A2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3D5"/>
    <w:pPr>
      <w:numPr>
        <w:numId w:val="12"/>
      </w:numPr>
    </w:pPr>
  </w:style>
  <w:style w:type="paragraph" w:styleId="PlainText">
    <w:name w:val="Plain Text"/>
    <w:basedOn w:val="Normal"/>
    <w:link w:val="PlainTextChar"/>
    <w:rsid w:val="002A23D5"/>
    <w:rPr>
      <w:sz w:val="20"/>
    </w:rPr>
  </w:style>
  <w:style w:type="character" w:customStyle="1" w:styleId="PlainTextChar">
    <w:name w:val="Plain Text Char"/>
    <w:basedOn w:val="DefaultParagraphFont"/>
    <w:link w:val="PlainText"/>
    <w:rsid w:val="002A23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3D5"/>
    <w:rPr>
      <w:b/>
      <w:smallCaps/>
    </w:rPr>
  </w:style>
  <w:style w:type="paragraph" w:customStyle="1" w:styleId="TableListNumber">
    <w:name w:val="Table List Number"/>
    <w:basedOn w:val="ListNumber"/>
    <w:rsid w:val="002A23D5"/>
    <w:pPr>
      <w:numPr>
        <w:numId w:val="0"/>
      </w:numPr>
    </w:pPr>
  </w:style>
  <w:style w:type="paragraph" w:styleId="TOC4">
    <w:name w:val="toc 4"/>
    <w:basedOn w:val="TOCBase"/>
    <w:next w:val="Normal"/>
    <w:semiHidden/>
    <w:rsid w:val="002A23D5"/>
    <w:pPr>
      <w:tabs>
        <w:tab w:val="right" w:leader="dot" w:pos="9071"/>
      </w:tabs>
      <w:ind w:left="1701"/>
    </w:pPr>
  </w:style>
  <w:style w:type="paragraph" w:customStyle="1" w:styleId="ListAlpha">
    <w:name w:val="List Alpha"/>
    <w:basedOn w:val="List"/>
    <w:rsid w:val="002A23D5"/>
    <w:pPr>
      <w:numPr>
        <w:numId w:val="9"/>
      </w:numPr>
    </w:pPr>
  </w:style>
  <w:style w:type="paragraph" w:customStyle="1" w:styleId="ListAlpha2">
    <w:name w:val="List Alpha 2"/>
    <w:basedOn w:val="List2"/>
    <w:rsid w:val="002A23D5"/>
    <w:pPr>
      <w:numPr>
        <w:numId w:val="8"/>
      </w:numPr>
    </w:pPr>
  </w:style>
  <w:style w:type="paragraph" w:styleId="List4">
    <w:name w:val="List 4"/>
    <w:basedOn w:val="BodyText"/>
    <w:rsid w:val="002A23D5"/>
    <w:pPr>
      <w:tabs>
        <w:tab w:val="left" w:pos="1361"/>
      </w:tabs>
      <w:spacing w:before="60" w:after="60"/>
      <w:ind w:left="1361" w:hanging="340"/>
    </w:pPr>
  </w:style>
  <w:style w:type="paragraph" w:styleId="List5">
    <w:name w:val="List 5"/>
    <w:basedOn w:val="BodyText"/>
    <w:rsid w:val="002A23D5"/>
    <w:pPr>
      <w:tabs>
        <w:tab w:val="left" w:pos="1701"/>
      </w:tabs>
      <w:spacing w:before="60" w:after="60"/>
      <w:ind w:left="1701" w:hanging="340"/>
    </w:pPr>
  </w:style>
  <w:style w:type="paragraph" w:styleId="ListBullet3">
    <w:name w:val="List Bullet 3"/>
    <w:basedOn w:val="List3"/>
    <w:rsid w:val="002A23D5"/>
    <w:pPr>
      <w:numPr>
        <w:numId w:val="15"/>
      </w:numPr>
      <w:tabs>
        <w:tab w:val="clear" w:pos="1021"/>
      </w:tabs>
      <w:ind w:left="1037" w:hanging="357"/>
    </w:pPr>
  </w:style>
  <w:style w:type="paragraph" w:styleId="ListBullet4">
    <w:name w:val="List Bullet 4"/>
    <w:basedOn w:val="List4"/>
    <w:rsid w:val="002A23D5"/>
    <w:pPr>
      <w:numPr>
        <w:numId w:val="3"/>
      </w:numPr>
    </w:pPr>
  </w:style>
  <w:style w:type="paragraph" w:styleId="ListBullet5">
    <w:name w:val="List Bullet 5"/>
    <w:basedOn w:val="List5"/>
    <w:rsid w:val="002A23D5"/>
    <w:pPr>
      <w:numPr>
        <w:numId w:val="4"/>
      </w:numPr>
    </w:pPr>
  </w:style>
  <w:style w:type="paragraph" w:styleId="ListContinue2">
    <w:name w:val="List Continue 2"/>
    <w:basedOn w:val="List2"/>
    <w:rsid w:val="002A23D5"/>
    <w:pPr>
      <w:ind w:firstLine="0"/>
    </w:pPr>
  </w:style>
  <w:style w:type="paragraph" w:styleId="ListContinue3">
    <w:name w:val="List Continue 3"/>
    <w:basedOn w:val="List3"/>
    <w:rsid w:val="002A23D5"/>
    <w:pPr>
      <w:ind w:left="1021" w:firstLine="0"/>
    </w:pPr>
  </w:style>
  <w:style w:type="paragraph" w:styleId="ListContinue4">
    <w:name w:val="List Continue 4"/>
    <w:basedOn w:val="List4"/>
    <w:rsid w:val="002A23D5"/>
    <w:pPr>
      <w:ind w:firstLine="0"/>
    </w:pPr>
  </w:style>
  <w:style w:type="paragraph" w:styleId="ListContinue5">
    <w:name w:val="List Continue 5"/>
    <w:basedOn w:val="List5"/>
    <w:rsid w:val="002A23D5"/>
    <w:pPr>
      <w:ind w:firstLine="0"/>
    </w:pPr>
  </w:style>
  <w:style w:type="paragraph" w:styleId="ListNumber3">
    <w:name w:val="List Number 3"/>
    <w:basedOn w:val="List3"/>
    <w:rsid w:val="002A23D5"/>
    <w:pPr>
      <w:numPr>
        <w:numId w:val="5"/>
      </w:numPr>
    </w:pPr>
  </w:style>
  <w:style w:type="paragraph" w:styleId="ListNumber4">
    <w:name w:val="List Number 4"/>
    <w:basedOn w:val="List4"/>
    <w:rsid w:val="002A23D5"/>
    <w:pPr>
      <w:numPr>
        <w:numId w:val="6"/>
      </w:numPr>
    </w:pPr>
  </w:style>
  <w:style w:type="paragraph" w:styleId="ListNumber5">
    <w:name w:val="List Number 5"/>
    <w:basedOn w:val="List5"/>
    <w:rsid w:val="002A23D5"/>
    <w:pPr>
      <w:numPr>
        <w:numId w:val="7"/>
      </w:numPr>
    </w:pPr>
  </w:style>
  <w:style w:type="paragraph" w:styleId="BlockText">
    <w:name w:val="Block Text"/>
    <w:basedOn w:val="Normal"/>
    <w:rsid w:val="002A23D5"/>
    <w:pPr>
      <w:spacing w:after="120"/>
      <w:ind w:left="1440" w:right="1440"/>
    </w:pPr>
  </w:style>
  <w:style w:type="character" w:customStyle="1" w:styleId="Subscript">
    <w:name w:val="Subscript"/>
    <w:basedOn w:val="DefaultParagraphFont"/>
    <w:rsid w:val="002A23D5"/>
    <w:rPr>
      <w:sz w:val="16"/>
      <w:vertAlign w:val="subscript"/>
    </w:rPr>
  </w:style>
  <w:style w:type="character" w:customStyle="1" w:styleId="Superscript">
    <w:name w:val="Superscript"/>
    <w:basedOn w:val="DefaultParagraphFont"/>
    <w:rsid w:val="002A23D5"/>
    <w:rPr>
      <w:sz w:val="16"/>
      <w:vertAlign w:val="superscript"/>
    </w:rPr>
  </w:style>
  <w:style w:type="character" w:customStyle="1" w:styleId="Symbols">
    <w:name w:val="Symbols"/>
    <w:basedOn w:val="DefaultParagraphFont"/>
    <w:rsid w:val="002A23D5"/>
    <w:rPr>
      <w:rFonts w:ascii="Symbol" w:hAnsi="Symbol"/>
    </w:rPr>
  </w:style>
  <w:style w:type="character" w:customStyle="1" w:styleId="MenuOptions">
    <w:name w:val="Menu Options"/>
    <w:basedOn w:val="DefaultParagraphFont"/>
    <w:rsid w:val="002A23D5"/>
    <w:rPr>
      <w:rFonts w:ascii="Arial Narrow" w:hAnsi="Arial Narrow"/>
      <w:smallCaps/>
    </w:rPr>
  </w:style>
  <w:style w:type="character" w:customStyle="1" w:styleId="Buttons">
    <w:name w:val="Buttons"/>
    <w:basedOn w:val="DefaultParagraphFont"/>
    <w:rsid w:val="002A23D5"/>
    <w:rPr>
      <w:b/>
    </w:rPr>
  </w:style>
  <w:style w:type="character" w:customStyle="1" w:styleId="Underlined">
    <w:name w:val="Underlined"/>
    <w:basedOn w:val="DefaultParagraphFont"/>
    <w:rsid w:val="002A23D5"/>
    <w:rPr>
      <w:u w:val="single"/>
    </w:rPr>
  </w:style>
  <w:style w:type="paragraph" w:customStyle="1" w:styleId="TableBodyTextRight">
    <w:name w:val="Table Body Text Right"/>
    <w:basedOn w:val="TableBodyText"/>
    <w:rsid w:val="002A23D5"/>
    <w:pPr>
      <w:widowControl w:val="0"/>
      <w:autoSpaceDE w:val="0"/>
      <w:autoSpaceDN w:val="0"/>
      <w:adjustRightInd w:val="0"/>
      <w:jc w:val="right"/>
    </w:pPr>
    <w:rPr>
      <w:rFonts w:cs="Arial"/>
      <w:szCs w:val="18"/>
    </w:rPr>
  </w:style>
  <w:style w:type="paragraph" w:customStyle="1" w:styleId="CopyrightText">
    <w:name w:val="Copyright Text"/>
    <w:basedOn w:val="BodyText"/>
    <w:rsid w:val="002A23D5"/>
    <w:rPr>
      <w:sz w:val="18"/>
    </w:rPr>
  </w:style>
  <w:style w:type="paragraph" w:customStyle="1" w:styleId="BodySmallRight">
    <w:name w:val="Body Small Right"/>
    <w:basedOn w:val="BodyTextRight"/>
    <w:rsid w:val="002A23D5"/>
    <w:rPr>
      <w:sz w:val="18"/>
      <w:szCs w:val="18"/>
    </w:rPr>
  </w:style>
  <w:style w:type="paragraph" w:customStyle="1" w:styleId="MarginEdition">
    <w:name w:val="Margin Edition"/>
    <w:basedOn w:val="MarginNote"/>
    <w:rsid w:val="002A23D5"/>
    <w:pPr>
      <w:spacing w:before="0" w:after="0"/>
    </w:pPr>
    <w:rPr>
      <w:rFonts w:ascii="Times New Roman" w:hAnsi="Times New Roman"/>
      <w:color w:val="999999"/>
    </w:rPr>
  </w:style>
  <w:style w:type="paragraph" w:customStyle="1" w:styleId="Spacer">
    <w:name w:val="Spacer"/>
    <w:basedOn w:val="Normal"/>
    <w:rsid w:val="002A23D5"/>
    <w:rPr>
      <w:sz w:val="2"/>
      <w:szCs w:val="2"/>
    </w:rPr>
  </w:style>
  <w:style w:type="character" w:customStyle="1" w:styleId="Small">
    <w:name w:val="Small"/>
    <w:basedOn w:val="DefaultParagraphFont"/>
    <w:rsid w:val="002A23D5"/>
    <w:rPr>
      <w:sz w:val="16"/>
    </w:rPr>
  </w:style>
  <w:style w:type="paragraph" w:customStyle="1" w:styleId="WideTable">
    <w:name w:val="Wide Table"/>
    <w:basedOn w:val="Normal"/>
    <w:rsid w:val="002A23D5"/>
    <w:pPr>
      <w:ind w:left="-1418"/>
    </w:pPr>
    <w:rPr>
      <w:sz w:val="2"/>
      <w:szCs w:val="2"/>
    </w:rPr>
  </w:style>
  <w:style w:type="character" w:styleId="PageNumber">
    <w:name w:val="page number"/>
    <w:basedOn w:val="DefaultParagraphFont"/>
    <w:rsid w:val="002A23D5"/>
  </w:style>
  <w:style w:type="paragraph" w:styleId="Quote">
    <w:name w:val="Quote"/>
    <w:basedOn w:val="Heading1"/>
    <w:link w:val="QuoteChar"/>
    <w:qFormat/>
    <w:rsid w:val="002A23D5"/>
    <w:rPr>
      <w:b w:val="0"/>
      <w:sz w:val="72"/>
      <w:szCs w:val="72"/>
      <w:lang w:val="en-NZ"/>
    </w:rPr>
  </w:style>
  <w:style w:type="character" w:customStyle="1" w:styleId="QuoteChar">
    <w:name w:val="Quote Char"/>
    <w:basedOn w:val="DefaultParagraphFont"/>
    <w:link w:val="Quote"/>
    <w:rsid w:val="002A2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3D5"/>
    <w:pPr>
      <w:pageBreakBefore/>
    </w:pPr>
  </w:style>
  <w:style w:type="paragraph" w:customStyle="1" w:styleId="Border">
    <w:name w:val="Border"/>
    <w:basedOn w:val="Normal"/>
    <w:qFormat/>
    <w:rsid w:val="002A2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3D5"/>
    <w:rPr>
      <w:b/>
      <w:bCs/>
      <w:i/>
      <w:iCs/>
      <w:color w:val="auto"/>
    </w:rPr>
  </w:style>
  <w:style w:type="paragraph" w:styleId="IntenseQuote">
    <w:name w:val="Intense Quote"/>
    <w:basedOn w:val="Normal"/>
    <w:next w:val="Normal"/>
    <w:link w:val="IntenseQuoteChar"/>
    <w:uiPriority w:val="30"/>
    <w:qFormat/>
    <w:rsid w:val="002A2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3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3D5"/>
    <w:rPr>
      <w:smallCaps/>
      <w:color w:val="auto"/>
      <w:u w:val="single"/>
    </w:rPr>
  </w:style>
  <w:style w:type="character" w:styleId="IntenseReference">
    <w:name w:val="Intense Reference"/>
    <w:basedOn w:val="DefaultParagraphFont"/>
    <w:uiPriority w:val="32"/>
    <w:qFormat/>
    <w:rsid w:val="002A23D5"/>
    <w:rPr>
      <w:b/>
      <w:bCs/>
      <w:smallCaps/>
      <w:color w:val="auto"/>
      <w:spacing w:val="5"/>
      <w:u w:val="single"/>
    </w:rPr>
  </w:style>
  <w:style w:type="paragraph" w:customStyle="1" w:styleId="2ColumnHeading">
    <w:name w:val="2Column Heading"/>
    <w:basedOn w:val="BodyText"/>
    <w:qFormat/>
    <w:rsid w:val="002A23D5"/>
    <w:pPr>
      <w:spacing w:after="60"/>
      <w:ind w:left="-2268"/>
    </w:pPr>
    <w:rPr>
      <w:b/>
    </w:rPr>
  </w:style>
  <w:style w:type="paragraph" w:customStyle="1" w:styleId="Heading1TOC">
    <w:name w:val="Heading1 TOC"/>
    <w:basedOn w:val="Normal"/>
    <w:qFormat/>
    <w:rsid w:val="002A23D5"/>
    <w:pPr>
      <w:spacing w:before="240" w:after="120"/>
    </w:pPr>
    <w:rPr>
      <w:rFonts w:ascii="Times New Roman" w:hAnsi="Times New Roman"/>
      <w:b/>
      <w:sz w:val="32"/>
    </w:rPr>
  </w:style>
  <w:style w:type="paragraph" w:customStyle="1" w:styleId="Heading2TOC">
    <w:name w:val="Heading2 TOC"/>
    <w:basedOn w:val="Normal"/>
    <w:qFormat/>
    <w:rsid w:val="002A23D5"/>
    <w:pPr>
      <w:spacing w:before="240" w:after="60"/>
    </w:pPr>
    <w:rPr>
      <w:rFonts w:ascii="Times New Roman" w:hAnsi="Times New Roman"/>
      <w:b/>
      <w:sz w:val="28"/>
    </w:rPr>
  </w:style>
  <w:style w:type="character" w:customStyle="1" w:styleId="Underline">
    <w:name w:val="Underline"/>
    <w:basedOn w:val="DefaultParagraphFont"/>
    <w:qFormat/>
    <w:rsid w:val="002A23D5"/>
    <w:rPr>
      <w:u w:val="single"/>
    </w:rPr>
  </w:style>
  <w:style w:type="paragraph" w:styleId="BalloonText">
    <w:name w:val="Balloon Text"/>
    <w:basedOn w:val="Normal"/>
    <w:link w:val="BalloonTextChar"/>
    <w:rsid w:val="002A23D5"/>
    <w:rPr>
      <w:rFonts w:ascii="Tahoma" w:hAnsi="Tahoma" w:cs="Tahoma"/>
      <w:sz w:val="16"/>
      <w:szCs w:val="16"/>
    </w:rPr>
  </w:style>
  <w:style w:type="character" w:customStyle="1" w:styleId="BalloonTextChar">
    <w:name w:val="Balloon Text Char"/>
    <w:basedOn w:val="DefaultParagraphFont"/>
    <w:link w:val="BalloonText"/>
    <w:rsid w:val="002A23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3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1806</Words>
  <Characters>11727</Characters>
  <Application>Microsoft Office Word</Application>
  <DocSecurity>0</DocSecurity>
  <Lines>446</Lines>
  <Paragraphs>248</Paragraphs>
  <ScaleCrop>false</ScaleCrop>
  <Company>Author-it Software Corporation Ltd.</Company>
  <LinksUpToDate>false</LinksUpToDate>
  <CharactersWithSpaces>13469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CUVPHI514A Employ colour management in a digital imaging workplace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2012-05-26T15:43:00Z</dcterms:created>
  <dcterms:modified xsi:type="dcterms:W3CDTF">2012-05-26T15:43:00Z</dcterms:modified>
</cp:coreProperties>
</file>