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72E0" w:rsidP="004972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CUVATS503 Work effectively with Aboriginal and Torres Strait Islander visual artists and their communities</w:t>
      </w:r>
      <w:r>
        <w:fldChar w:fldCharType="end"/>
      </w:r>
    </w:p>
    <w:p w:rsidR="004972E0" w:rsidP="004972E0">
      <w:pPr>
        <w:pStyle w:val="Version"/>
        <w:sectPr w:rsidSect="006B3F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3F1F" w:rsidP="006B3F1F">
      <w:pPr>
        <w:pStyle w:val="SuperHeading"/>
      </w:pPr>
      <w:r w:rsidRPr="006B3F1F">
        <w:t>Assessment Requirements for CUVATS503 Work effectively with Aboriginal and Torres Strait Islander visual artists and their communities</w:t>
      </w:r>
    </w:p>
    <w:p w:rsidR="00000000" w:rsidRPr="006B3F1F" w:rsidP="006B3F1F">
      <w:pPr>
        <w:pStyle w:val="Heading1"/>
      </w:pPr>
      <w:bookmarkStart w:id="1" w:name="O_613910"/>
      <w:bookmarkEnd w:id="1"/>
      <w:r w:rsidRPr="006B3F1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60"/>
        <w:gridCol w:w="6904"/>
      </w:tblGrid>
      <w:tr w:rsidTr="006B3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F1F" w:rsidP="006B3F1F">
            <w:pPr>
              <w:pStyle w:val="BodyText"/>
            </w:pPr>
            <w:r w:rsidRPr="006B3F1F">
              <w:rPr>
                <w:rStyle w:val="SpecialBold"/>
              </w:rPr>
              <w:t>Version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F1F">
            <w:pPr>
              <w:pStyle w:val="BodyText"/>
              <w:rPr>
                <w:lang w:val="en-NZ"/>
              </w:rPr>
            </w:pPr>
            <w:r w:rsidRPr="006B3F1F">
              <w:rPr>
                <w:rStyle w:val="SpecialBold"/>
              </w:rPr>
              <w:t>Comments</w:t>
            </w:r>
          </w:p>
        </w:tc>
      </w:tr>
      <w:tr w:rsidTr="006B3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F1F">
            <w:pPr>
              <w:pStyle w:val="BodyText"/>
              <w:rPr>
                <w:lang w:val="en-NZ"/>
              </w:rPr>
            </w:pPr>
            <w:r w:rsidRPr="006B3F1F">
              <w:t>Version 1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F1F" w:rsidP="006B3F1F">
            <w:pPr>
              <w:pStyle w:val="BodyText"/>
            </w:pPr>
            <w:r w:rsidRPr="006B3F1F">
              <w:t>This version first released with CUV Arts and Culture Training Package Version 1.0.</w:t>
            </w:r>
          </w:p>
        </w:tc>
      </w:tr>
    </w:tbl>
    <w:p w:rsidR="00000000" w:rsidRPr="006B3F1F" w:rsidP="006B3F1F">
      <w:pPr>
        <w:pStyle w:val="BodyText"/>
      </w:pPr>
    </w:p>
    <w:p w:rsidR="00000000" w:rsidRPr="006B3F1F" w:rsidP="006B3F1F">
      <w:pPr>
        <w:pStyle w:val="AllowPageBreak"/>
      </w:pPr>
    </w:p>
    <w:p w:rsidR="00000000" w:rsidRPr="006B3F1F" w:rsidP="006B3F1F">
      <w:pPr>
        <w:pStyle w:val="Heading1"/>
      </w:pPr>
      <w:bookmarkStart w:id="2" w:name="O_613911"/>
      <w:bookmarkEnd w:id="2"/>
      <w:r w:rsidRPr="006B3F1F">
        <w:t>Performance Evidence</w:t>
      </w:r>
    </w:p>
    <w:p w:rsidR="00000000" w:rsidRPr="006B3F1F" w:rsidP="006B3F1F">
      <w:pPr>
        <w:pStyle w:val="BodyText"/>
      </w:pPr>
      <w:r w:rsidRPr="006B3F1F">
        <w:t>Evidence of the ability to:</w:t>
      </w:r>
    </w:p>
    <w:p w:rsidR="00000000" w:rsidRPr="006B3F1F" w:rsidP="006B3F1F">
      <w:pPr>
        <w:pStyle w:val="ListBullet"/>
      </w:pPr>
      <w:r w:rsidRPr="006B3F1F">
        <w:t>develop at least two culturally respectful and professional partnerships with an Aboriginal and/or Torr</w:t>
      </w:r>
      <w:r w:rsidRPr="006B3F1F">
        <w:t>es Strait Islander artist and/or community</w:t>
      </w:r>
    </w:p>
    <w:p w:rsidR="00000000" w:rsidRPr="006B3F1F" w:rsidP="006B3F1F">
      <w:pPr>
        <w:pStyle w:val="ListBullet"/>
      </w:pPr>
      <w:r w:rsidRPr="006B3F1F">
        <w:t>record organisational strategies to build and maintain partnerships with Aboriginal and/or Torres Strait artists and their communities.</w:t>
      </w:r>
    </w:p>
    <w:p w:rsidR="004972E0" w:rsidP="006B3F1F">
      <w:pPr>
        <w:pStyle w:val="BodyText"/>
      </w:pPr>
      <w:r w:rsidRPr="006B3F1F">
        <w:t xml:space="preserve">Note: If a specific volume or frequency is not stated, then evidence must be </w:t>
      </w:r>
      <w:r w:rsidRPr="006B3F1F">
        <w:t>provided for each of the above points at least once.</w:t>
      </w:r>
    </w:p>
    <w:p w:rsidR="004972E0" w:rsidP="006B3F1F">
      <w:pPr>
        <w:pStyle w:val="BodyText"/>
      </w:pPr>
    </w:p>
    <w:p w:rsidR="00000000" w:rsidRPr="006B3F1F" w:rsidP="006B3F1F">
      <w:pPr>
        <w:pStyle w:val="Heading1"/>
      </w:pPr>
      <w:bookmarkStart w:id="3" w:name="O_613912"/>
      <w:bookmarkEnd w:id="3"/>
      <w:r w:rsidRPr="006B3F1F">
        <w:t>Knowledge Evidence</w:t>
      </w:r>
    </w:p>
    <w:p w:rsidR="00000000" w:rsidRPr="006B3F1F" w:rsidP="006B3F1F">
      <w:pPr>
        <w:pStyle w:val="BodyText"/>
      </w:pPr>
      <w:r w:rsidRPr="006B3F1F">
        <w:t>To complete the unit requirements the individual must:</w:t>
      </w:r>
    </w:p>
    <w:p w:rsidR="00000000" w:rsidRPr="006B3F1F" w:rsidP="006B3F1F">
      <w:pPr>
        <w:pStyle w:val="ListBullet"/>
      </w:pPr>
      <w:r w:rsidRPr="006B3F1F">
        <w:t xml:space="preserve">summarise the range of historical, cultural and social events and issues (past and present) </w:t>
      </w:r>
      <w:r w:rsidRPr="006B3F1F">
        <w:t>that impact on Aboriginal and Torres Strait Islander peoples</w:t>
      </w:r>
    </w:p>
    <w:p w:rsidR="00000000" w:rsidRPr="006B3F1F" w:rsidP="006B3F1F">
      <w:pPr>
        <w:pStyle w:val="ListBullet"/>
      </w:pPr>
      <w:r w:rsidRPr="006B3F1F">
        <w:t>differentiate between factors that impact on urban, regional, rural and remote Aboriginal and Torres Strait Islander artists and their communities</w:t>
      </w:r>
    </w:p>
    <w:p w:rsidR="00000000" w:rsidRPr="006B3F1F" w:rsidP="006B3F1F">
      <w:pPr>
        <w:pStyle w:val="ListBullet"/>
      </w:pPr>
      <w:r w:rsidRPr="006B3F1F">
        <w:t>identify fair and ethical work practices that su</w:t>
      </w:r>
      <w:r w:rsidRPr="006B3F1F">
        <w:t>pport Aboriginal and Torres Strait Islander artists and their communities</w:t>
      </w:r>
    </w:p>
    <w:p w:rsidR="00000000" w:rsidRPr="006B3F1F" w:rsidP="006B3F1F">
      <w:pPr>
        <w:pStyle w:val="ListBullet"/>
      </w:pPr>
      <w:r w:rsidRPr="006B3F1F">
        <w:t>explain the following terms:</w:t>
      </w:r>
    </w:p>
    <w:p w:rsidR="00000000" w:rsidRPr="006B3F1F" w:rsidP="006B3F1F">
      <w:pPr>
        <w:pStyle w:val="ListBullet2"/>
      </w:pPr>
      <w:r w:rsidRPr="006B3F1F">
        <w:t>community control</w:t>
      </w:r>
    </w:p>
    <w:p w:rsidR="00000000" w:rsidRPr="006B3F1F" w:rsidP="006B3F1F">
      <w:pPr>
        <w:pStyle w:val="ListBullet2"/>
      </w:pPr>
      <w:r w:rsidRPr="006B3F1F">
        <w:t>self-determination</w:t>
      </w:r>
    </w:p>
    <w:p w:rsidR="00000000" w:rsidRPr="006B3F1F" w:rsidP="006B3F1F">
      <w:pPr>
        <w:pStyle w:val="ListBullet2"/>
      </w:pPr>
      <w:r w:rsidRPr="006B3F1F">
        <w:t>cultural safety</w:t>
      </w:r>
    </w:p>
    <w:p w:rsidR="00000000" w:rsidRPr="006B3F1F" w:rsidP="006B3F1F">
      <w:pPr>
        <w:pStyle w:val="ListBullet"/>
      </w:pPr>
      <w:r w:rsidRPr="006B3F1F">
        <w:t>describe the role and local availability of language interpreters and cultural brokers</w:t>
      </w:r>
    </w:p>
    <w:p w:rsidR="00000000" w:rsidRPr="006B3F1F" w:rsidP="006B3F1F">
      <w:pPr>
        <w:pStyle w:val="ListBullet"/>
      </w:pPr>
      <w:r w:rsidRPr="006B3F1F">
        <w:t>explain eff</w:t>
      </w:r>
      <w:r w:rsidRPr="006B3F1F">
        <w:t>ective communication and consultation strategies relevant to working with Aboriginal and/or Torres Strait Islander artists and their communities</w:t>
      </w:r>
    </w:p>
    <w:p w:rsidR="00000000" w:rsidRPr="006B3F1F" w:rsidP="006B3F1F">
      <w:pPr>
        <w:pStyle w:val="ListBullet"/>
      </w:pPr>
      <w:r w:rsidRPr="006B3F1F">
        <w:t>explain the key principles and protocols for using indigenous cultural material, and interacting with Aboriginal and Torres Strait Islander artists and their communities</w:t>
      </w:r>
    </w:p>
    <w:p w:rsidR="00000000" w:rsidRPr="006B3F1F" w:rsidP="006B3F1F">
      <w:pPr>
        <w:pStyle w:val="ListBullet"/>
      </w:pPr>
      <w:r w:rsidRPr="006B3F1F">
        <w:t xml:space="preserve">identify sources of current information relevant to the local, regional, national and </w:t>
      </w:r>
      <w:r w:rsidRPr="006B3F1F">
        <w:t>global indigenous visual arts industry</w:t>
      </w:r>
    </w:p>
    <w:p w:rsidR="00000000" w:rsidRPr="006B3F1F" w:rsidP="006B3F1F">
      <w:pPr>
        <w:pStyle w:val="ListBullet"/>
      </w:pPr>
      <w:r w:rsidRPr="006B3F1F">
        <w:t>discuss the diversity of Aboriginal and Torres Strait Islander visual arts practice and its cultural significance</w:t>
      </w:r>
    </w:p>
    <w:p w:rsidR="00000000" w:rsidRPr="006B3F1F" w:rsidP="006B3F1F">
      <w:pPr>
        <w:pStyle w:val="ListBullet"/>
      </w:pPr>
      <w:r w:rsidRPr="006B3F1F">
        <w:t xml:space="preserve">provide examples of dishonest, misleading or deceptive conduct related to Aboriginal and Torres Strait </w:t>
      </w:r>
      <w:r w:rsidRPr="006B3F1F">
        <w:t>Islander artists and their communities</w:t>
      </w:r>
    </w:p>
    <w:p w:rsidR="004972E0" w:rsidP="006B3F1F">
      <w:pPr>
        <w:pStyle w:val="ListBullet"/>
      </w:pPr>
      <w:r w:rsidRPr="006B3F1F">
        <w:t>outline key legislation, codes and/or regulations that affect artists’ rights.</w:t>
      </w:r>
    </w:p>
    <w:p w:rsidR="004972E0" w:rsidP="006B3F1F">
      <w:pPr>
        <w:pStyle w:val="ListBullet"/>
      </w:pPr>
    </w:p>
    <w:p w:rsidR="00000000" w:rsidRPr="006B3F1F" w:rsidP="006B3F1F">
      <w:pPr>
        <w:pStyle w:val="Heading1"/>
      </w:pPr>
      <w:bookmarkStart w:id="4" w:name="O_613913"/>
      <w:bookmarkEnd w:id="4"/>
      <w:r w:rsidRPr="006B3F1F">
        <w:t>Assessment Conditions</w:t>
      </w:r>
    </w:p>
    <w:p w:rsidR="00000000" w:rsidRPr="006B3F1F" w:rsidP="006B3F1F">
      <w:pPr>
        <w:pStyle w:val="BodyText"/>
      </w:pPr>
      <w:r w:rsidRPr="006B3F1F">
        <w:t>Gather evidence to demonstrate consistent performance in conditions that are safe and replicate th</w:t>
      </w:r>
      <w:r w:rsidRPr="006B3F1F">
        <w:t xml:space="preserve">e workplace. Noise levels, production flow, interruptions and time variances must be typical of those experienced in the indigenous visual arts industry field of work and include access to: </w:t>
      </w:r>
    </w:p>
    <w:p w:rsidR="00000000" w:rsidRPr="006B3F1F" w:rsidP="006B3F1F">
      <w:pPr>
        <w:pStyle w:val="ListBullet"/>
      </w:pPr>
      <w:r w:rsidRPr="006B3F1F">
        <w:t>an actual workplace or simulated environment</w:t>
      </w:r>
    </w:p>
    <w:p w:rsidR="00000000" w:rsidRPr="006B3F1F" w:rsidP="006B3F1F">
      <w:pPr>
        <w:pStyle w:val="ListBullet"/>
      </w:pPr>
      <w:r w:rsidRPr="006B3F1F">
        <w:t>Aboriginal and/or T</w:t>
      </w:r>
      <w:r w:rsidRPr="006B3F1F">
        <w:t>orres Strait Islander visual art, artists and/or their communities.</w:t>
      </w:r>
    </w:p>
    <w:p w:rsidR="00000000" w:rsidRPr="006B3F1F" w:rsidP="006B3F1F">
      <w:pPr>
        <w:pStyle w:val="BodyText"/>
      </w:pPr>
    </w:p>
    <w:p w:rsidR="00000000" w:rsidRPr="006B3F1F" w:rsidP="006B3F1F">
      <w:pPr>
        <w:pStyle w:val="BodyText"/>
      </w:pPr>
      <w:r w:rsidRPr="006B3F1F">
        <w:t xml:space="preserve">Culturally appropriate processes and techniques suited to the language and literacy capacity of learners and the work being performed must be used. </w:t>
      </w:r>
    </w:p>
    <w:p w:rsidR="00000000" w:rsidRPr="006B3F1F" w:rsidP="006B3F1F">
      <w:pPr>
        <w:pStyle w:val="BodyText"/>
      </w:pPr>
    </w:p>
    <w:p w:rsidR="00000000" w:rsidRPr="006B3F1F" w:rsidP="006B3F1F">
      <w:pPr>
        <w:pStyle w:val="BodyText"/>
      </w:pPr>
      <w:r w:rsidRPr="006B3F1F">
        <w:t>Local cultural knowledge is necessary</w:t>
      </w:r>
      <w:r w:rsidRPr="006B3F1F">
        <w:t xml:space="preserve"> to achieve competency in this unit. </w:t>
      </w:r>
    </w:p>
    <w:p w:rsidR="00000000" w:rsidRPr="006B3F1F" w:rsidP="006B3F1F">
      <w:pPr>
        <w:pStyle w:val="BodyText"/>
      </w:pPr>
    </w:p>
    <w:p w:rsidR="004972E0" w:rsidP="006B3F1F">
      <w:pPr>
        <w:pStyle w:val="BodyText"/>
      </w:pPr>
      <w:r w:rsidRPr="006B3F1F">
        <w:t>Assessors must satisfy NVR/AQTF assessor requirements.</w:t>
      </w:r>
    </w:p>
    <w:p w:rsidR="004972E0" w:rsidP="006B3F1F">
      <w:pPr>
        <w:pStyle w:val="BodyText"/>
      </w:pPr>
    </w:p>
    <w:p w:rsidR="00000000" w:rsidRPr="006B3F1F" w:rsidP="006B3F1F">
      <w:pPr>
        <w:pStyle w:val="Heading1"/>
      </w:pPr>
      <w:bookmarkStart w:id="5" w:name="O_613916"/>
      <w:bookmarkEnd w:id="5"/>
      <w:r w:rsidRPr="006B3F1F">
        <w:t>Links</w:t>
      </w:r>
    </w:p>
    <w:p w:rsidR="00000000" w:rsidRPr="006B3F1F" w:rsidP="006B3F1F">
      <w:pPr>
        <w:pStyle w:val="BodyText"/>
      </w:pPr>
      <w:r w:rsidRPr="006B3F1F">
        <w:t>Companion volumes are available at: - http://www.ibsa.org.au</w:t>
      </w:r>
    </w:p>
    <w:p w:rsidR="00000000" w:rsidRPr="006B3F1F" w:rsidP="006B3F1F"/>
    <w:sectPr w:rsidSect="006B3F1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F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F1F" w:rsidRPr="004972E0" w:rsidP="004972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F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2E0" w:rsidP="006B3F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72E0" w:rsidP="006B3F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972E0" w:rsidP="006B3F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F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F1F" w:rsidRPr="004972E0" w:rsidP="004972E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F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2E0" w:rsidRPr="002D2AF8" w:rsidP="006B3F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CUVATS503 Work effectively with Aboriginal and Torres Strait Islander visual artists and their communities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November 2013</w:t>
    </w:r>
    <w:r>
      <w:fldChar w:fldCharType="end"/>
    </w:r>
  </w:p>
  <w:p w:rsidR="004972E0" w:rsidP="006B3F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B4E4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349B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4ECC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F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3F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3F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3F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3F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3F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3F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3F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3F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3F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3F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3F1F"/>
  </w:style>
  <w:style w:type="character" w:customStyle="1" w:styleId="Heading1Char">
    <w:name w:val="Heading 1 Char"/>
    <w:basedOn w:val="DefaultParagraphFont"/>
    <w:link w:val="Heading1"/>
    <w:rsid w:val="006B3F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3F1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3F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3F1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3F1F"/>
    <w:rPr>
      <w:b/>
      <w:spacing w:val="0"/>
    </w:rPr>
  </w:style>
  <w:style w:type="paragraph" w:styleId="ListBullet2">
    <w:name w:val="List Bullet 2"/>
    <w:basedOn w:val="List2"/>
    <w:rsid w:val="006B3F1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B3F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3F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3F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3F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3F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3F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3F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3F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3F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3F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3F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3F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3F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3F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3F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3F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3F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3F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3F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3F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3F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3F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3F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3F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3F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3F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3F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3F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3F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3F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3F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3F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3F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3F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3F1F"/>
    <w:rPr>
      <w:i/>
    </w:rPr>
  </w:style>
  <w:style w:type="paragraph" w:styleId="Caption">
    <w:name w:val="caption"/>
    <w:basedOn w:val="BodyText"/>
    <w:next w:val="Normal"/>
    <w:qFormat/>
    <w:rsid w:val="006B3F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3F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3F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3F1F"/>
  </w:style>
  <w:style w:type="paragraph" w:styleId="TableofFigures">
    <w:name w:val="table of figures"/>
    <w:basedOn w:val="Normal"/>
    <w:next w:val="Normal"/>
    <w:semiHidden/>
    <w:rsid w:val="006B3F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3F1F"/>
    <w:pPr>
      <w:numPr>
        <w:numId w:val="11"/>
      </w:numPr>
    </w:pPr>
  </w:style>
  <w:style w:type="character" w:customStyle="1" w:styleId="WingdingSymbols">
    <w:name w:val="Wingding Symbols"/>
    <w:rsid w:val="006B3F1F"/>
    <w:rPr>
      <w:rFonts w:ascii="Wingdings" w:hAnsi="Wingdings"/>
    </w:rPr>
  </w:style>
  <w:style w:type="paragraph" w:customStyle="1" w:styleId="TableHeading">
    <w:name w:val="Table Heading"/>
    <w:basedOn w:val="HeadingBase"/>
    <w:rsid w:val="006B3F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3F1F"/>
    <w:rPr>
      <w:color w:val="0033CC"/>
      <w:u w:val="none"/>
    </w:rPr>
  </w:style>
  <w:style w:type="paragraph" w:customStyle="1" w:styleId="BodyTextRight">
    <w:name w:val="Body Text Right"/>
    <w:basedOn w:val="BodyText"/>
    <w:rsid w:val="006B3F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3F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3F1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3F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3F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3F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3F1F"/>
    <w:rPr>
      <w:sz w:val="32"/>
    </w:rPr>
  </w:style>
  <w:style w:type="paragraph" w:customStyle="1" w:styleId="HeadingProcedure">
    <w:name w:val="Heading Procedure"/>
    <w:basedOn w:val="HeadingBase"/>
    <w:next w:val="Normal"/>
    <w:rsid w:val="006B3F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3F1F"/>
    <w:pPr>
      <w:spacing w:before="60" w:after="60"/>
    </w:pPr>
  </w:style>
  <w:style w:type="paragraph" w:styleId="ListContinue">
    <w:name w:val="List Continue"/>
    <w:basedOn w:val="List"/>
    <w:rsid w:val="006B3F1F"/>
    <w:pPr>
      <w:ind w:firstLine="0"/>
    </w:pPr>
  </w:style>
  <w:style w:type="paragraph" w:customStyle="1" w:styleId="ListNote">
    <w:name w:val="List Note"/>
    <w:basedOn w:val="List"/>
    <w:rsid w:val="006B3F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3F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3F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3F1F"/>
    <w:rPr>
      <w:rFonts w:ascii="Courier New" w:hAnsi="Courier New"/>
    </w:rPr>
  </w:style>
  <w:style w:type="paragraph" w:customStyle="1" w:styleId="NoteBullet">
    <w:name w:val="Note Bullet"/>
    <w:basedOn w:val="Note"/>
    <w:rsid w:val="006B3F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3F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3F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3F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3F1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B3F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3F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3F1F"/>
    <w:rPr>
      <w:b/>
      <w:smallCaps/>
    </w:rPr>
  </w:style>
  <w:style w:type="paragraph" w:customStyle="1" w:styleId="TableListNumber">
    <w:name w:val="Table List Number"/>
    <w:basedOn w:val="ListNumber"/>
    <w:rsid w:val="006B3F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3F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3F1F"/>
    <w:pPr>
      <w:numPr>
        <w:numId w:val="9"/>
      </w:numPr>
    </w:pPr>
  </w:style>
  <w:style w:type="paragraph" w:customStyle="1" w:styleId="ListAlpha2">
    <w:name w:val="List Alpha 2"/>
    <w:basedOn w:val="List2"/>
    <w:rsid w:val="006B3F1F"/>
    <w:pPr>
      <w:numPr>
        <w:numId w:val="8"/>
      </w:numPr>
    </w:pPr>
  </w:style>
  <w:style w:type="paragraph" w:styleId="List2">
    <w:name w:val="List 2"/>
    <w:basedOn w:val="BodyText"/>
    <w:rsid w:val="006B3F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3F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3F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3F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3F1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3F1F"/>
    <w:pPr>
      <w:numPr>
        <w:numId w:val="3"/>
      </w:numPr>
    </w:pPr>
  </w:style>
  <w:style w:type="paragraph" w:styleId="ListBullet5">
    <w:name w:val="List Bullet 5"/>
    <w:basedOn w:val="List5"/>
    <w:rsid w:val="006B3F1F"/>
    <w:pPr>
      <w:numPr>
        <w:numId w:val="4"/>
      </w:numPr>
    </w:pPr>
  </w:style>
  <w:style w:type="paragraph" w:styleId="ListContinue2">
    <w:name w:val="List Continue 2"/>
    <w:basedOn w:val="List2"/>
    <w:rsid w:val="006B3F1F"/>
    <w:pPr>
      <w:ind w:firstLine="0"/>
    </w:pPr>
  </w:style>
  <w:style w:type="paragraph" w:styleId="ListContinue3">
    <w:name w:val="List Continue 3"/>
    <w:basedOn w:val="List3"/>
    <w:rsid w:val="006B3F1F"/>
    <w:pPr>
      <w:ind w:left="1021" w:firstLine="0"/>
    </w:pPr>
  </w:style>
  <w:style w:type="paragraph" w:styleId="ListContinue4">
    <w:name w:val="List Continue 4"/>
    <w:basedOn w:val="List4"/>
    <w:rsid w:val="006B3F1F"/>
    <w:pPr>
      <w:ind w:firstLine="0"/>
    </w:pPr>
  </w:style>
  <w:style w:type="paragraph" w:styleId="ListContinue5">
    <w:name w:val="List Continue 5"/>
    <w:basedOn w:val="List5"/>
    <w:rsid w:val="006B3F1F"/>
    <w:pPr>
      <w:ind w:firstLine="0"/>
    </w:pPr>
  </w:style>
  <w:style w:type="paragraph" w:styleId="ListNumber3">
    <w:name w:val="List Number 3"/>
    <w:basedOn w:val="List3"/>
    <w:rsid w:val="006B3F1F"/>
    <w:pPr>
      <w:numPr>
        <w:numId w:val="5"/>
      </w:numPr>
    </w:pPr>
  </w:style>
  <w:style w:type="paragraph" w:styleId="ListNumber4">
    <w:name w:val="List Number 4"/>
    <w:basedOn w:val="List4"/>
    <w:rsid w:val="006B3F1F"/>
    <w:pPr>
      <w:numPr>
        <w:numId w:val="6"/>
      </w:numPr>
    </w:pPr>
  </w:style>
  <w:style w:type="paragraph" w:styleId="ListNumber5">
    <w:name w:val="List Number 5"/>
    <w:basedOn w:val="List5"/>
    <w:rsid w:val="006B3F1F"/>
    <w:pPr>
      <w:numPr>
        <w:numId w:val="7"/>
      </w:numPr>
    </w:pPr>
  </w:style>
  <w:style w:type="paragraph" w:styleId="BlockText">
    <w:name w:val="Block Text"/>
    <w:basedOn w:val="Normal"/>
    <w:rsid w:val="006B3F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3F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3F1F"/>
    <w:rPr>
      <w:sz w:val="16"/>
      <w:vertAlign w:val="superscript"/>
    </w:rPr>
  </w:style>
  <w:style w:type="character" w:customStyle="1" w:styleId="Symbols">
    <w:name w:val="Symbols"/>
    <w:basedOn w:val="DefaultParagraphFont"/>
    <w:rsid w:val="006B3F1F"/>
    <w:rPr>
      <w:rFonts w:ascii="Symbol" w:hAnsi="Symbol"/>
    </w:rPr>
  </w:style>
  <w:style w:type="character" w:customStyle="1" w:styleId="MenuOptions">
    <w:name w:val="Menu Options"/>
    <w:basedOn w:val="DefaultParagraphFont"/>
    <w:rsid w:val="006B3F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3F1F"/>
    <w:rPr>
      <w:b/>
    </w:rPr>
  </w:style>
  <w:style w:type="character" w:customStyle="1" w:styleId="Underlined">
    <w:name w:val="Underlined"/>
    <w:basedOn w:val="DefaultParagraphFont"/>
    <w:rsid w:val="006B3F1F"/>
    <w:rPr>
      <w:u w:val="single"/>
    </w:rPr>
  </w:style>
  <w:style w:type="paragraph" w:customStyle="1" w:styleId="TableBodyTextRight">
    <w:name w:val="Table Body Text Right"/>
    <w:basedOn w:val="TableBodyText"/>
    <w:rsid w:val="006B3F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3F1F"/>
    <w:rPr>
      <w:sz w:val="18"/>
    </w:rPr>
  </w:style>
  <w:style w:type="paragraph" w:customStyle="1" w:styleId="BodySmallRight">
    <w:name w:val="Body Small Right"/>
    <w:basedOn w:val="BodyTextRight"/>
    <w:rsid w:val="006B3F1F"/>
    <w:rPr>
      <w:sz w:val="18"/>
      <w:szCs w:val="18"/>
    </w:rPr>
  </w:style>
  <w:style w:type="paragraph" w:customStyle="1" w:styleId="MarginEdition">
    <w:name w:val="Margin Edition"/>
    <w:basedOn w:val="MarginNote"/>
    <w:rsid w:val="006B3F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3F1F"/>
    <w:rPr>
      <w:sz w:val="2"/>
      <w:szCs w:val="2"/>
    </w:rPr>
  </w:style>
  <w:style w:type="character" w:customStyle="1" w:styleId="Small">
    <w:name w:val="Small"/>
    <w:basedOn w:val="DefaultParagraphFont"/>
    <w:rsid w:val="006B3F1F"/>
    <w:rPr>
      <w:sz w:val="16"/>
    </w:rPr>
  </w:style>
  <w:style w:type="paragraph" w:customStyle="1" w:styleId="WideTable">
    <w:name w:val="Wide Table"/>
    <w:basedOn w:val="Normal"/>
    <w:rsid w:val="006B3F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3F1F"/>
  </w:style>
  <w:style w:type="paragraph" w:styleId="Quote">
    <w:name w:val="Quote"/>
    <w:basedOn w:val="Heading1"/>
    <w:link w:val="QuoteChar"/>
    <w:qFormat/>
    <w:rsid w:val="006B3F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3F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3F1F"/>
    <w:pPr>
      <w:pageBreakBefore/>
    </w:pPr>
  </w:style>
  <w:style w:type="paragraph" w:customStyle="1" w:styleId="Border">
    <w:name w:val="Border"/>
    <w:basedOn w:val="Normal"/>
    <w:qFormat/>
    <w:rsid w:val="006B3F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3F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3F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3F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3F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3F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3F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3F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3F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3F1F"/>
    <w:rPr>
      <w:u w:val="single"/>
    </w:rPr>
  </w:style>
  <w:style w:type="character" w:customStyle="1" w:styleId="BoldandItalics">
    <w:name w:val="Bold and Italics"/>
    <w:qFormat/>
    <w:rsid w:val="006B3F1F"/>
    <w:rPr>
      <w:b/>
      <w:i/>
      <w:u w:val="none"/>
    </w:rPr>
  </w:style>
  <w:style w:type="paragraph" w:styleId="BalloonText">
    <w:name w:val="Balloon Text"/>
    <w:basedOn w:val="Normal"/>
    <w:link w:val="BalloonTextChar"/>
    <w:rsid w:val="006B3F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3F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3F1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3F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3F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3F1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425</Words>
  <Characters>2705</Characters>
  <Application>Microsoft Office Word</Application>
  <DocSecurity>0</DocSecurity>
  <Lines>68</Lines>
  <Paragraphs>38</Paragraphs>
  <ScaleCrop>false</ScaleCrop>
  <Company>Author-it Software Corporation Ltd.</Company>
  <LinksUpToDate>false</LinksUpToDate>
  <CharactersWithSpaces>3113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CUVATS503 Work effectively with Aboriginal and Torres Strait Islander visual artists and their communities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2013-11-01T01:39:00Z</dcterms:created>
  <dcterms:modified xsi:type="dcterms:W3CDTF">2013-11-01T01:39:00Z</dcterms:modified>
</cp:coreProperties>
</file>