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72C" w:rsidP="006B672C">
      <w:pPr>
        <w:pStyle w:val="Title"/>
      </w:pPr>
      <w:r>
        <w:fldChar w:fldCharType="begin"/>
      </w:r>
      <w:r>
        <w:instrText xml:space="preserve"> TITLE   \* MERGEFORMAT </w:instrText>
      </w:r>
      <w:r>
        <w:fldChar w:fldCharType="separate"/>
      </w:r>
      <w:r>
        <w:t>CUSMGT404A Administer artists' royalty income</w:t>
      </w:r>
      <w:r>
        <w:fldChar w:fldCharType="end"/>
      </w:r>
    </w:p>
    <w:p w:rsidR="006B672C" w:rsidP="006B672C">
      <w:pPr>
        <w:pStyle w:val="Version"/>
        <w:sectPr w:rsidSect="00C61F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61FA1" w:rsidP="00C61FA1">
      <w:pPr>
        <w:pStyle w:val="SuperHeading"/>
      </w:pPr>
      <w:r w:rsidRPr="00C61FA1">
        <w:t>CUSMGT404A Administer artists' royalty income</w:t>
      </w:r>
    </w:p>
    <w:p w:rsidR="00000000" w:rsidRPr="00C61FA1" w:rsidP="00C61FA1">
      <w:pPr>
        <w:pStyle w:val="SuperHeading"/>
      </w:pPr>
    </w:p>
    <w:p w:rsidR="00000000" w:rsidRPr="00C61FA1" w:rsidP="00C61FA1">
      <w:pPr>
        <w:pStyle w:val="Heading1"/>
      </w:pPr>
      <w:bookmarkStart w:id="1" w:name="O_380791"/>
      <w:bookmarkEnd w:id="1"/>
      <w:r w:rsidRPr="00C61FA1">
        <w:t>Modification History</w:t>
      </w:r>
    </w:p>
    <w:tbl>
      <w:tblPr>
        <w:tblW w:w="0" w:type="auto"/>
        <w:tblLayout w:type="fixed"/>
        <w:tblCellMar>
          <w:left w:w="62" w:type="dxa"/>
          <w:right w:w="62" w:type="dxa"/>
        </w:tblCellMar>
        <w:tblLook w:val="0000"/>
      </w:tblPr>
      <w:tblGrid>
        <w:gridCol w:w="1585"/>
        <w:gridCol w:w="5245"/>
      </w:tblGrid>
      <w:tr w:rsidTr="00C61FA1">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61FA1" w:rsidP="00C61FA1">
            <w:pPr>
              <w:pStyle w:val="BodyText"/>
            </w:pPr>
            <w:r w:rsidRPr="00C61FA1">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61FA1">
            <w:pPr>
              <w:pStyle w:val="BodyText"/>
              <w:rPr>
                <w:lang w:val="en-NZ"/>
              </w:rPr>
            </w:pPr>
            <w:r w:rsidRPr="00C61FA1">
              <w:rPr>
                <w:rStyle w:val="SpecialBold"/>
              </w:rPr>
              <w:t>Comments</w:t>
            </w:r>
          </w:p>
        </w:tc>
      </w:tr>
      <w:tr w:rsidTr="00C61FA1">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61FA1">
            <w:pPr>
              <w:pStyle w:val="BodyText"/>
              <w:rPr>
                <w:lang w:val="en-NZ"/>
              </w:rPr>
            </w:pPr>
            <w:r w:rsidRPr="00C61FA1">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C61FA1" w:rsidP="00C61FA1">
            <w:pPr>
              <w:pStyle w:val="BodyText"/>
            </w:pPr>
            <w:r w:rsidRPr="00C61FA1">
              <w:t xml:space="preserve">Created to fix formatting errors only. </w:t>
            </w:r>
          </w:p>
          <w:p w:rsidR="00000000" w:rsidRPr="00C61FA1" w:rsidP="00C61FA1">
            <w:pPr>
              <w:pStyle w:val="BodyText"/>
            </w:pPr>
            <w:r w:rsidRPr="00C61FA1">
              <w:t>Released with CUS09 Music Training Package version 1.2</w:t>
            </w:r>
          </w:p>
        </w:tc>
      </w:tr>
    </w:tbl>
    <w:p w:rsidR="00000000" w:rsidRPr="00C61FA1" w:rsidP="00C61FA1">
      <w:pPr>
        <w:pStyle w:val="BodyText"/>
      </w:pPr>
    </w:p>
    <w:p w:rsidR="00000000" w:rsidRPr="00C61FA1" w:rsidP="00C61FA1">
      <w:pPr>
        <w:pStyle w:val="AllowPageBreak"/>
      </w:pPr>
    </w:p>
    <w:p w:rsidR="00000000" w:rsidRPr="00C61FA1" w:rsidP="00C61FA1">
      <w:pPr>
        <w:pStyle w:val="Heading1"/>
      </w:pPr>
      <w:bookmarkStart w:id="2" w:name="O_380787"/>
      <w:bookmarkEnd w:id="2"/>
      <w:r w:rsidRPr="00C61FA1">
        <w:t>Unit Descriptor</w:t>
      </w:r>
    </w:p>
    <w:p w:rsidR="006B672C" w:rsidP="00C61FA1">
      <w:pPr>
        <w:pStyle w:val="BodyText"/>
      </w:pPr>
      <w:r w:rsidRPr="00C61FA1">
        <w:t>This unit describes the performance outcomes, skills and knowledge required to negotiate and distribute royalty and other income due to artists.</w:t>
      </w:r>
    </w:p>
    <w:p w:rsidR="006B672C" w:rsidP="00C61FA1">
      <w:pPr>
        <w:pStyle w:val="BodyText"/>
      </w:pPr>
    </w:p>
    <w:p w:rsidR="00000000" w:rsidRPr="00C61FA1" w:rsidP="00C61FA1">
      <w:pPr>
        <w:pStyle w:val="Heading1"/>
      </w:pPr>
      <w:bookmarkStart w:id="3" w:name="O_380800"/>
      <w:bookmarkEnd w:id="3"/>
      <w:r w:rsidRPr="00C61FA1">
        <w:t>Application of the Unit</w:t>
      </w:r>
    </w:p>
    <w:p w:rsidR="00000000" w:rsidRPr="00C61FA1" w:rsidP="00C61FA1">
      <w:pPr>
        <w:pStyle w:val="BodyText"/>
      </w:pPr>
      <w:r w:rsidRPr="00C61FA1">
        <w:t>Employees of record companies, artist managers and, at times, artists</w:t>
      </w:r>
      <w:r w:rsidRPr="00C61FA1">
        <w:t xml:space="preserve"> apply the skills and knowledge outlined in this unit. They are responsible for negotiating financial agreements with artists about recording their performances for distribution through a range of physical and digital outlets. These agreements may also inc</w:t>
      </w:r>
      <w:r w:rsidRPr="00C61FA1">
        <w:t>lude subsidiary products, such as merchandise or the right of third parties to associate their brands with artists. Skills associated with administering royalty income to songwriters and composers for the use of their music are covered in:</w:t>
      </w:r>
    </w:p>
    <w:p w:rsidR="00000000" w:rsidRPr="00C61FA1" w:rsidP="00C61FA1">
      <w:pPr>
        <w:pStyle w:val="ListBullet"/>
      </w:pPr>
      <w:r w:rsidRPr="00C61FA1">
        <w:t>CUSMGT402A Administer music publishing income.</w:t>
      </w:r>
    </w:p>
    <w:p w:rsidR="00000000" w:rsidRPr="00C61FA1" w:rsidP="00C61FA1">
      <w:pPr>
        <w:pStyle w:val="AllowPageBreak"/>
      </w:pPr>
    </w:p>
    <w:p w:rsidR="00000000" w:rsidRPr="00C61FA1" w:rsidP="00C61FA1">
      <w:pPr>
        <w:pStyle w:val="Heading1"/>
      </w:pPr>
      <w:bookmarkStart w:id="4" w:name="O_380792"/>
      <w:bookmarkEnd w:id="4"/>
      <w:r w:rsidRPr="00C61FA1">
        <w:t>Licensing/Regulatory Information</w:t>
      </w:r>
    </w:p>
    <w:p w:rsidR="006B672C" w:rsidP="00C61FA1">
      <w:pPr>
        <w:pStyle w:val="BodyText"/>
      </w:pPr>
      <w:r w:rsidRPr="00C61FA1">
        <w:t>No licensing, legislative, regulatory or certification requirements apply to this unit at the time of endorsement.</w:t>
      </w:r>
    </w:p>
    <w:p w:rsidR="006B672C" w:rsidP="00C61FA1">
      <w:pPr>
        <w:pStyle w:val="BodyText"/>
      </w:pPr>
    </w:p>
    <w:p w:rsidR="00000000" w:rsidRPr="00C61FA1" w:rsidP="00C61FA1">
      <w:pPr>
        <w:pStyle w:val="Heading1"/>
      </w:pPr>
      <w:bookmarkStart w:id="5" w:name="O_380790"/>
      <w:bookmarkEnd w:id="5"/>
      <w:r w:rsidRPr="00C61FA1">
        <w:t>Pre-Requisites</w:t>
      </w:r>
    </w:p>
    <w:p w:rsidR="00000000" w:rsidRPr="00C61FA1" w:rsidP="00C61FA1">
      <w:pPr>
        <w:pStyle w:val="BodyText"/>
      </w:pPr>
      <w:r w:rsidRPr="00C61FA1">
        <w:t>Not applicable</w:t>
      </w:r>
    </w:p>
    <w:p w:rsidR="00000000" w:rsidRPr="00C61FA1" w:rsidP="00C61FA1">
      <w:pPr>
        <w:pStyle w:val="AllowPageBreak"/>
      </w:pPr>
    </w:p>
    <w:p w:rsidR="00000000" w:rsidRPr="00C61FA1" w:rsidP="00C61FA1">
      <w:pPr>
        <w:pStyle w:val="Heading1"/>
      </w:pPr>
      <w:bookmarkStart w:id="6" w:name="O_380795"/>
      <w:bookmarkEnd w:id="6"/>
      <w:r w:rsidRPr="00C61FA1">
        <w:t>Employability Skills Information</w:t>
      </w:r>
    </w:p>
    <w:p w:rsidR="00000000" w:rsidRPr="00C61FA1" w:rsidP="00C61FA1">
      <w:pPr>
        <w:pStyle w:val="BodyText"/>
      </w:pPr>
      <w:r w:rsidRPr="00C61FA1">
        <w:t>Not applicable</w:t>
      </w:r>
    </w:p>
    <w:p w:rsidR="00000000" w:rsidRPr="00C61FA1" w:rsidP="00C61FA1">
      <w:pPr>
        <w:pStyle w:val="AllowPageBreak"/>
      </w:pPr>
    </w:p>
    <w:p w:rsidR="00000000" w:rsidRPr="00C61FA1" w:rsidP="00C61FA1">
      <w:pPr>
        <w:pStyle w:val="Heading1"/>
      </w:pPr>
      <w:bookmarkStart w:id="7" w:name="O_380796"/>
      <w:bookmarkEnd w:id="7"/>
      <w:r w:rsidRPr="00C61FA1">
        <w:t>Elements and Performance Criteria Pre-Content</w:t>
      </w:r>
    </w:p>
    <w:tbl>
      <w:tblPr>
        <w:tblW w:w="0" w:type="auto"/>
        <w:tblLayout w:type="fixed"/>
        <w:tblCellMar>
          <w:left w:w="62" w:type="dxa"/>
          <w:right w:w="62" w:type="dxa"/>
        </w:tblCellMar>
        <w:tblLook w:val="0000"/>
      </w:tblPr>
      <w:tblGrid>
        <w:gridCol w:w="2562"/>
        <w:gridCol w:w="5960"/>
      </w:tblGrid>
      <w:tr w:rsidTr="006B672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FA1" w:rsidP="00C61FA1">
            <w:pPr>
              <w:pStyle w:val="BodyText"/>
            </w:pPr>
            <w:r w:rsidRPr="00C61FA1">
              <w:rPr>
                <w:rStyle w:val="Emphasis"/>
              </w:rPr>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FA1" w:rsidP="00C61FA1">
            <w:pPr>
              <w:pStyle w:val="BodyText"/>
            </w:pPr>
            <w:r w:rsidRPr="00C61FA1">
              <w:rPr>
                <w:rStyle w:val="Emphasis"/>
              </w:rPr>
              <w:t>Performance criteria describe the performance n</w:t>
            </w:r>
            <w:r w:rsidRPr="00C61FA1">
              <w:rPr>
                <w:rStyle w:val="Emphasis"/>
              </w:rPr>
              <w:t>eeded to demonstrate achievement of the element. Where bold italicised text is used, further information is detailed in the required skills and knowledge section and the range statement. Assessment of performance is to be consistent with the evidence guide</w:t>
            </w:r>
            <w:r w:rsidRPr="00C61FA1">
              <w:rPr>
                <w:rStyle w:val="Emphasis"/>
              </w:rPr>
              <w:t>.</w:t>
            </w:r>
          </w:p>
        </w:tc>
      </w:tr>
    </w:tbl>
    <w:p w:rsidR="00000000" w:rsidRPr="00C61FA1" w:rsidP="00C61FA1">
      <w:pPr>
        <w:pStyle w:val="BodyText"/>
      </w:pPr>
    </w:p>
    <w:p w:rsidR="00000000" w:rsidRPr="00C61FA1" w:rsidP="00C61FA1">
      <w:pPr>
        <w:pStyle w:val="AllowPageBreak"/>
      </w:pPr>
    </w:p>
    <w:p w:rsidR="00000000" w:rsidRPr="00C61FA1" w:rsidP="00C61FA1">
      <w:pPr>
        <w:pStyle w:val="Heading1"/>
      </w:pPr>
      <w:bookmarkStart w:id="8" w:name="O_380797"/>
      <w:bookmarkEnd w:id="8"/>
      <w:r w:rsidRPr="00C61FA1">
        <w:t>Elements and Performance Criteria</w:t>
      </w:r>
    </w:p>
    <w:tbl>
      <w:tblPr>
        <w:tblW w:w="0" w:type="auto"/>
        <w:tblLayout w:type="fixed"/>
        <w:tblCellMar>
          <w:left w:w="62" w:type="dxa"/>
          <w:right w:w="62" w:type="dxa"/>
        </w:tblCellMar>
        <w:tblLook w:val="0000"/>
      </w:tblPr>
      <w:tblGrid>
        <w:gridCol w:w="2562"/>
        <w:gridCol w:w="5960"/>
      </w:tblGrid>
      <w:tr w:rsidTr="006B672C">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FA1" w:rsidP="00C61FA1">
            <w:pPr>
              <w:pStyle w:val="BodyText"/>
            </w:pPr>
            <w:r w:rsidRPr="00C61FA1">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FA1">
            <w:pPr>
              <w:pStyle w:val="BodyText"/>
              <w:rPr>
                <w:lang w:val="en-NZ"/>
              </w:rPr>
            </w:pPr>
            <w:r w:rsidRPr="00C61FA1">
              <w:rPr>
                <w:rStyle w:val="SpecialBold"/>
              </w:rPr>
              <w:t>PERFORMANCE CRITERIA</w:t>
            </w:r>
          </w:p>
        </w:tc>
      </w:tr>
      <w:tr w:rsidTr="006B672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FA1">
            <w:pPr>
              <w:pStyle w:val="BodyText"/>
              <w:rPr>
                <w:lang w:val="en-NZ"/>
              </w:rPr>
            </w:pPr>
            <w:r w:rsidRPr="00C61FA1">
              <w:t>1. Clarify terms and conditions of agreements with artists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FA1" w:rsidP="00C61FA1">
            <w:pPr>
              <w:pStyle w:val="List"/>
            </w:pPr>
            <w:r w:rsidRPr="00C61FA1">
              <w:t>1.1</w:t>
            </w:r>
            <w:r w:rsidRPr="00C61FA1">
              <w:tab/>
              <w:t xml:space="preserve">Identify </w:t>
            </w:r>
            <w:r w:rsidRPr="00C61FA1">
              <w:rPr>
                <w:rStyle w:val="BoldandItalics"/>
              </w:rPr>
              <w:t>products</w:t>
            </w:r>
            <w:r w:rsidRPr="00C61FA1">
              <w:t xml:space="preserve"> and </w:t>
            </w:r>
            <w:r w:rsidRPr="00C61FA1">
              <w:rPr>
                <w:rStyle w:val="BoldandItalics"/>
              </w:rPr>
              <w:t>rights</w:t>
            </w:r>
            <w:r w:rsidRPr="00C61FA1">
              <w:t xml:space="preserve"> to be covered in agreements with </w:t>
            </w:r>
            <w:r w:rsidRPr="00C61FA1">
              <w:rPr>
                <w:rStyle w:val="BoldandItalics"/>
              </w:rPr>
              <w:t>artists</w:t>
            </w:r>
          </w:p>
          <w:p w:rsidR="00000000" w:rsidRPr="00C61FA1" w:rsidP="00C61FA1">
            <w:pPr>
              <w:pStyle w:val="List"/>
            </w:pPr>
            <w:r w:rsidRPr="00C61FA1">
              <w:t>1.2</w:t>
            </w:r>
            <w:r w:rsidRPr="00C61FA1">
              <w:tab/>
              <w:t xml:space="preserve">Calculate </w:t>
            </w:r>
            <w:r w:rsidRPr="00C61FA1">
              <w:rPr>
                <w:rStyle w:val="BoldandItalics"/>
              </w:rPr>
              <w:t>income</w:t>
            </w:r>
            <w:r w:rsidRPr="00C61FA1">
              <w:t xml:space="preserve"> in line with contractual arrangements</w:t>
            </w:r>
          </w:p>
          <w:p w:rsidR="00000000" w:rsidRPr="00C61FA1" w:rsidP="00C61FA1">
            <w:pPr>
              <w:pStyle w:val="List"/>
            </w:pPr>
            <w:r w:rsidRPr="00C61FA1">
              <w:t>1.3</w:t>
            </w:r>
            <w:r w:rsidRPr="00C61FA1">
              <w:tab/>
              <w:t xml:space="preserve">Negotiate and confirm royalties arising from the reproduction of artists' </w:t>
            </w:r>
            <w:r w:rsidRPr="00C61FA1">
              <w:rPr>
                <w:rStyle w:val="BoldandItalics"/>
              </w:rPr>
              <w:t>recordings</w:t>
            </w:r>
          </w:p>
          <w:p w:rsidR="00000000" w:rsidRPr="00C61FA1" w:rsidP="00C61FA1">
            <w:pPr>
              <w:pStyle w:val="List"/>
            </w:pPr>
            <w:r w:rsidRPr="00C61FA1">
              <w:t>1.4</w:t>
            </w:r>
            <w:r w:rsidRPr="00C61FA1">
              <w:tab/>
              <w:t>Ensure royalty negotiations accurately and fairly reflect the commercial stature of artists</w:t>
            </w:r>
          </w:p>
          <w:p w:rsidR="00000000" w:rsidRPr="00C61FA1" w:rsidP="00C61FA1">
            <w:pPr>
              <w:pStyle w:val="List"/>
            </w:pPr>
            <w:r w:rsidRPr="00C61FA1">
              <w:t>1.5</w:t>
            </w:r>
            <w:r w:rsidRPr="00C61FA1">
              <w:tab/>
              <w:t>Discuss, confirm and documen</w:t>
            </w:r>
            <w:r w:rsidRPr="00C61FA1">
              <w:t xml:space="preserve">t </w:t>
            </w:r>
            <w:r w:rsidRPr="00C61FA1">
              <w:rPr>
                <w:rStyle w:val="BoldandItalics"/>
              </w:rPr>
              <w:t>terms and conditions</w:t>
            </w:r>
            <w:r w:rsidRPr="00C61FA1">
              <w:t xml:space="preserve"> to be included in </w:t>
            </w:r>
            <w:r w:rsidRPr="00C61FA1">
              <w:rPr>
                <w:rStyle w:val="BoldandItalics"/>
              </w:rPr>
              <w:t>agreements</w:t>
            </w:r>
            <w:r w:rsidRPr="00C61FA1">
              <w:t xml:space="preserve"> with artists</w:t>
            </w:r>
          </w:p>
          <w:p w:rsidR="00000000" w:rsidRPr="00C61FA1" w:rsidP="00C61FA1">
            <w:pPr>
              <w:pStyle w:val="List"/>
            </w:pPr>
            <w:r w:rsidRPr="00C61FA1">
              <w:t>1.6</w:t>
            </w:r>
            <w:r w:rsidRPr="00C61FA1">
              <w:tab/>
              <w:t>Ensure commercial interests of artists and any third parties are balanced and clearly articulated</w:t>
            </w:r>
          </w:p>
          <w:p w:rsidR="00000000" w:rsidP="00C61FA1">
            <w:pPr>
              <w:pStyle w:val="List"/>
              <w:rPr>
                <w:lang w:val="en-NZ"/>
              </w:rPr>
            </w:pPr>
            <w:r w:rsidRPr="00C61FA1">
              <w:t>1.7</w:t>
            </w:r>
            <w:r w:rsidRPr="00C61FA1">
              <w:tab/>
              <w:t>Liaise with personnel responsible for</w:t>
            </w:r>
            <w:r w:rsidRPr="00C61FA1">
              <w:t xml:space="preserve"> drawing up contracts with artists to ensure that contracts reflect agreed terms and conditions</w:t>
            </w:r>
          </w:p>
        </w:tc>
      </w:tr>
      <w:tr w:rsidTr="006B672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FA1">
            <w:pPr>
              <w:pStyle w:val="BodyText"/>
              <w:rPr>
                <w:lang w:val="en-NZ"/>
              </w:rPr>
            </w:pPr>
            <w:r w:rsidRPr="00C61FA1">
              <w:t>2. Disperse income and maintain financial records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FA1" w:rsidP="00C61FA1">
            <w:pPr>
              <w:pStyle w:val="List"/>
            </w:pPr>
            <w:r w:rsidRPr="00C61FA1">
              <w:t>2.1</w:t>
            </w:r>
            <w:r w:rsidRPr="00C61FA1">
              <w:tab/>
              <w:t>Use relevant software to calculate royalties and income in line with agreements</w:t>
            </w:r>
          </w:p>
          <w:p w:rsidR="00000000" w:rsidRPr="00C61FA1" w:rsidP="00C61FA1">
            <w:pPr>
              <w:pStyle w:val="List"/>
            </w:pPr>
            <w:r w:rsidRPr="00C61FA1">
              <w:t>2.2</w:t>
            </w:r>
            <w:r w:rsidRPr="00C61FA1">
              <w:tab/>
              <w:t xml:space="preserve">Distribute income to </w:t>
            </w:r>
            <w:r w:rsidRPr="00C61FA1">
              <w:t xml:space="preserve">artists in line with agreements </w:t>
            </w:r>
          </w:p>
          <w:p w:rsidR="00000000" w:rsidRPr="00C61FA1" w:rsidP="00C61FA1">
            <w:pPr>
              <w:pStyle w:val="List"/>
            </w:pPr>
            <w:r w:rsidRPr="00C61FA1">
              <w:t>2.3</w:t>
            </w:r>
            <w:r w:rsidRPr="00C61FA1">
              <w:tab/>
              <w:t>Update files systematically to ensure currency and accuracy of records and reporting</w:t>
            </w:r>
          </w:p>
          <w:p w:rsidR="00000000" w:rsidRPr="00C61FA1" w:rsidP="00C61FA1">
            <w:pPr>
              <w:pStyle w:val="List"/>
            </w:pPr>
            <w:r w:rsidRPr="00C61FA1">
              <w:t>2.4</w:t>
            </w:r>
            <w:r w:rsidRPr="00C61FA1">
              <w:tab/>
              <w:t xml:space="preserve">Ensure that discrepancies in payments or queries are identified, resolved or referred to </w:t>
            </w:r>
            <w:r w:rsidRPr="00C61FA1">
              <w:rPr>
                <w:rStyle w:val="BoldandItalics"/>
              </w:rPr>
              <w:t>relevant personnel</w:t>
            </w:r>
          </w:p>
        </w:tc>
      </w:tr>
    </w:tbl>
    <w:p w:rsidR="00000000" w:rsidRPr="00C61FA1" w:rsidP="00C61FA1">
      <w:pPr>
        <w:pStyle w:val="BodyText"/>
      </w:pPr>
    </w:p>
    <w:p w:rsidR="00000000" w:rsidRPr="00C61FA1" w:rsidP="00C61FA1">
      <w:pPr>
        <w:pStyle w:val="AllowPageBreak"/>
      </w:pPr>
    </w:p>
    <w:p w:rsidR="00000000" w:rsidRPr="00C61FA1" w:rsidP="00C61FA1">
      <w:pPr>
        <w:pStyle w:val="Heading1"/>
      </w:pPr>
      <w:bookmarkStart w:id="9" w:name="O_380788"/>
      <w:bookmarkEnd w:id="9"/>
      <w:r w:rsidRPr="00C61FA1">
        <w:t>Req</w:t>
      </w:r>
      <w:r w:rsidRPr="00C61FA1">
        <w:t>uired Skills and Knowledge</w:t>
      </w:r>
    </w:p>
    <w:tbl>
      <w:tblPr>
        <w:tblW w:w="0" w:type="auto"/>
        <w:tblLayout w:type="fixed"/>
        <w:tblCellMar>
          <w:left w:w="62" w:type="dxa"/>
          <w:right w:w="62" w:type="dxa"/>
        </w:tblCellMar>
        <w:tblLook w:val="0000"/>
      </w:tblPr>
      <w:tblGrid>
        <w:gridCol w:w="8522"/>
      </w:tblGrid>
      <w:tr w:rsidTr="006B67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61FA1">
            <w:pPr>
              <w:pStyle w:val="BodyText"/>
              <w:rPr>
                <w:lang w:val="en-NZ"/>
              </w:rPr>
            </w:pPr>
            <w:r w:rsidRPr="00C61FA1">
              <w:rPr>
                <w:rStyle w:val="Emphasis"/>
              </w:rPr>
              <w:t>This section describes the skills and knowledge required for this unit.</w:t>
            </w:r>
          </w:p>
        </w:tc>
      </w:tr>
      <w:tr w:rsidTr="006B67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61FA1">
            <w:pPr>
              <w:pStyle w:val="BodyText"/>
              <w:rPr>
                <w:lang w:val="en-NZ"/>
              </w:rPr>
            </w:pPr>
            <w:r w:rsidRPr="00C61FA1">
              <w:rPr>
                <w:rStyle w:val="SpecialBold"/>
              </w:rPr>
              <w:t>Required skills</w:t>
            </w:r>
          </w:p>
        </w:tc>
      </w:tr>
      <w:tr w:rsidTr="006B67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61FA1" w:rsidP="00C61FA1">
            <w:pPr>
              <w:pStyle w:val="ListBullet"/>
            </w:pPr>
            <w:r w:rsidRPr="00C61FA1">
              <w:t>literacy skills sufficient to interpret contracts and agreements</w:t>
            </w:r>
          </w:p>
          <w:p w:rsidR="00000000" w:rsidRPr="00C61FA1" w:rsidP="00C61FA1">
            <w:pPr>
              <w:pStyle w:val="ListBullet"/>
            </w:pPr>
            <w:r w:rsidRPr="00C61FA1">
              <w:t>numeracy skills sufficient to calculateroyalty paymentsand apportion income to artists</w:t>
            </w:r>
          </w:p>
          <w:p w:rsidR="00000000" w:rsidRPr="00C61FA1" w:rsidP="00C61FA1">
            <w:pPr>
              <w:pStyle w:val="ListBullet"/>
            </w:pPr>
            <w:r w:rsidRPr="00C61FA1">
              <w:t xml:space="preserve">communication skills sufficient to negotiate terms and conditions of agreements with artists </w:t>
            </w:r>
          </w:p>
          <w:p w:rsidR="00000000" w:rsidRPr="00C61FA1" w:rsidP="00C61FA1">
            <w:pPr>
              <w:pStyle w:val="ListBullet"/>
            </w:pPr>
            <w:r w:rsidRPr="00C61FA1">
              <w:t>initiative and enterprise skills in the context of negotiating deals that m</w:t>
            </w:r>
            <w:r w:rsidRPr="00C61FA1">
              <w:t>aximise income for all parties to agreements</w:t>
            </w:r>
          </w:p>
          <w:p w:rsidR="00000000" w:rsidRPr="00C61FA1" w:rsidP="00C61FA1">
            <w:pPr>
              <w:pStyle w:val="ListBullet"/>
            </w:pPr>
            <w:r w:rsidRPr="00C61FA1">
              <w:t>learning skills sufficient to maintain currency of knowledge in relation to recording and other deals open to artists</w:t>
            </w:r>
          </w:p>
          <w:p w:rsidR="00000000" w:rsidRPr="00C61FA1" w:rsidP="00C61FA1">
            <w:pPr>
              <w:pStyle w:val="ListBullet"/>
            </w:pPr>
            <w:r w:rsidRPr="00C61FA1">
              <w:t>planning and organisational skills sufficient to:</w:t>
            </w:r>
          </w:p>
          <w:p w:rsidR="00000000" w:rsidRPr="00C61FA1" w:rsidP="00C61FA1">
            <w:pPr>
              <w:pStyle w:val="ListBullet2"/>
            </w:pPr>
            <w:r w:rsidRPr="00C61FA1">
              <w:t xml:space="preserve">assemble information relevant to artists' </w:t>
            </w:r>
            <w:r w:rsidRPr="00C61FA1">
              <w:t>agreements</w:t>
            </w:r>
          </w:p>
          <w:p w:rsidR="00000000" w:rsidRPr="00C61FA1" w:rsidP="00C61FA1">
            <w:pPr>
              <w:pStyle w:val="ListBullet2"/>
            </w:pPr>
            <w:r w:rsidRPr="00C61FA1">
              <w:t>keep accurate records of agreements with artists</w:t>
            </w:r>
          </w:p>
          <w:p w:rsidR="00000000" w:rsidRPr="00C61FA1" w:rsidP="00C61FA1">
            <w:pPr>
              <w:pStyle w:val="ListBullet"/>
            </w:pPr>
            <w:r w:rsidRPr="00C61FA1">
              <w:t>problem-solving skills sufficient to address discrepancies in royalty calculations</w:t>
            </w:r>
          </w:p>
          <w:p w:rsidR="00000000" w:rsidRPr="00C61FA1" w:rsidP="00C61FA1">
            <w:pPr>
              <w:pStyle w:val="ListBullet"/>
            </w:pPr>
            <w:r w:rsidRPr="00C61FA1">
              <w:t>self-management skills sufficient to assess and prioritise own workload</w:t>
            </w:r>
          </w:p>
          <w:p w:rsidR="00000000" w:rsidRPr="00C61FA1" w:rsidP="00C61FA1">
            <w:pPr>
              <w:pStyle w:val="ListBullet"/>
            </w:pPr>
            <w:r w:rsidRPr="00C61FA1">
              <w:t>teamwork skills sufficient to build and maintain networks and relationships with artists and clients</w:t>
            </w:r>
          </w:p>
          <w:p w:rsidR="00000000" w:rsidP="00C61FA1">
            <w:pPr>
              <w:pStyle w:val="ListBullet"/>
              <w:rPr>
                <w:lang w:val="en-NZ"/>
              </w:rPr>
            </w:pPr>
            <w:r w:rsidRPr="00C61FA1">
              <w:t>technical skills sufficient to use standard word-processing and accounting software</w:t>
            </w:r>
          </w:p>
        </w:tc>
      </w:tr>
      <w:tr w:rsidTr="006B67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61FA1">
            <w:pPr>
              <w:pStyle w:val="BodyText"/>
              <w:rPr>
                <w:lang w:val="en-NZ"/>
              </w:rPr>
            </w:pPr>
            <w:r w:rsidRPr="00C61FA1">
              <w:rPr>
                <w:rStyle w:val="SpecialBold"/>
              </w:rPr>
              <w:t>Required knowledge</w:t>
            </w:r>
          </w:p>
        </w:tc>
      </w:tr>
      <w:tr w:rsidTr="006B67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61FA1" w:rsidP="00C61FA1">
            <w:pPr>
              <w:pStyle w:val="ListBullet"/>
            </w:pPr>
            <w:r w:rsidRPr="00C61FA1">
              <w:t>copyright legislation as it relates to licensing, publishing, rights and royalties:</w:t>
            </w:r>
          </w:p>
          <w:p w:rsidR="00000000" w:rsidRPr="00C61FA1" w:rsidP="00C61FA1">
            <w:pPr>
              <w:pStyle w:val="ListBullet2"/>
            </w:pPr>
            <w:r w:rsidRPr="00C61FA1">
              <w:t>Copyright Act 1968</w:t>
            </w:r>
          </w:p>
          <w:p w:rsidR="00000000" w:rsidRPr="00C61FA1" w:rsidP="00C61FA1">
            <w:pPr>
              <w:pStyle w:val="ListBullet2"/>
            </w:pPr>
            <w:r w:rsidRPr="00C61FA1">
              <w:t>Copyright Amendment (Digital Agenda) Act 2000</w:t>
            </w:r>
          </w:p>
          <w:p w:rsidR="00000000" w:rsidRPr="00C61FA1" w:rsidP="00C61FA1">
            <w:pPr>
              <w:pStyle w:val="ListBullet"/>
            </w:pPr>
            <w:r w:rsidRPr="00C61FA1">
              <w:t>revenue structures in the music industry</w:t>
            </w:r>
          </w:p>
          <w:p w:rsidR="00000000" w:rsidRPr="00C61FA1" w:rsidP="00C61FA1">
            <w:pPr>
              <w:pStyle w:val="ListBullet"/>
            </w:pPr>
            <w:r w:rsidRPr="00C61FA1">
              <w:t>types of royalty income due to artists, composers and songwriter</w:t>
            </w:r>
            <w:r w:rsidRPr="00C61FA1">
              <w:t>s</w:t>
            </w:r>
          </w:p>
          <w:p w:rsidR="00000000" w:rsidRPr="00C61FA1" w:rsidP="00C61FA1">
            <w:pPr>
              <w:pStyle w:val="ListBullet"/>
            </w:pPr>
            <w:r w:rsidRPr="00C61FA1">
              <w:t>methods for calculating and distributing income to artists</w:t>
            </w:r>
          </w:p>
          <w:p w:rsidR="00000000" w:rsidRPr="00C61FA1" w:rsidP="00C61FA1">
            <w:pPr>
              <w:pStyle w:val="ListBullet"/>
            </w:pPr>
            <w:r w:rsidRPr="00C61FA1">
              <w:t>rights and obligations of artists, recording companies and third parties in agreements</w:t>
            </w:r>
          </w:p>
          <w:p w:rsidR="00000000" w:rsidRPr="00C61FA1" w:rsidP="00C61FA1">
            <w:pPr>
              <w:pStyle w:val="ListBullet"/>
            </w:pPr>
            <w:r w:rsidRPr="00C61FA1">
              <w:t>role and functions of:</w:t>
            </w:r>
          </w:p>
          <w:p w:rsidR="00000000" w:rsidRPr="00C61FA1" w:rsidP="00C61FA1">
            <w:pPr>
              <w:pStyle w:val="ListBullet2"/>
            </w:pPr>
            <w:r w:rsidRPr="00C61FA1">
              <w:t>industry personnel</w:t>
            </w:r>
          </w:p>
          <w:p w:rsidR="00000000" w:rsidRPr="00C61FA1" w:rsidP="00C61FA1">
            <w:pPr>
              <w:pStyle w:val="ListBullet2"/>
            </w:pPr>
            <w:r w:rsidRPr="00C61FA1">
              <w:t>music retail outlets</w:t>
            </w:r>
          </w:p>
          <w:p w:rsidR="00000000" w:rsidRPr="00C61FA1" w:rsidP="00C61FA1">
            <w:pPr>
              <w:pStyle w:val="ListBullet2"/>
            </w:pPr>
            <w:r w:rsidRPr="00C61FA1">
              <w:t>music publishing companies</w:t>
            </w:r>
          </w:p>
          <w:p w:rsidR="00000000" w:rsidRPr="00C61FA1" w:rsidP="00C61FA1">
            <w:pPr>
              <w:pStyle w:val="ListBullet2"/>
            </w:pPr>
            <w:r w:rsidRPr="00C61FA1">
              <w:t>record companies</w:t>
            </w:r>
          </w:p>
          <w:p w:rsidR="00000000" w:rsidRPr="00C61FA1" w:rsidP="00C61FA1">
            <w:pPr>
              <w:pStyle w:val="ListBullet2"/>
            </w:pPr>
            <w:r w:rsidRPr="00C61FA1">
              <w:t>digital distributors/aggregators</w:t>
            </w:r>
          </w:p>
          <w:p w:rsidR="00000000" w:rsidRPr="00C61FA1" w:rsidP="00C61FA1">
            <w:pPr>
              <w:pStyle w:val="ListBullet2"/>
            </w:pPr>
            <w:r w:rsidRPr="00C61FA1">
              <w:t>national and international music industry associations</w:t>
            </w:r>
          </w:p>
          <w:p w:rsidR="00000000" w:rsidRPr="00C61FA1" w:rsidP="00C61FA1">
            <w:pPr>
              <w:pStyle w:val="ListBullet"/>
            </w:pPr>
            <w:r w:rsidRPr="00C61FA1">
              <w:t>routine bookkeeping and accounting procedures</w:t>
            </w:r>
          </w:p>
          <w:p w:rsidR="00000000" w:rsidRPr="00C61FA1" w:rsidP="00C61FA1">
            <w:pPr>
              <w:pStyle w:val="ListBullet"/>
            </w:pPr>
            <w:r w:rsidRPr="00C61FA1">
              <w:t>typical features, requirements and terminology used incontracts and agreements with artists</w:t>
            </w:r>
          </w:p>
          <w:p w:rsidR="00000000" w:rsidRPr="00C61FA1" w:rsidP="00C61FA1">
            <w:pPr>
              <w:pStyle w:val="ListBullet"/>
            </w:pPr>
            <w:r w:rsidRPr="00C61FA1">
              <w:t>issues and challenges that ty</w:t>
            </w:r>
            <w:r w:rsidRPr="00C61FA1">
              <w:t>pically arise in the context of administering artists' income</w:t>
            </w:r>
          </w:p>
        </w:tc>
      </w:tr>
    </w:tbl>
    <w:p w:rsidR="00000000" w:rsidRPr="00C61FA1" w:rsidP="00C61FA1">
      <w:pPr>
        <w:pStyle w:val="BodyText"/>
      </w:pPr>
    </w:p>
    <w:p w:rsidR="00000000" w:rsidRPr="00C61FA1" w:rsidP="00C61FA1">
      <w:pPr>
        <w:pStyle w:val="AllowPageBreak"/>
      </w:pPr>
    </w:p>
    <w:p w:rsidR="00000000" w:rsidRPr="00C61FA1" w:rsidP="00C61FA1">
      <w:pPr>
        <w:pStyle w:val="Heading1"/>
      </w:pPr>
      <w:bookmarkStart w:id="10" w:name="O_380794"/>
      <w:bookmarkEnd w:id="10"/>
      <w:r w:rsidRPr="00C61FA1">
        <w:t>Evidence Guide</w:t>
      </w:r>
    </w:p>
    <w:tbl>
      <w:tblPr>
        <w:tblW w:w="9570" w:type="dxa"/>
        <w:tblLayout w:type="fixed"/>
        <w:tblCellMar>
          <w:left w:w="62" w:type="dxa"/>
          <w:right w:w="62" w:type="dxa"/>
        </w:tblCellMar>
        <w:tblLook w:val="0000"/>
      </w:tblPr>
      <w:tblGrid>
        <w:gridCol w:w="3908"/>
        <w:gridCol w:w="5662"/>
      </w:tblGrid>
      <w:tr w:rsidTr="006B672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FA1">
            <w:pPr>
              <w:pStyle w:val="BodyText"/>
              <w:rPr>
                <w:lang w:val="en-NZ"/>
              </w:rPr>
            </w:pPr>
            <w:r w:rsidRPr="00C61FA1">
              <w:rPr>
                <w:rStyle w:val="Emphasis"/>
              </w:rPr>
              <w:t xml:space="preserve">The Evidence Guide provides advice on assessment and must be read in conjunction with the performance criteria, required skills </w:t>
            </w:r>
            <w:r w:rsidRPr="00C61FA1">
              <w:rPr>
                <w:rStyle w:val="Emphasis"/>
              </w:rPr>
              <w:t>and knowledge, range statement and the Assessment Guidelines for the Training Package.</w:t>
            </w:r>
          </w:p>
        </w:tc>
      </w:tr>
      <w:tr w:rsidTr="006B67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FA1">
            <w:pPr>
              <w:pStyle w:val="BodyText"/>
              <w:rPr>
                <w:lang w:val="en-NZ"/>
              </w:rPr>
            </w:pPr>
            <w:r w:rsidRPr="00C61FA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FA1">
            <w:pPr>
              <w:pStyle w:val="BodyText"/>
              <w:rPr>
                <w:lang w:val="en-NZ"/>
              </w:rPr>
            </w:pPr>
          </w:p>
        </w:tc>
      </w:tr>
      <w:tr w:rsidTr="006B67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FA1">
            <w:pPr>
              <w:pStyle w:val="BodyText"/>
              <w:rPr>
                <w:lang w:val="en-NZ"/>
              </w:rPr>
            </w:pPr>
            <w:r w:rsidRPr="00C61FA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FA1" w:rsidP="00C61FA1">
            <w:pPr>
              <w:pStyle w:val="BodyText"/>
            </w:pPr>
            <w:r w:rsidRPr="00C61FA1">
              <w:t>Evidence of the ability to:</w:t>
            </w:r>
          </w:p>
          <w:p w:rsidR="00000000" w:rsidRPr="00C61FA1" w:rsidP="00C61FA1">
            <w:pPr>
              <w:pStyle w:val="ListBullet"/>
            </w:pPr>
            <w:r w:rsidRPr="00C61FA1">
              <w:t xml:space="preserve">negotiate terms and conditions of financial agreements with artists </w:t>
            </w:r>
          </w:p>
          <w:p w:rsidR="00000000" w:rsidP="00C61FA1">
            <w:pPr>
              <w:pStyle w:val="ListBullet"/>
              <w:rPr>
                <w:lang w:val="en-NZ"/>
              </w:rPr>
            </w:pPr>
            <w:r w:rsidRPr="00C61FA1">
              <w:t>calculate, collect and distribute income to artists in line with agreements.</w:t>
            </w:r>
          </w:p>
        </w:tc>
      </w:tr>
      <w:tr w:rsidTr="006B67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FA1">
            <w:pPr>
              <w:pStyle w:val="BodyText"/>
              <w:rPr>
                <w:lang w:val="en-NZ"/>
              </w:rPr>
            </w:pPr>
            <w:r w:rsidRPr="00C61FA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FA1" w:rsidP="00C61FA1">
            <w:pPr>
              <w:pStyle w:val="BodyText"/>
            </w:pPr>
            <w:r w:rsidRPr="00C61FA1">
              <w:t>Assessment must ensure:</w:t>
            </w:r>
          </w:p>
          <w:p w:rsidR="00000000" w:rsidRPr="00C61FA1" w:rsidP="00C61FA1">
            <w:pPr>
              <w:pStyle w:val="ListBullet"/>
            </w:pPr>
            <w:r w:rsidRPr="00C61FA1">
              <w:t>access to:</w:t>
            </w:r>
          </w:p>
          <w:p w:rsidR="00000000" w:rsidRPr="00C61FA1" w:rsidP="00C61FA1">
            <w:pPr>
              <w:pStyle w:val="ListBullet2"/>
            </w:pPr>
            <w:r w:rsidRPr="00C61FA1">
              <w:t>copyright and licensing</w:t>
            </w:r>
            <w:r w:rsidRPr="00C61FA1">
              <w:t xml:space="preserve"> legislation, including the Copyright Act 1968 and Copyright Amendment (Digital Agenda) Act 2000</w:t>
            </w:r>
          </w:p>
          <w:p w:rsidR="00000000" w:rsidRPr="00C61FA1" w:rsidP="00C61FA1">
            <w:pPr>
              <w:pStyle w:val="ListBullet2"/>
            </w:pPr>
            <w:r w:rsidRPr="00C61FA1">
              <w:t>word-processing and accounting software</w:t>
            </w:r>
          </w:p>
          <w:p w:rsidR="00000000" w:rsidRPr="00C61FA1" w:rsidP="00C61FA1">
            <w:pPr>
              <w:pStyle w:val="ListBullet2"/>
            </w:pPr>
            <w:r w:rsidRPr="00C61FA1">
              <w:t>industry association agreements</w:t>
            </w:r>
          </w:p>
          <w:p w:rsidR="00000000" w:rsidRPr="00C61FA1" w:rsidP="00C61FA1">
            <w:pPr>
              <w:pStyle w:val="ListBullet2"/>
            </w:pPr>
            <w:r w:rsidRPr="00C61FA1">
              <w:t>artists</w:t>
            </w:r>
          </w:p>
          <w:p w:rsidR="00000000" w:rsidP="00C61FA1">
            <w:pPr>
              <w:pStyle w:val="ListBullet"/>
              <w:rPr>
                <w:lang w:val="en-NZ"/>
              </w:rPr>
            </w:pPr>
            <w:r w:rsidRPr="00C61FA1">
              <w:t>use of culturally appropriate processes, and techniques appropriate to the language and literacy capacity of the candidate and the work being performed.</w:t>
            </w:r>
          </w:p>
        </w:tc>
      </w:tr>
      <w:tr w:rsidTr="006B67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FA1">
            <w:pPr>
              <w:pStyle w:val="BodyText"/>
              <w:rPr>
                <w:lang w:val="en-NZ"/>
              </w:rPr>
            </w:pPr>
            <w:r w:rsidRPr="00C61FA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FA1" w:rsidP="00C61FA1">
            <w:pPr>
              <w:pStyle w:val="BodyText"/>
            </w:pPr>
            <w:r w:rsidRPr="00C61FA1">
              <w:t>The following assessment methods are appropriate for this unit:</w:t>
            </w:r>
          </w:p>
          <w:p w:rsidR="00000000" w:rsidRPr="00C61FA1" w:rsidP="00C61FA1">
            <w:pPr>
              <w:pStyle w:val="ListBullet"/>
            </w:pPr>
            <w:r w:rsidRPr="00C61FA1">
              <w:t>case studies to assess the candidate's ability to negotiate terms and conditions of financial agreements with artists</w:t>
            </w:r>
          </w:p>
          <w:p w:rsidR="00000000" w:rsidRPr="00C61FA1" w:rsidP="00C61FA1">
            <w:pPr>
              <w:pStyle w:val="ListBullet"/>
            </w:pPr>
            <w:r w:rsidRPr="00C61FA1">
              <w:t>direct observation of candidate calculating, collecting and distributing income to artists</w:t>
            </w:r>
          </w:p>
          <w:p w:rsidR="00000000" w:rsidRPr="00C61FA1" w:rsidP="00C61FA1">
            <w:pPr>
              <w:pStyle w:val="ListBullet"/>
            </w:pPr>
            <w:r w:rsidRPr="00C61FA1">
              <w:t>written or oral questioning to test knowledge a</w:t>
            </w:r>
            <w:r w:rsidRPr="00C61FA1">
              <w:t>s listed in the required knowledge section of this unit</w:t>
            </w:r>
          </w:p>
          <w:p w:rsidR="00000000" w:rsidP="00C61FA1">
            <w:pPr>
              <w:pStyle w:val="ListBullet"/>
              <w:rPr>
                <w:lang w:val="en-NZ"/>
              </w:rPr>
            </w:pPr>
            <w:r w:rsidRPr="00C61FA1">
              <w:t>problem-solving activities to assess ability to calculateincome and apportion their distribution.</w:t>
            </w:r>
          </w:p>
        </w:tc>
      </w:tr>
      <w:tr w:rsidTr="006B67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FA1">
            <w:pPr>
              <w:pStyle w:val="BodyText"/>
              <w:rPr>
                <w:lang w:val="en-NZ"/>
              </w:rPr>
            </w:pPr>
            <w:r w:rsidRPr="00C61FA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FA1" w:rsidP="00C61FA1">
            <w:pPr>
              <w:pStyle w:val="BodyText"/>
            </w:pPr>
            <w:r w:rsidRPr="00C61FA1">
              <w:t>Holistic assessment with other units relevant to the industry sec</w:t>
            </w:r>
            <w:r w:rsidRPr="00C61FA1">
              <w:t>tor, workplace and job role is recommended, for example:</w:t>
            </w:r>
          </w:p>
          <w:p w:rsidR="00000000" w:rsidRPr="00C61FA1" w:rsidP="00C61FA1">
            <w:pPr>
              <w:pStyle w:val="ListBullet"/>
            </w:pPr>
            <w:r w:rsidRPr="00C61FA1">
              <w:t>BSBPUR402B Negotiate contracts</w:t>
            </w:r>
          </w:p>
          <w:p w:rsidR="00000000" w:rsidRPr="00C61FA1" w:rsidP="00C61FA1">
            <w:pPr>
              <w:pStyle w:val="ListBullet"/>
            </w:pPr>
            <w:r w:rsidRPr="00C61FA1">
              <w:t>CUSIND401A Develop specialist expertise in the music industry</w:t>
            </w:r>
          </w:p>
          <w:p w:rsidR="00000000" w:rsidRPr="00C61FA1" w:rsidP="00C61FA1">
            <w:pPr>
              <w:pStyle w:val="ListBullet"/>
            </w:pPr>
            <w:r w:rsidRPr="00C61FA1">
              <w:t>CUSMGT401A Manage distribution of music and associated products</w:t>
            </w:r>
          </w:p>
          <w:p w:rsidR="00000000" w:rsidRPr="00C61FA1" w:rsidP="00C61FA1">
            <w:pPr>
              <w:pStyle w:val="ListBullet"/>
            </w:pPr>
            <w:r w:rsidRPr="00C61FA1">
              <w:t>CUSMGT402A Administer music publishing in</w:t>
            </w:r>
            <w:r w:rsidRPr="00C61FA1">
              <w:t>come</w:t>
            </w:r>
          </w:p>
          <w:p w:rsidR="00000000" w:rsidRPr="00C61FA1" w:rsidP="00C61FA1">
            <w:pPr>
              <w:pStyle w:val="ListBullet"/>
            </w:pPr>
            <w:r w:rsidRPr="00C61FA1">
              <w:t>CUSMGT403A Managelicensing of music</w:t>
            </w:r>
          </w:p>
          <w:p w:rsidR="00000000" w:rsidRPr="00C61FA1" w:rsidP="00C61FA1">
            <w:pPr>
              <w:pStyle w:val="ListBullet"/>
            </w:pPr>
            <w:r w:rsidRPr="00C61FA1">
              <w:t>CUSPUR501A Establish and manage recording contracts.</w:t>
            </w:r>
          </w:p>
        </w:tc>
      </w:tr>
    </w:tbl>
    <w:p w:rsidR="00000000" w:rsidRPr="00C61FA1" w:rsidP="00C61FA1">
      <w:pPr>
        <w:pStyle w:val="BodyText"/>
      </w:pPr>
    </w:p>
    <w:p w:rsidR="00000000" w:rsidRPr="00C61FA1" w:rsidP="00C61FA1">
      <w:pPr>
        <w:pStyle w:val="AllowPageBreak"/>
      </w:pPr>
    </w:p>
    <w:p w:rsidR="00000000" w:rsidRPr="00C61FA1" w:rsidP="00C61FA1">
      <w:pPr>
        <w:pStyle w:val="Heading1"/>
      </w:pPr>
      <w:bookmarkStart w:id="11" w:name="O_380789"/>
      <w:bookmarkEnd w:id="11"/>
      <w:r w:rsidRPr="00C61FA1">
        <w:t>Range Statement</w:t>
      </w:r>
    </w:p>
    <w:tbl>
      <w:tblPr>
        <w:tblW w:w="0" w:type="auto"/>
        <w:tblLayout w:type="fixed"/>
        <w:tblCellMar>
          <w:left w:w="62" w:type="dxa"/>
          <w:right w:w="62" w:type="dxa"/>
        </w:tblCellMar>
        <w:tblLook w:val="0000"/>
      </w:tblPr>
      <w:tblGrid>
        <w:gridCol w:w="3426"/>
        <w:gridCol w:w="5096"/>
      </w:tblGrid>
      <w:tr w:rsidTr="006B672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FA1">
            <w:pPr>
              <w:pStyle w:val="BodyText"/>
              <w:rPr>
                <w:lang w:val="en-NZ"/>
              </w:rPr>
            </w:pPr>
            <w:r w:rsidRPr="00C61FA1">
              <w:rPr>
                <w:rStyle w:val="Emphasis"/>
              </w:rPr>
              <w:t>The range statement relates to the unit of competency as a whole. It allows for d</w:t>
            </w:r>
            <w:r w:rsidRPr="00C61FA1">
              <w:rPr>
                <w:rStyle w:val="Emphasis"/>
              </w:rPr>
              <w:t>ifferent work environments and situations that may affect performance. Bold italicised wording, if used in the performance criteria, is detailed below. Essential operating conditions that may be present with training and assessment (depending on the work s</w:t>
            </w:r>
            <w:r w:rsidRPr="00C61FA1">
              <w:rPr>
                <w:rStyle w:val="Emphasis"/>
              </w:rPr>
              <w:t>ituation, needs of the candidate, accessibility of the item, and local industry and regional contexts) may also be included.</w:t>
            </w:r>
          </w:p>
        </w:tc>
      </w:tr>
      <w:tr w:rsidTr="006B672C">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FA1">
            <w:pPr>
              <w:pStyle w:val="BodyText"/>
              <w:rPr>
                <w:lang w:val="en-NZ"/>
              </w:rPr>
            </w:pPr>
            <w:r w:rsidRPr="00C61FA1">
              <w:rPr>
                <w:rStyle w:val="BoldandItalics"/>
              </w:rPr>
              <w:t>Products</w:t>
            </w:r>
            <w:r w:rsidRPr="00C61FA1">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FA1" w:rsidP="00C61FA1">
            <w:pPr>
              <w:pStyle w:val="ListBullet"/>
            </w:pPr>
            <w:r w:rsidRPr="00C61FA1">
              <w:t>audio recordings:</w:t>
            </w:r>
          </w:p>
          <w:p w:rsidR="00000000" w:rsidRPr="00C61FA1" w:rsidP="00C61FA1">
            <w:pPr>
              <w:pStyle w:val="ListBullet2"/>
            </w:pPr>
            <w:r w:rsidRPr="00C61FA1">
              <w:t>physical products, e.g. CDs</w:t>
            </w:r>
          </w:p>
          <w:p w:rsidR="00000000" w:rsidRPr="00C61FA1" w:rsidP="00C61FA1">
            <w:pPr>
              <w:pStyle w:val="ListBullet2"/>
            </w:pPr>
            <w:r w:rsidRPr="00C61FA1">
              <w:t>digitally distributed</w:t>
            </w:r>
          </w:p>
          <w:p w:rsidR="00000000" w:rsidRPr="00C61FA1" w:rsidP="00C61FA1">
            <w:pPr>
              <w:pStyle w:val="ListBullet"/>
            </w:pPr>
            <w:r w:rsidRPr="00C61FA1">
              <w:t>video recordings:</w:t>
            </w:r>
          </w:p>
          <w:p w:rsidR="00000000" w:rsidRPr="00C61FA1" w:rsidP="00C61FA1">
            <w:pPr>
              <w:pStyle w:val="ListBullet2"/>
            </w:pPr>
            <w:r w:rsidRPr="00C61FA1">
              <w:t>physical products, e.g. DVDs</w:t>
            </w:r>
          </w:p>
          <w:p w:rsidR="00000000" w:rsidRPr="00C61FA1" w:rsidP="00C61FA1">
            <w:pPr>
              <w:pStyle w:val="ListBullet2"/>
            </w:pPr>
            <w:r w:rsidRPr="00C61FA1">
              <w:t>digitally distributed</w:t>
            </w:r>
          </w:p>
          <w:p w:rsidR="00000000" w:rsidRPr="00C61FA1" w:rsidP="00C61FA1">
            <w:pPr>
              <w:pStyle w:val="ListBullet"/>
            </w:pPr>
            <w:r w:rsidRPr="00C61FA1">
              <w:t>merchandise, such as:</w:t>
            </w:r>
          </w:p>
          <w:p w:rsidR="00000000" w:rsidRPr="00C61FA1" w:rsidP="00C61FA1">
            <w:pPr>
              <w:pStyle w:val="ListBullet2"/>
            </w:pPr>
            <w:r w:rsidRPr="00C61FA1">
              <w:t>T-shirts</w:t>
            </w:r>
          </w:p>
          <w:p w:rsidR="00000000" w:rsidRPr="00C61FA1" w:rsidP="00C61FA1">
            <w:pPr>
              <w:pStyle w:val="ListBullet2"/>
            </w:pPr>
            <w:r w:rsidRPr="00C61FA1">
              <w:t>posters</w:t>
            </w:r>
          </w:p>
          <w:p w:rsidR="00000000" w:rsidRPr="00C61FA1" w:rsidP="00C61FA1">
            <w:pPr>
              <w:pStyle w:val="ListBullet2"/>
            </w:pPr>
            <w:r w:rsidRPr="00C61FA1">
              <w:t>stickers</w:t>
            </w:r>
          </w:p>
          <w:p w:rsidR="00000000" w:rsidRPr="00C61FA1" w:rsidP="00C61FA1">
            <w:pPr>
              <w:pStyle w:val="ListBullet2"/>
            </w:pPr>
            <w:r w:rsidRPr="00C61FA1">
              <w:t>mugs</w:t>
            </w:r>
          </w:p>
          <w:p w:rsidR="00000000" w:rsidP="00C61FA1">
            <w:pPr>
              <w:pStyle w:val="ListBullet2"/>
              <w:rPr>
                <w:lang w:val="en-NZ"/>
              </w:rPr>
            </w:pPr>
            <w:r w:rsidRPr="00C61FA1">
              <w:t>gimmicky objects.</w:t>
            </w:r>
          </w:p>
        </w:tc>
      </w:tr>
      <w:tr w:rsidTr="006B672C">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FA1">
            <w:pPr>
              <w:pStyle w:val="BodyText"/>
              <w:rPr>
                <w:lang w:val="en-NZ"/>
              </w:rPr>
            </w:pPr>
            <w:r w:rsidRPr="00C61FA1">
              <w:rPr>
                <w:rStyle w:val="BoldandItalics"/>
              </w:rPr>
              <w:t>Rights</w:t>
            </w:r>
            <w:r w:rsidRPr="00C61FA1">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FA1" w:rsidP="00C61FA1">
            <w:pPr>
              <w:pStyle w:val="ListBullet"/>
            </w:pPr>
            <w:r w:rsidRPr="00C61FA1">
              <w:t>brand association granted to a third party</w:t>
            </w:r>
          </w:p>
          <w:p w:rsidR="00000000" w:rsidRPr="00C61FA1" w:rsidP="00C61FA1">
            <w:pPr>
              <w:pStyle w:val="ListBullet"/>
            </w:pPr>
            <w:r w:rsidRPr="00C61FA1">
              <w:t>ownership of copyright in the recording</w:t>
            </w:r>
          </w:p>
          <w:p w:rsidR="00000000" w:rsidP="00C61FA1">
            <w:pPr>
              <w:pStyle w:val="ListBullet"/>
              <w:rPr>
                <w:lang w:val="en-NZ"/>
              </w:rPr>
            </w:pPr>
            <w:r w:rsidRPr="00C61FA1">
              <w:t>other.</w:t>
            </w:r>
          </w:p>
        </w:tc>
      </w:tr>
      <w:tr w:rsidTr="006B672C">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FA1">
            <w:pPr>
              <w:pStyle w:val="BodyText"/>
              <w:rPr>
                <w:lang w:val="en-NZ"/>
              </w:rPr>
            </w:pPr>
            <w:r w:rsidRPr="00C61FA1">
              <w:rPr>
                <w:rStyle w:val="BoldandItalics"/>
              </w:rPr>
              <w:t>Artists</w:t>
            </w:r>
            <w:r w:rsidRPr="00C61FA1">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FA1" w:rsidP="00C61FA1">
            <w:pPr>
              <w:pStyle w:val="ListBullet"/>
            </w:pPr>
            <w:r w:rsidRPr="00C61FA1">
              <w:t>solo performers, such as:</w:t>
            </w:r>
          </w:p>
          <w:p w:rsidR="00000000" w:rsidRPr="00C61FA1" w:rsidP="00C61FA1">
            <w:pPr>
              <w:pStyle w:val="ListBullet2"/>
            </w:pPr>
            <w:r w:rsidRPr="00C61FA1">
              <w:t>singers</w:t>
            </w:r>
          </w:p>
          <w:p w:rsidR="00000000" w:rsidRPr="00C61FA1" w:rsidP="00C61FA1">
            <w:pPr>
              <w:pStyle w:val="ListBullet2"/>
            </w:pPr>
            <w:r w:rsidRPr="00C61FA1">
              <w:t>instrumentalists</w:t>
            </w:r>
          </w:p>
          <w:p w:rsidR="00000000" w:rsidRPr="00C61FA1" w:rsidP="00C61FA1">
            <w:pPr>
              <w:pStyle w:val="ListBullet2"/>
            </w:pPr>
            <w:r w:rsidRPr="00C61FA1">
              <w:t>dancers</w:t>
            </w:r>
          </w:p>
          <w:p w:rsidR="00000000" w:rsidRPr="00C61FA1" w:rsidP="00C61FA1">
            <w:pPr>
              <w:pStyle w:val="ListBullet2"/>
            </w:pPr>
            <w:r w:rsidRPr="00C61FA1">
              <w:t>circus performers</w:t>
            </w:r>
          </w:p>
          <w:p w:rsidR="00000000" w:rsidRPr="00C61FA1" w:rsidP="00C61FA1">
            <w:pPr>
              <w:pStyle w:val="ListBullet"/>
            </w:pPr>
            <w:r w:rsidRPr="00C61FA1">
              <w:t>bands</w:t>
            </w:r>
          </w:p>
          <w:p w:rsidR="00000000" w:rsidP="00C61FA1">
            <w:pPr>
              <w:pStyle w:val="ListBullet"/>
              <w:rPr>
                <w:lang w:val="en-NZ"/>
              </w:rPr>
            </w:pPr>
            <w:r w:rsidRPr="00C61FA1">
              <w:t>ensembles.</w:t>
            </w:r>
          </w:p>
        </w:tc>
      </w:tr>
      <w:tr w:rsidTr="006B672C">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FA1">
            <w:pPr>
              <w:pStyle w:val="BodyText"/>
              <w:rPr>
                <w:lang w:val="en-NZ"/>
              </w:rPr>
            </w:pPr>
            <w:r w:rsidRPr="00C61FA1">
              <w:rPr>
                <w:rStyle w:val="BoldandItalics"/>
              </w:rPr>
              <w:t>Income</w:t>
            </w:r>
            <w:r w:rsidRPr="00C61FA1">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FA1" w:rsidP="00C61FA1">
            <w:pPr>
              <w:pStyle w:val="ListBullet"/>
            </w:pPr>
            <w:r w:rsidRPr="00C61FA1">
              <w:t>royalties derived from audio-only recordings, such as:</w:t>
            </w:r>
          </w:p>
          <w:p w:rsidR="00000000" w:rsidRPr="00C61FA1" w:rsidP="00C61FA1">
            <w:pPr>
              <w:pStyle w:val="ListBullet2"/>
            </w:pPr>
            <w:r w:rsidRPr="00C61FA1">
              <w:t>physical product sales</w:t>
            </w:r>
          </w:p>
          <w:p w:rsidR="00000000" w:rsidRPr="00C61FA1" w:rsidP="00C61FA1">
            <w:pPr>
              <w:pStyle w:val="ListBullet2"/>
            </w:pPr>
            <w:r w:rsidRPr="00C61FA1">
              <w:t>digital downloads</w:t>
            </w:r>
          </w:p>
          <w:p w:rsidR="00000000" w:rsidRPr="00C61FA1" w:rsidP="00C61FA1">
            <w:pPr>
              <w:pStyle w:val="ListBullet2"/>
            </w:pPr>
            <w:r w:rsidRPr="00C61FA1">
              <w:t>background/in-store music</w:t>
            </w:r>
          </w:p>
          <w:p w:rsidR="00000000" w:rsidRPr="00C61FA1" w:rsidP="00C61FA1">
            <w:pPr>
              <w:pStyle w:val="ListBullet2"/>
            </w:pPr>
            <w:r w:rsidRPr="00C61FA1">
              <w:t>educational recordings</w:t>
            </w:r>
          </w:p>
          <w:p w:rsidR="00000000" w:rsidRPr="00C61FA1" w:rsidP="00C61FA1">
            <w:pPr>
              <w:pStyle w:val="ListBullet2"/>
            </w:pPr>
            <w:r w:rsidRPr="00C61FA1">
              <w:t>premiums</w:t>
            </w:r>
          </w:p>
          <w:p w:rsidR="00000000" w:rsidRPr="00C61FA1" w:rsidP="00C61FA1">
            <w:pPr>
              <w:pStyle w:val="ListBullet2"/>
            </w:pPr>
            <w:r w:rsidRPr="00C61FA1">
              <w:t>ringtones</w:t>
            </w:r>
          </w:p>
          <w:p w:rsidR="00000000" w:rsidRPr="00C61FA1" w:rsidP="00C61FA1">
            <w:pPr>
              <w:pStyle w:val="ListBullet"/>
            </w:pPr>
            <w:r w:rsidRPr="00C61FA1">
              <w:t>royalties derived from synchronisation rights from the use of sound recordings in audiovisual productions</w:t>
            </w:r>
          </w:p>
          <w:p w:rsidR="00000000" w:rsidRPr="00C61FA1" w:rsidP="00C61FA1">
            <w:pPr>
              <w:pStyle w:val="ListBullet"/>
            </w:pPr>
            <w:r w:rsidRPr="00C61FA1">
              <w:t>income from:</w:t>
            </w:r>
          </w:p>
          <w:p w:rsidR="00000000" w:rsidRPr="00C61FA1" w:rsidP="00C61FA1">
            <w:pPr>
              <w:pStyle w:val="ListBullet2"/>
            </w:pPr>
            <w:r w:rsidRPr="00C61FA1">
              <w:t>public performance of recordings</w:t>
            </w:r>
          </w:p>
          <w:p w:rsidR="00000000" w:rsidRPr="00C61FA1" w:rsidP="00C61FA1">
            <w:pPr>
              <w:pStyle w:val="ListBullet2"/>
            </w:pPr>
            <w:r w:rsidRPr="00C61FA1">
              <w:t>sale of merchandise</w:t>
            </w:r>
          </w:p>
          <w:p w:rsidR="00000000" w:rsidP="00C61FA1">
            <w:pPr>
              <w:pStyle w:val="ListBullet2"/>
              <w:rPr>
                <w:lang w:val="en-NZ"/>
              </w:rPr>
            </w:pPr>
            <w:r w:rsidRPr="00C61FA1">
              <w:t>rights licensed or assigned to third par</w:t>
            </w:r>
            <w:r w:rsidRPr="00C61FA1">
              <w:t>ties.</w:t>
            </w:r>
          </w:p>
        </w:tc>
      </w:tr>
      <w:tr w:rsidTr="006B672C">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FA1">
            <w:pPr>
              <w:pStyle w:val="BodyText"/>
              <w:rPr>
                <w:lang w:val="en-NZ"/>
              </w:rPr>
            </w:pPr>
            <w:r w:rsidRPr="00C61FA1">
              <w:rPr>
                <w:rStyle w:val="BoldandItalics"/>
              </w:rPr>
              <w:t>Recordings</w:t>
            </w:r>
            <w:r w:rsidRPr="00C61FA1">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FA1" w:rsidP="00C61FA1">
            <w:pPr>
              <w:pStyle w:val="ListBullet"/>
            </w:pPr>
            <w:r w:rsidRPr="00C61FA1">
              <w:t>recorded studio performances</w:t>
            </w:r>
          </w:p>
          <w:p w:rsidR="00000000" w:rsidP="00C61FA1">
            <w:pPr>
              <w:pStyle w:val="ListBullet"/>
              <w:rPr>
                <w:lang w:val="en-NZ"/>
              </w:rPr>
            </w:pPr>
            <w:r w:rsidRPr="00C61FA1">
              <w:t>recorded live performances</w:t>
            </w:r>
          </w:p>
        </w:tc>
      </w:tr>
      <w:tr w:rsidTr="006B672C">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FA1">
            <w:pPr>
              <w:pStyle w:val="BodyText"/>
              <w:rPr>
                <w:lang w:val="en-NZ"/>
              </w:rPr>
            </w:pPr>
            <w:r w:rsidRPr="00C61FA1">
              <w:rPr>
                <w:rStyle w:val="BoldandItalics"/>
              </w:rPr>
              <w:t>Terms and conditions</w:t>
            </w:r>
            <w:r w:rsidRPr="00C61FA1">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FA1" w:rsidP="00C61FA1">
            <w:pPr>
              <w:pStyle w:val="ListBullet"/>
            </w:pPr>
            <w:r w:rsidRPr="00C61FA1">
              <w:t>advances</w:t>
            </w:r>
          </w:p>
          <w:p w:rsidR="00000000" w:rsidRPr="00C61FA1" w:rsidP="00C61FA1">
            <w:pPr>
              <w:pStyle w:val="ListBullet"/>
            </w:pPr>
            <w:r w:rsidRPr="00C61FA1">
              <w:t>royalty payment schedule</w:t>
            </w:r>
          </w:p>
          <w:p w:rsidR="00000000" w:rsidRPr="00C61FA1" w:rsidP="00C61FA1">
            <w:pPr>
              <w:pStyle w:val="ListBullet"/>
            </w:pPr>
            <w:r w:rsidRPr="00C61FA1">
              <w:t>royalty splits:</w:t>
            </w:r>
          </w:p>
          <w:p w:rsidR="00000000" w:rsidRPr="00C61FA1" w:rsidP="00C61FA1">
            <w:pPr>
              <w:pStyle w:val="ListBullet2"/>
            </w:pPr>
            <w:r w:rsidRPr="00C61FA1">
              <w:t>general</w:t>
            </w:r>
          </w:p>
          <w:p w:rsidR="00000000" w:rsidRPr="00C61FA1" w:rsidP="00C61FA1">
            <w:pPr>
              <w:pStyle w:val="ListBullet2"/>
            </w:pPr>
            <w:r w:rsidRPr="00C61FA1">
              <w:t xml:space="preserve">synchronisation </w:t>
            </w:r>
          </w:p>
          <w:p w:rsidR="00000000" w:rsidRPr="00C61FA1" w:rsidP="00C61FA1">
            <w:pPr>
              <w:pStyle w:val="ListBullet2"/>
            </w:pPr>
            <w:r w:rsidRPr="00C61FA1">
              <w:t>public performance</w:t>
            </w:r>
          </w:p>
          <w:p w:rsidR="00000000" w:rsidRPr="00C61FA1" w:rsidP="00C61FA1">
            <w:pPr>
              <w:pStyle w:val="ListBullet2"/>
            </w:pPr>
            <w:r w:rsidRPr="00C61FA1">
              <w:t>other</w:t>
            </w:r>
          </w:p>
          <w:p w:rsidR="00000000" w:rsidRPr="00C61FA1" w:rsidP="00C61FA1">
            <w:pPr>
              <w:pStyle w:val="ListBullet"/>
            </w:pPr>
            <w:r w:rsidRPr="00C61FA1">
              <w:t>assignment of copyright</w:t>
            </w:r>
          </w:p>
          <w:p w:rsidR="00000000" w:rsidRPr="00C61FA1" w:rsidP="00C61FA1">
            <w:pPr>
              <w:pStyle w:val="ListBullet"/>
            </w:pPr>
            <w:r w:rsidRPr="00C61FA1">
              <w:t>creative control</w:t>
            </w:r>
          </w:p>
          <w:p w:rsidR="00000000" w:rsidRPr="00C61FA1" w:rsidP="00C61FA1">
            <w:pPr>
              <w:pStyle w:val="ListBullet"/>
            </w:pPr>
            <w:r w:rsidRPr="00C61FA1">
              <w:t>duration, e.g. term and retention</w:t>
            </w:r>
          </w:p>
          <w:p w:rsidR="00000000" w:rsidRPr="00C61FA1" w:rsidP="00C61FA1">
            <w:pPr>
              <w:pStyle w:val="ListBullet"/>
            </w:pPr>
            <w:r w:rsidRPr="00C61FA1">
              <w:t>enforcement of rights</w:t>
            </w:r>
          </w:p>
          <w:p w:rsidR="00000000" w:rsidRPr="00C61FA1" w:rsidP="00C61FA1">
            <w:pPr>
              <w:pStyle w:val="ListBullet"/>
            </w:pPr>
            <w:r w:rsidRPr="00C61FA1">
              <w:t>goods and services tax (GST)</w:t>
            </w:r>
          </w:p>
          <w:p w:rsidR="00000000" w:rsidRPr="00C61FA1" w:rsidP="00C61FA1">
            <w:pPr>
              <w:pStyle w:val="ListBullet"/>
            </w:pPr>
            <w:r w:rsidRPr="00C61FA1">
              <w:t>independent advice</w:t>
            </w:r>
          </w:p>
          <w:p w:rsidR="00000000" w:rsidRPr="00C61FA1" w:rsidP="00C61FA1">
            <w:pPr>
              <w:pStyle w:val="ListBullet"/>
            </w:pPr>
            <w:r w:rsidRPr="00C61FA1">
              <w:t>jurisdiction</w:t>
            </w:r>
          </w:p>
          <w:p w:rsidR="00000000" w:rsidRPr="00C61FA1" w:rsidP="00C61FA1">
            <w:pPr>
              <w:pStyle w:val="ListBullet"/>
            </w:pPr>
            <w:r w:rsidRPr="00C61FA1">
              <w:t>notices</w:t>
            </w:r>
          </w:p>
          <w:p w:rsidR="00000000" w:rsidRPr="00C61FA1" w:rsidP="00C61FA1">
            <w:pPr>
              <w:pStyle w:val="ListBullet"/>
            </w:pPr>
            <w:r w:rsidRPr="00C61FA1">
              <w:t>obligation to exploit</w:t>
            </w:r>
          </w:p>
          <w:p w:rsidR="00000000" w:rsidRPr="00C61FA1" w:rsidP="00C61FA1">
            <w:pPr>
              <w:pStyle w:val="ListBullet"/>
            </w:pPr>
            <w:r w:rsidRPr="00C61FA1">
              <w:t>overseas income</w:t>
            </w:r>
          </w:p>
          <w:p w:rsidR="00000000" w:rsidRPr="00C61FA1" w:rsidP="00C61FA1">
            <w:pPr>
              <w:pStyle w:val="ListBullet"/>
            </w:pPr>
            <w:r w:rsidRPr="00C61FA1">
              <w:t>productivity commitment</w:t>
            </w:r>
          </w:p>
          <w:p w:rsidR="00000000" w:rsidRPr="00C61FA1" w:rsidP="00C61FA1">
            <w:pPr>
              <w:pStyle w:val="ListBullet"/>
            </w:pPr>
            <w:r w:rsidRPr="00C61FA1">
              <w:t>promises and warranties</w:t>
            </w:r>
          </w:p>
          <w:p w:rsidR="00000000" w:rsidRPr="00C61FA1" w:rsidP="00C61FA1">
            <w:pPr>
              <w:pStyle w:val="ListBullet"/>
            </w:pPr>
            <w:r w:rsidRPr="00C61FA1">
              <w:t>recoupment</w:t>
            </w:r>
          </w:p>
          <w:p w:rsidR="00000000" w:rsidRPr="00C61FA1" w:rsidP="00C61FA1">
            <w:pPr>
              <w:pStyle w:val="ListBullet"/>
            </w:pPr>
            <w:r w:rsidRPr="00C61FA1">
              <w:t>reversion of copyright</w:t>
            </w:r>
          </w:p>
          <w:p w:rsidR="00000000" w:rsidRPr="00C61FA1" w:rsidP="00C61FA1">
            <w:pPr>
              <w:pStyle w:val="ListBullet"/>
            </w:pPr>
            <w:r w:rsidRPr="00C61FA1">
              <w:t>termination</w:t>
            </w:r>
          </w:p>
          <w:p w:rsidR="00000000" w:rsidP="00C61FA1">
            <w:pPr>
              <w:pStyle w:val="ListBullet"/>
              <w:rPr>
                <w:lang w:val="en-NZ"/>
              </w:rPr>
            </w:pPr>
            <w:r w:rsidRPr="00C61FA1">
              <w:t>territory.</w:t>
            </w:r>
          </w:p>
        </w:tc>
      </w:tr>
      <w:tr w:rsidTr="006B672C">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FA1">
            <w:pPr>
              <w:pStyle w:val="BodyText"/>
              <w:rPr>
                <w:lang w:val="en-NZ"/>
              </w:rPr>
            </w:pPr>
            <w:r w:rsidRPr="00C61FA1">
              <w:rPr>
                <w:rStyle w:val="BoldandItalics"/>
              </w:rPr>
              <w:t>Agreements</w:t>
            </w:r>
            <w:r w:rsidRPr="00C61FA1">
              <w:t xml:space="preserve"> may cover:</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FA1" w:rsidP="00C61FA1">
            <w:pPr>
              <w:pStyle w:val="ListBullet"/>
            </w:pPr>
            <w:r w:rsidRPr="00C61FA1">
              <w:t>recording deals</w:t>
            </w:r>
          </w:p>
          <w:p w:rsidR="00000000" w:rsidRPr="00C61FA1" w:rsidP="00C61FA1">
            <w:pPr>
              <w:pStyle w:val="ListBullet"/>
            </w:pPr>
            <w:r w:rsidRPr="00C61FA1">
              <w:t>brand association arrangements</w:t>
            </w:r>
          </w:p>
          <w:p w:rsidR="00000000" w:rsidP="00C61FA1">
            <w:pPr>
              <w:pStyle w:val="ListBullet"/>
              <w:rPr>
                <w:lang w:val="en-NZ"/>
              </w:rPr>
            </w:pPr>
            <w:r w:rsidRPr="00C61FA1">
              <w:t>other.</w:t>
            </w:r>
          </w:p>
        </w:tc>
      </w:tr>
      <w:tr w:rsidTr="006B672C">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FA1">
            <w:pPr>
              <w:pStyle w:val="BodyText"/>
              <w:rPr>
                <w:lang w:val="en-NZ"/>
              </w:rPr>
            </w:pPr>
            <w:r w:rsidRPr="00C61FA1">
              <w:rPr>
                <w:rStyle w:val="BoldandItalics"/>
              </w:rPr>
              <w:t>Relevant personnel</w:t>
            </w:r>
            <w:r w:rsidRPr="00C61FA1">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FA1" w:rsidP="00C61FA1">
            <w:pPr>
              <w:pStyle w:val="ListBullet"/>
            </w:pPr>
            <w:r w:rsidRPr="00C61FA1">
              <w:t>manager</w:t>
            </w:r>
          </w:p>
          <w:p w:rsidR="00000000" w:rsidRPr="00C61FA1" w:rsidP="00C61FA1">
            <w:pPr>
              <w:pStyle w:val="ListBullet"/>
            </w:pPr>
            <w:r w:rsidRPr="00C61FA1">
              <w:t>accountant</w:t>
            </w:r>
          </w:p>
          <w:p w:rsidR="00000000" w:rsidRPr="00C61FA1" w:rsidP="00C61FA1">
            <w:pPr>
              <w:pStyle w:val="ListBullet"/>
            </w:pPr>
            <w:r w:rsidRPr="00C61FA1">
              <w:t>auditor</w:t>
            </w:r>
          </w:p>
          <w:p w:rsidR="00000000" w:rsidRPr="00C61FA1" w:rsidP="00C61FA1">
            <w:pPr>
              <w:pStyle w:val="ListBullet"/>
            </w:pPr>
            <w:r w:rsidRPr="00C61FA1">
              <w:t>artist</w:t>
            </w:r>
          </w:p>
          <w:p w:rsidR="00000000" w:rsidRPr="00C61FA1" w:rsidP="00C61FA1">
            <w:pPr>
              <w:pStyle w:val="ListBullet"/>
            </w:pPr>
            <w:r w:rsidRPr="00C61FA1">
              <w:t>artist manager.</w:t>
            </w:r>
          </w:p>
        </w:tc>
      </w:tr>
    </w:tbl>
    <w:p w:rsidR="006B672C" w:rsidP="00C61FA1">
      <w:pPr>
        <w:pStyle w:val="BodyText"/>
      </w:pPr>
    </w:p>
    <w:p w:rsidR="006B672C" w:rsidP="00C61FA1">
      <w:pPr>
        <w:pStyle w:val="BodyText"/>
      </w:pPr>
    </w:p>
    <w:p w:rsidR="00000000" w:rsidRPr="00C61FA1" w:rsidP="00C61FA1">
      <w:pPr>
        <w:pStyle w:val="Heading1"/>
      </w:pPr>
      <w:bookmarkStart w:id="12" w:name="O_380786"/>
      <w:bookmarkEnd w:id="12"/>
      <w:r w:rsidRPr="00C61FA1">
        <w:t>Unit Sector(s)</w:t>
      </w:r>
    </w:p>
    <w:p w:rsidR="00000000" w:rsidRPr="00C61FA1" w:rsidP="00C61FA1">
      <w:pPr>
        <w:pStyle w:val="BodyText"/>
      </w:pPr>
      <w:r w:rsidRPr="00C61FA1">
        <w:t>Management and leadership - management</w:t>
      </w:r>
    </w:p>
    <w:p w:rsidR="00000000" w:rsidRPr="00C61FA1" w:rsidP="00C61FA1"/>
    <w:sectPr w:rsidSect="00C61F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F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672C" w:rsidP="006B67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F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72C" w:rsidP="00C61F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B672C" w:rsidP="00C61F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672C" w:rsidP="00C61F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F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672C" w:rsidP="006B672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F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72C" w:rsidP="00C61FA1">
    <w:pPr>
      <w:pStyle w:val="Header"/>
      <w:framePr w:wrap="around"/>
    </w:pPr>
    <w:r>
      <w:fldChar w:fldCharType="begin"/>
    </w:r>
    <w:r>
      <w:instrText xml:space="preserve"> TITLE   \* MERGEFORMAT </w:instrText>
    </w:r>
    <w:r>
      <w:fldChar w:fldCharType="separate"/>
    </w:r>
    <w:r>
      <w:t>CUSMGT404A Administer artists' royalty income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B672C" w:rsidP="00C61F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D458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4C7F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82BA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F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1FA1"/>
    <w:pPr>
      <w:spacing w:before="360" w:after="60"/>
      <w:outlineLvl w:val="0"/>
    </w:pPr>
    <w:rPr>
      <w:sz w:val="32"/>
    </w:rPr>
  </w:style>
  <w:style w:type="paragraph" w:styleId="Heading2">
    <w:name w:val="heading 2"/>
    <w:basedOn w:val="HeadingBase"/>
    <w:next w:val="BodyText"/>
    <w:link w:val="Heading2Char"/>
    <w:qFormat/>
    <w:rsid w:val="00C61FA1"/>
    <w:pPr>
      <w:keepLines/>
      <w:spacing w:before="240" w:after="120"/>
      <w:outlineLvl w:val="1"/>
    </w:pPr>
    <w:rPr>
      <w:sz w:val="28"/>
      <w:szCs w:val="40"/>
    </w:rPr>
  </w:style>
  <w:style w:type="paragraph" w:styleId="Heading3">
    <w:name w:val="heading 3"/>
    <w:basedOn w:val="HeadingBase"/>
    <w:next w:val="BodyText"/>
    <w:link w:val="Heading3Char"/>
    <w:qFormat/>
    <w:rsid w:val="00C61FA1"/>
    <w:pPr>
      <w:spacing w:before="180" w:after="120"/>
      <w:outlineLvl w:val="2"/>
    </w:pPr>
    <w:rPr>
      <w:spacing w:val="-10"/>
      <w:kern w:val="32"/>
    </w:rPr>
  </w:style>
  <w:style w:type="paragraph" w:styleId="Heading4">
    <w:name w:val="heading 4"/>
    <w:basedOn w:val="HeadingBase"/>
    <w:next w:val="BodyText"/>
    <w:link w:val="Heading4Char"/>
    <w:qFormat/>
    <w:rsid w:val="00C61FA1"/>
    <w:pPr>
      <w:spacing w:before="160" w:after="120"/>
      <w:outlineLvl w:val="3"/>
    </w:pPr>
    <w:rPr>
      <w:sz w:val="22"/>
    </w:rPr>
  </w:style>
  <w:style w:type="paragraph" w:styleId="Heading5">
    <w:name w:val="heading 5"/>
    <w:basedOn w:val="HeadingBase"/>
    <w:next w:val="Normal"/>
    <w:link w:val="Heading5Char"/>
    <w:qFormat/>
    <w:rsid w:val="00C61FA1"/>
    <w:pPr>
      <w:spacing w:before="80"/>
      <w:outlineLvl w:val="4"/>
    </w:pPr>
    <w:rPr>
      <w:color w:val="918585"/>
      <w:sz w:val="20"/>
    </w:rPr>
  </w:style>
  <w:style w:type="paragraph" w:styleId="Heading6">
    <w:name w:val="heading 6"/>
    <w:basedOn w:val="HeadingBase"/>
    <w:next w:val="Normal"/>
    <w:link w:val="Heading6Char"/>
    <w:qFormat/>
    <w:rsid w:val="00C61FA1"/>
    <w:pPr>
      <w:spacing w:before="60"/>
      <w:outlineLvl w:val="5"/>
    </w:pPr>
    <w:rPr>
      <w:color w:val="918585"/>
      <w:sz w:val="20"/>
    </w:rPr>
  </w:style>
  <w:style w:type="paragraph" w:styleId="Heading7">
    <w:name w:val="heading 7"/>
    <w:basedOn w:val="Normal"/>
    <w:next w:val="Normal"/>
    <w:link w:val="Heading7Char"/>
    <w:qFormat/>
    <w:rsid w:val="00C61FA1"/>
    <w:pPr>
      <w:ind w:left="720"/>
      <w:outlineLvl w:val="6"/>
    </w:pPr>
    <w:rPr>
      <w:i/>
    </w:rPr>
  </w:style>
  <w:style w:type="paragraph" w:styleId="Heading8">
    <w:name w:val="heading 8"/>
    <w:basedOn w:val="Normal"/>
    <w:next w:val="Normal"/>
    <w:link w:val="Heading8Char"/>
    <w:qFormat/>
    <w:rsid w:val="00C61FA1"/>
    <w:pPr>
      <w:ind w:left="720"/>
      <w:outlineLvl w:val="7"/>
    </w:pPr>
    <w:rPr>
      <w:i/>
    </w:rPr>
  </w:style>
  <w:style w:type="paragraph" w:styleId="Heading9">
    <w:name w:val="heading 9"/>
    <w:basedOn w:val="Normal"/>
    <w:next w:val="Normal"/>
    <w:link w:val="Heading9Char"/>
    <w:qFormat/>
    <w:rsid w:val="00C61FA1"/>
    <w:pPr>
      <w:ind w:left="720"/>
      <w:outlineLvl w:val="8"/>
    </w:pPr>
    <w:rPr>
      <w:i/>
    </w:rPr>
  </w:style>
  <w:style w:type="character" w:default="1" w:styleId="DefaultParagraphFont">
    <w:name w:val="Default Paragraph Font"/>
    <w:uiPriority w:val="1"/>
    <w:unhideWhenUsed/>
    <w:rsid w:val="00C61F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1FA1"/>
  </w:style>
  <w:style w:type="character" w:customStyle="1" w:styleId="Heading1Char">
    <w:name w:val="Heading 1 Char"/>
    <w:link w:val="Heading1"/>
    <w:rsid w:val="00C61FA1"/>
    <w:rPr>
      <w:rFonts w:ascii="Times New Roman" w:eastAsia="Times New Roman" w:hAnsi="Times New Roman" w:cs="Times New Roman"/>
      <w:b/>
      <w:sz w:val="32"/>
      <w:szCs w:val="20"/>
      <w:lang w:eastAsia="en-US"/>
    </w:rPr>
  </w:style>
  <w:style w:type="paragraph" w:styleId="BodyText">
    <w:name w:val="Body Text"/>
    <w:basedOn w:val="Normal"/>
    <w:link w:val="BodyTextChar"/>
    <w:rsid w:val="00C61FA1"/>
    <w:pPr>
      <w:spacing w:before="120" w:after="120"/>
      <w:contextualSpacing/>
    </w:pPr>
    <w:rPr>
      <w:rFonts w:ascii="Times New Roman" w:hAnsi="Times New Roman"/>
      <w:sz w:val="24"/>
      <w:szCs w:val="22"/>
    </w:rPr>
  </w:style>
  <w:style w:type="character" w:customStyle="1" w:styleId="BodyTextChar">
    <w:name w:val="Body Text Char"/>
    <w:link w:val="BodyText"/>
    <w:rsid w:val="00C61FA1"/>
    <w:rPr>
      <w:rFonts w:ascii="Times New Roman" w:eastAsia="Times New Roman" w:hAnsi="Times New Roman" w:cs="Times New Roman"/>
      <w:sz w:val="24"/>
      <w:lang w:val="en-US" w:eastAsia="en-US"/>
    </w:rPr>
  </w:style>
  <w:style w:type="paragraph" w:styleId="Footer">
    <w:name w:val="footer"/>
    <w:basedOn w:val="Normal"/>
    <w:link w:val="FooterChar"/>
    <w:rsid w:val="00C61F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61FA1"/>
    <w:rPr>
      <w:rFonts w:ascii="Times New Roman" w:eastAsia="Times New Roman" w:hAnsi="Times New Roman" w:cs="Times New Roman"/>
      <w:sz w:val="16"/>
      <w:lang w:val="en-US" w:eastAsia="en-US"/>
    </w:rPr>
  </w:style>
  <w:style w:type="paragraph" w:styleId="List">
    <w:name w:val="List"/>
    <w:basedOn w:val="BodyText"/>
    <w:next w:val="BodyText"/>
    <w:rsid w:val="00C61FA1"/>
    <w:pPr>
      <w:tabs>
        <w:tab w:val="left" w:pos="340"/>
      </w:tabs>
      <w:spacing w:before="60" w:after="60"/>
      <w:ind w:left="340" w:hanging="340"/>
    </w:pPr>
  </w:style>
  <w:style w:type="paragraph" w:styleId="ListBullet">
    <w:name w:val="List Bullet"/>
    <w:basedOn w:val="List"/>
    <w:rsid w:val="00C61FA1"/>
    <w:pPr>
      <w:numPr>
        <w:numId w:val="13"/>
      </w:numPr>
      <w:tabs>
        <w:tab w:val="clear" w:pos="340"/>
      </w:tabs>
      <w:spacing w:before="40" w:after="40"/>
    </w:pPr>
  </w:style>
  <w:style w:type="character" w:customStyle="1" w:styleId="SpecialBold">
    <w:name w:val="Special Bold"/>
    <w:rsid w:val="00C61FA1"/>
    <w:rPr>
      <w:b/>
      <w:spacing w:val="0"/>
    </w:rPr>
  </w:style>
  <w:style w:type="paragraph" w:styleId="ListBullet2">
    <w:name w:val="List Bullet 2"/>
    <w:basedOn w:val="List2"/>
    <w:rsid w:val="00C61FA1"/>
    <w:pPr>
      <w:numPr>
        <w:numId w:val="14"/>
      </w:numPr>
      <w:tabs>
        <w:tab w:val="clear" w:pos="680"/>
      </w:tabs>
    </w:pPr>
  </w:style>
  <w:style w:type="paragraph" w:styleId="Header">
    <w:name w:val="header"/>
    <w:basedOn w:val="Normal"/>
    <w:link w:val="HeaderChar"/>
    <w:rsid w:val="00C61F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61FA1"/>
    <w:rPr>
      <w:rFonts w:ascii="Times New Roman" w:eastAsia="Times New Roman" w:hAnsi="Times New Roman" w:cs="Times New Roman"/>
      <w:sz w:val="16"/>
      <w:szCs w:val="20"/>
      <w:lang w:val="en-GB" w:eastAsia="en-US"/>
    </w:rPr>
  </w:style>
  <w:style w:type="character" w:styleId="Emphasis">
    <w:name w:val="Emphasis"/>
    <w:qFormat/>
    <w:rsid w:val="00C61FA1"/>
    <w:rPr>
      <w:i/>
    </w:rPr>
  </w:style>
  <w:style w:type="paragraph" w:customStyle="1" w:styleId="SuperHeading">
    <w:name w:val="SuperHeading"/>
    <w:basedOn w:val="Normal"/>
    <w:rsid w:val="00C61FA1"/>
    <w:pPr>
      <w:spacing w:before="240" w:after="120"/>
      <w:outlineLvl w:val="0"/>
    </w:pPr>
    <w:rPr>
      <w:rFonts w:ascii="Times New Roman" w:hAnsi="Times New Roman"/>
      <w:b/>
      <w:sz w:val="28"/>
    </w:rPr>
  </w:style>
  <w:style w:type="paragraph" w:customStyle="1" w:styleId="AllowPageBreak">
    <w:name w:val="AllowPageBreak"/>
    <w:rsid w:val="00C61F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61FA1"/>
    <w:rPr>
      <w:b/>
      <w:i/>
      <w:u w:val="none"/>
    </w:rPr>
  </w:style>
  <w:style w:type="character" w:customStyle="1" w:styleId="Heading2Char">
    <w:name w:val="Heading 2 Char"/>
    <w:link w:val="Heading2"/>
    <w:rsid w:val="00C61FA1"/>
    <w:rPr>
      <w:rFonts w:ascii="Times New Roman" w:eastAsia="Times New Roman" w:hAnsi="Times New Roman" w:cs="Times New Roman"/>
      <w:b/>
      <w:sz w:val="28"/>
      <w:szCs w:val="40"/>
      <w:lang w:eastAsia="en-US"/>
    </w:rPr>
  </w:style>
  <w:style w:type="character" w:customStyle="1" w:styleId="Heading3Char">
    <w:name w:val="Heading 3 Char"/>
    <w:link w:val="Heading3"/>
    <w:rsid w:val="00C61FA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61FA1"/>
    <w:rPr>
      <w:rFonts w:ascii="Times New Roman" w:eastAsia="Times New Roman" w:hAnsi="Times New Roman" w:cs="Times New Roman"/>
      <w:b/>
      <w:szCs w:val="20"/>
      <w:lang w:eastAsia="en-US"/>
    </w:rPr>
  </w:style>
  <w:style w:type="character" w:customStyle="1" w:styleId="Heading5Char">
    <w:name w:val="Heading 5 Char"/>
    <w:link w:val="Heading5"/>
    <w:rsid w:val="00C61FA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61F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1F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1F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1FA1"/>
    <w:rPr>
      <w:rFonts w:ascii="Courier New" w:eastAsia="Times New Roman" w:hAnsi="Courier New" w:cs="Times New Roman"/>
      <w:i/>
      <w:szCs w:val="20"/>
      <w:lang w:val="en-US" w:eastAsia="en-US"/>
    </w:rPr>
  </w:style>
  <w:style w:type="paragraph" w:customStyle="1" w:styleId="HeadingBase">
    <w:name w:val="Heading Base"/>
    <w:rsid w:val="00C61F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1FA1"/>
    <w:pPr>
      <w:tabs>
        <w:tab w:val="right" w:leader="dot" w:pos="9072"/>
      </w:tabs>
      <w:ind w:left="567"/>
    </w:pPr>
    <w:rPr>
      <w:szCs w:val="22"/>
    </w:rPr>
  </w:style>
  <w:style w:type="paragraph" w:customStyle="1" w:styleId="TOCBase">
    <w:name w:val="TOC Base"/>
    <w:rsid w:val="00C61F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1FA1"/>
    <w:pPr>
      <w:tabs>
        <w:tab w:val="right" w:leader="dot" w:pos="9072"/>
      </w:tabs>
      <w:spacing w:before="40" w:after="40"/>
      <w:ind w:left="284"/>
    </w:pPr>
    <w:rPr>
      <w:rFonts w:ascii="Times New Roman" w:hAnsi="Times New Roman"/>
    </w:rPr>
  </w:style>
  <w:style w:type="paragraph" w:styleId="TOC1">
    <w:name w:val="toc 1"/>
    <w:basedOn w:val="TOCBase"/>
    <w:next w:val="Normal"/>
    <w:rsid w:val="00C61F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1FA1"/>
    <w:pPr>
      <w:spacing w:before="5040"/>
      <w:jc w:val="center"/>
    </w:pPr>
    <w:rPr>
      <w:sz w:val="48"/>
      <w:szCs w:val="72"/>
      <w:lang w:val="en-US"/>
    </w:rPr>
  </w:style>
  <w:style w:type="character" w:customStyle="1" w:styleId="TitleChar">
    <w:name w:val="Title Char"/>
    <w:link w:val="Title"/>
    <w:rsid w:val="00C61F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1FA1"/>
    <w:pPr>
      <w:tabs>
        <w:tab w:val="left" w:pos="3600"/>
        <w:tab w:val="left" w:pos="3958"/>
      </w:tabs>
    </w:pPr>
  </w:style>
  <w:style w:type="paragraph" w:customStyle="1" w:styleId="Note">
    <w:name w:val="Note"/>
    <w:basedOn w:val="BodyText"/>
    <w:rsid w:val="00C61F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1FA1"/>
    <w:pPr>
      <w:framePr w:wrap="auto" w:hAnchor="text" w:y="6049"/>
    </w:pPr>
    <w:rPr>
      <w:color w:val="000000"/>
      <w:sz w:val="40"/>
    </w:rPr>
  </w:style>
  <w:style w:type="paragraph" w:customStyle="1" w:styleId="TOCTitle">
    <w:name w:val="TOCTitle"/>
    <w:basedOn w:val="Heading1"/>
    <w:rsid w:val="00C61FA1"/>
    <w:pPr>
      <w:spacing w:after="240"/>
      <w:jc w:val="center"/>
      <w:outlineLvl w:val="9"/>
    </w:pPr>
    <w:rPr>
      <w:caps/>
    </w:rPr>
  </w:style>
  <w:style w:type="paragraph" w:customStyle="1" w:styleId="Version">
    <w:name w:val="Version"/>
    <w:rsid w:val="00C61F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1FA1"/>
    <w:pPr>
      <w:keepNext w:val="0"/>
      <w:tabs>
        <w:tab w:val="right" w:pos="4176"/>
      </w:tabs>
      <w:ind w:left="198" w:hanging="198"/>
    </w:pPr>
    <w:rPr>
      <w:rFonts w:ascii="Garamond" w:hAnsi="Garamond"/>
    </w:rPr>
  </w:style>
  <w:style w:type="paragraph" w:styleId="IndexHeading">
    <w:name w:val="index heading"/>
    <w:basedOn w:val="Normal"/>
    <w:next w:val="Index1"/>
    <w:semiHidden/>
    <w:rsid w:val="00C61FA1"/>
    <w:pPr>
      <w:spacing w:before="120" w:after="120"/>
    </w:pPr>
    <w:rPr>
      <w:rFonts w:ascii="Arial" w:hAnsi="Arial"/>
      <w:b/>
      <w:color w:val="918585"/>
      <w:sz w:val="24"/>
    </w:rPr>
  </w:style>
  <w:style w:type="paragraph" w:customStyle="1" w:styleId="Chapter">
    <w:name w:val="Chapter"/>
    <w:basedOn w:val="Normal"/>
    <w:rsid w:val="00C61FA1"/>
    <w:pPr>
      <w:spacing w:before="240"/>
    </w:pPr>
    <w:rPr>
      <w:rFonts w:ascii="Times New Roman" w:hAnsi="Times New Roman"/>
      <w:smallCaps/>
      <w:spacing w:val="80"/>
      <w:sz w:val="28"/>
    </w:rPr>
  </w:style>
  <w:style w:type="paragraph" w:customStyle="1" w:styleId="InChapter">
    <w:name w:val="InChapter"/>
    <w:basedOn w:val="Heading3"/>
    <w:rsid w:val="00C61FA1"/>
    <w:pPr>
      <w:spacing w:after="240"/>
      <w:outlineLvl w:val="9"/>
    </w:pPr>
    <w:rPr>
      <w:noProof/>
    </w:rPr>
  </w:style>
  <w:style w:type="paragraph" w:styleId="Index2">
    <w:name w:val="index 2"/>
    <w:basedOn w:val="Normal"/>
    <w:next w:val="Normal"/>
    <w:semiHidden/>
    <w:rsid w:val="00C61FA1"/>
    <w:pPr>
      <w:tabs>
        <w:tab w:val="right" w:pos="4176"/>
      </w:tabs>
      <w:ind w:left="568" w:hanging="284"/>
    </w:pPr>
    <w:rPr>
      <w:rFonts w:ascii="Garamond" w:hAnsi="Garamond"/>
    </w:rPr>
  </w:style>
  <w:style w:type="paragraph" w:customStyle="1" w:styleId="Byline">
    <w:name w:val="Byline"/>
    <w:rsid w:val="00C61F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1FA1"/>
    <w:pPr>
      <w:tabs>
        <w:tab w:val="clear" w:pos="3600"/>
        <w:tab w:val="clear" w:pos="3958"/>
      </w:tabs>
      <w:jc w:val="right"/>
    </w:pPr>
  </w:style>
  <w:style w:type="paragraph" w:styleId="Caption">
    <w:name w:val="caption"/>
    <w:basedOn w:val="BodyText"/>
    <w:next w:val="Normal"/>
    <w:qFormat/>
    <w:rsid w:val="00C61FA1"/>
    <w:pPr>
      <w:framePr w:w="2268" w:hSpace="181" w:vSpace="181" w:wrap="around" w:vAnchor="text" w:hAnchor="page" w:x="1135" w:y="285" w:anchorLock="1"/>
    </w:pPr>
    <w:rPr>
      <w:i/>
    </w:rPr>
  </w:style>
  <w:style w:type="paragraph" w:customStyle="1" w:styleId="MiniTOCTitle">
    <w:name w:val="MiniTOCTitle"/>
    <w:basedOn w:val="Heading4"/>
    <w:rsid w:val="00C61FA1"/>
    <w:pPr>
      <w:spacing w:before="240"/>
      <w:outlineLvl w:val="9"/>
    </w:pPr>
    <w:rPr>
      <w:noProof/>
      <w:sz w:val="24"/>
    </w:rPr>
  </w:style>
  <w:style w:type="paragraph" w:customStyle="1" w:styleId="MiniTOCItem">
    <w:name w:val="MiniTOCItem"/>
    <w:basedOn w:val="ListBullet"/>
    <w:rsid w:val="00C61FA1"/>
    <w:pPr>
      <w:numPr>
        <w:numId w:val="0"/>
      </w:numPr>
      <w:tabs>
        <w:tab w:val="right" w:leader="dot" w:pos="6521"/>
      </w:tabs>
      <w:spacing w:before="0" w:after="0"/>
    </w:pPr>
  </w:style>
  <w:style w:type="paragraph" w:customStyle="1" w:styleId="TOFTitle">
    <w:name w:val="TOFTitle"/>
    <w:basedOn w:val="TOCTitle"/>
    <w:rsid w:val="00C61FA1"/>
  </w:style>
  <w:style w:type="paragraph" w:styleId="TableofFigures">
    <w:name w:val="table of figures"/>
    <w:basedOn w:val="Normal"/>
    <w:next w:val="Normal"/>
    <w:semiHidden/>
    <w:rsid w:val="00C61FA1"/>
    <w:pPr>
      <w:tabs>
        <w:tab w:val="right" w:leader="dot" w:pos="9072"/>
      </w:tabs>
      <w:ind w:left="970" w:hanging="403"/>
    </w:pPr>
    <w:rPr>
      <w:rFonts w:ascii="Times New Roman" w:hAnsi="Times New Roman"/>
      <w:b/>
    </w:rPr>
  </w:style>
  <w:style w:type="paragraph" w:styleId="ListNumber">
    <w:name w:val="List Number"/>
    <w:basedOn w:val="List"/>
    <w:rsid w:val="00C61FA1"/>
    <w:pPr>
      <w:numPr>
        <w:numId w:val="11"/>
      </w:numPr>
    </w:pPr>
  </w:style>
  <w:style w:type="character" w:customStyle="1" w:styleId="WingdingSymbols">
    <w:name w:val="Wingding Symbols"/>
    <w:rsid w:val="00C61FA1"/>
    <w:rPr>
      <w:rFonts w:ascii="Wingdings" w:hAnsi="Wingdings"/>
    </w:rPr>
  </w:style>
  <w:style w:type="paragraph" w:customStyle="1" w:styleId="TableHeading">
    <w:name w:val="Table Heading"/>
    <w:basedOn w:val="HeadingBase"/>
    <w:rsid w:val="00C61FA1"/>
    <w:pPr>
      <w:keepLines/>
      <w:pBdr>
        <w:bottom w:val="single" w:sz="6" w:space="1" w:color="918585"/>
      </w:pBdr>
      <w:spacing w:before="240"/>
    </w:pPr>
  </w:style>
  <w:style w:type="character" w:customStyle="1" w:styleId="HotSpot">
    <w:name w:val="HotSpot"/>
    <w:rsid w:val="00C61FA1"/>
    <w:rPr>
      <w:color w:val="0033CC"/>
      <w:u w:val="none"/>
    </w:rPr>
  </w:style>
  <w:style w:type="paragraph" w:customStyle="1" w:styleId="BodyTextRight">
    <w:name w:val="Body Text Right"/>
    <w:basedOn w:val="BodyText"/>
    <w:rsid w:val="00C61FA1"/>
    <w:pPr>
      <w:spacing w:before="0" w:after="0"/>
      <w:jc w:val="right"/>
    </w:pPr>
  </w:style>
  <w:style w:type="paragraph" w:styleId="Index3">
    <w:name w:val="index 3"/>
    <w:basedOn w:val="ListNumber2"/>
    <w:next w:val="Normal"/>
    <w:semiHidden/>
    <w:rsid w:val="00C61FA1"/>
    <w:pPr>
      <w:numPr>
        <w:numId w:val="0"/>
      </w:numPr>
      <w:tabs>
        <w:tab w:val="right" w:leader="dot" w:pos="4176"/>
      </w:tabs>
    </w:pPr>
  </w:style>
  <w:style w:type="paragraph" w:styleId="ListNumber2">
    <w:name w:val="List Number 2"/>
    <w:basedOn w:val="List2"/>
    <w:rsid w:val="00C61FA1"/>
    <w:pPr>
      <w:numPr>
        <w:numId w:val="10"/>
      </w:numPr>
      <w:tabs>
        <w:tab w:val="clear" w:pos="1060"/>
      </w:tabs>
    </w:pPr>
  </w:style>
  <w:style w:type="paragraph" w:customStyle="1" w:styleId="MarginNote">
    <w:name w:val="Margin Note"/>
    <w:basedOn w:val="BodyText"/>
    <w:rsid w:val="00C61F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1F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61F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1FA1"/>
    <w:rPr>
      <w:sz w:val="32"/>
    </w:rPr>
  </w:style>
  <w:style w:type="paragraph" w:customStyle="1" w:styleId="HeadingProcedure">
    <w:name w:val="Heading Procedure"/>
    <w:basedOn w:val="HeadingBase"/>
    <w:next w:val="Normal"/>
    <w:rsid w:val="00C61FA1"/>
    <w:pPr>
      <w:tabs>
        <w:tab w:val="left" w:pos="0"/>
      </w:tabs>
      <w:spacing w:before="120" w:after="60"/>
    </w:pPr>
    <w:rPr>
      <w:i/>
      <w:color w:val="918585"/>
      <w:sz w:val="22"/>
    </w:rPr>
  </w:style>
  <w:style w:type="paragraph" w:customStyle="1" w:styleId="TableBodyText">
    <w:name w:val="Table Body Text"/>
    <w:basedOn w:val="BodyText"/>
    <w:rsid w:val="00C61FA1"/>
    <w:pPr>
      <w:spacing w:before="60" w:after="60"/>
    </w:pPr>
  </w:style>
  <w:style w:type="paragraph" w:styleId="ListContinue">
    <w:name w:val="List Continue"/>
    <w:basedOn w:val="List"/>
    <w:rsid w:val="00C61FA1"/>
    <w:pPr>
      <w:ind w:firstLine="0"/>
    </w:pPr>
  </w:style>
  <w:style w:type="paragraph" w:customStyle="1" w:styleId="ListNote">
    <w:name w:val="List Note"/>
    <w:basedOn w:val="List"/>
    <w:rsid w:val="00C61FA1"/>
    <w:pPr>
      <w:pBdr>
        <w:top w:val="single" w:sz="6" w:space="2" w:color="918585"/>
        <w:bottom w:val="single" w:sz="6" w:space="2" w:color="918585"/>
      </w:pBdr>
      <w:tabs>
        <w:tab w:val="left" w:pos="1021"/>
      </w:tabs>
      <w:ind w:firstLine="0"/>
    </w:pPr>
  </w:style>
  <w:style w:type="paragraph" w:customStyle="1" w:styleId="Warning">
    <w:name w:val="Warning"/>
    <w:basedOn w:val="BodyText"/>
    <w:rsid w:val="00C61FA1"/>
    <w:pPr>
      <w:shd w:val="clear" w:color="auto" w:fill="D9D9D9"/>
      <w:tabs>
        <w:tab w:val="left" w:pos="992"/>
      </w:tabs>
      <w:ind w:left="119" w:right="119"/>
    </w:pPr>
    <w:rPr>
      <w:sz w:val="20"/>
    </w:rPr>
  </w:style>
  <w:style w:type="paragraph" w:customStyle="1" w:styleId="MarginIcons">
    <w:name w:val="Margin Icons"/>
    <w:basedOn w:val="BodyText"/>
    <w:rsid w:val="00C61FA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61FA1"/>
    <w:rPr>
      <w:rFonts w:ascii="Courier New" w:hAnsi="Courier New"/>
    </w:rPr>
  </w:style>
  <w:style w:type="paragraph" w:customStyle="1" w:styleId="NoteBullet">
    <w:name w:val="Note Bullet"/>
    <w:basedOn w:val="Note"/>
    <w:rsid w:val="00C61FA1"/>
    <w:pPr>
      <w:tabs>
        <w:tab w:val="clear" w:pos="680"/>
      </w:tabs>
      <w:spacing w:before="60" w:after="60"/>
    </w:pPr>
  </w:style>
  <w:style w:type="paragraph" w:customStyle="1" w:styleId="SubHeading2">
    <w:name w:val="SubHeading2"/>
    <w:basedOn w:val="HeadingBase"/>
    <w:rsid w:val="00C61FA1"/>
    <w:pPr>
      <w:spacing w:before="240" w:after="60"/>
    </w:pPr>
    <w:rPr>
      <w:sz w:val="20"/>
    </w:rPr>
  </w:style>
  <w:style w:type="paragraph" w:customStyle="1" w:styleId="SubHeading1">
    <w:name w:val="SubHeading1"/>
    <w:basedOn w:val="HeadingBase"/>
    <w:rsid w:val="00C61FA1"/>
    <w:pPr>
      <w:spacing w:before="240" w:after="60"/>
    </w:pPr>
    <w:rPr>
      <w:color w:val="918585"/>
      <w:sz w:val="22"/>
    </w:rPr>
  </w:style>
  <w:style w:type="paragraph" w:customStyle="1" w:styleId="SideHeading">
    <w:name w:val="Side Heading"/>
    <w:basedOn w:val="HeadingBase"/>
    <w:rsid w:val="00C61F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1FA1"/>
    <w:pPr>
      <w:numPr>
        <w:numId w:val="12"/>
      </w:numPr>
    </w:pPr>
  </w:style>
  <w:style w:type="paragraph" w:styleId="PlainText">
    <w:name w:val="Plain Text"/>
    <w:basedOn w:val="Normal"/>
    <w:link w:val="PlainTextChar"/>
    <w:rsid w:val="00C61FA1"/>
    <w:rPr>
      <w:sz w:val="20"/>
    </w:rPr>
  </w:style>
  <w:style w:type="character" w:customStyle="1" w:styleId="PlainTextChar">
    <w:name w:val="Plain Text Char"/>
    <w:basedOn w:val="DefaultParagraphFont"/>
    <w:link w:val="PlainText"/>
    <w:rsid w:val="00C61FA1"/>
    <w:rPr>
      <w:rFonts w:ascii="Courier New" w:eastAsia="Times New Roman" w:hAnsi="Courier New" w:cs="Times New Roman"/>
      <w:sz w:val="20"/>
      <w:szCs w:val="20"/>
      <w:lang w:val="en-US" w:eastAsia="en-US"/>
    </w:rPr>
  </w:style>
  <w:style w:type="character" w:customStyle="1" w:styleId="MenuOption">
    <w:name w:val="Menu Option"/>
    <w:rsid w:val="00C61FA1"/>
    <w:rPr>
      <w:b/>
      <w:smallCaps/>
    </w:rPr>
  </w:style>
  <w:style w:type="paragraph" w:customStyle="1" w:styleId="TableListNumber">
    <w:name w:val="Table List Number"/>
    <w:basedOn w:val="ListNumber"/>
    <w:rsid w:val="00C61FA1"/>
    <w:pPr>
      <w:numPr>
        <w:numId w:val="0"/>
      </w:numPr>
    </w:pPr>
  </w:style>
  <w:style w:type="paragraph" w:styleId="TOC4">
    <w:name w:val="toc 4"/>
    <w:basedOn w:val="TOCBase"/>
    <w:next w:val="Normal"/>
    <w:semiHidden/>
    <w:rsid w:val="00C61FA1"/>
    <w:pPr>
      <w:tabs>
        <w:tab w:val="right" w:leader="dot" w:pos="9071"/>
      </w:tabs>
      <w:ind w:left="1701"/>
    </w:pPr>
  </w:style>
  <w:style w:type="paragraph" w:customStyle="1" w:styleId="ListAlpha">
    <w:name w:val="List Alpha"/>
    <w:basedOn w:val="List"/>
    <w:rsid w:val="00C61FA1"/>
    <w:pPr>
      <w:numPr>
        <w:numId w:val="9"/>
      </w:numPr>
    </w:pPr>
  </w:style>
  <w:style w:type="paragraph" w:customStyle="1" w:styleId="ListAlpha2">
    <w:name w:val="List Alpha 2"/>
    <w:basedOn w:val="List2"/>
    <w:rsid w:val="00C61FA1"/>
    <w:pPr>
      <w:numPr>
        <w:numId w:val="8"/>
      </w:numPr>
    </w:pPr>
  </w:style>
  <w:style w:type="paragraph" w:styleId="List2">
    <w:name w:val="List 2"/>
    <w:basedOn w:val="BodyText"/>
    <w:rsid w:val="00C61FA1"/>
    <w:pPr>
      <w:tabs>
        <w:tab w:val="left" w:pos="680"/>
      </w:tabs>
      <w:spacing w:before="60" w:after="60"/>
      <w:ind w:left="680" w:hanging="340"/>
    </w:pPr>
  </w:style>
  <w:style w:type="paragraph" w:styleId="List3">
    <w:name w:val="List 3"/>
    <w:basedOn w:val="BodyText"/>
    <w:rsid w:val="00C61FA1"/>
    <w:pPr>
      <w:tabs>
        <w:tab w:val="left" w:pos="1021"/>
      </w:tabs>
      <w:spacing w:before="60" w:after="60"/>
      <w:ind w:left="1020" w:hanging="340"/>
    </w:pPr>
  </w:style>
  <w:style w:type="paragraph" w:styleId="List4">
    <w:name w:val="List 4"/>
    <w:basedOn w:val="BodyText"/>
    <w:rsid w:val="00C61FA1"/>
    <w:pPr>
      <w:tabs>
        <w:tab w:val="left" w:pos="1361"/>
      </w:tabs>
      <w:spacing w:before="60" w:after="60"/>
      <w:ind w:left="1361" w:hanging="340"/>
    </w:pPr>
  </w:style>
  <w:style w:type="paragraph" w:styleId="List5">
    <w:name w:val="List 5"/>
    <w:basedOn w:val="BodyText"/>
    <w:rsid w:val="00C61FA1"/>
    <w:pPr>
      <w:tabs>
        <w:tab w:val="left" w:pos="1701"/>
      </w:tabs>
      <w:spacing w:before="60" w:after="60"/>
      <w:ind w:left="1701" w:hanging="340"/>
    </w:pPr>
  </w:style>
  <w:style w:type="paragraph" w:styleId="ListBullet3">
    <w:name w:val="List Bullet 3"/>
    <w:basedOn w:val="List3"/>
    <w:rsid w:val="00C61FA1"/>
    <w:pPr>
      <w:numPr>
        <w:numId w:val="15"/>
      </w:numPr>
      <w:tabs>
        <w:tab w:val="clear" w:pos="1021"/>
      </w:tabs>
      <w:ind w:left="1037" w:hanging="357"/>
    </w:pPr>
  </w:style>
  <w:style w:type="paragraph" w:styleId="ListBullet4">
    <w:name w:val="List Bullet 4"/>
    <w:basedOn w:val="List4"/>
    <w:rsid w:val="00C61FA1"/>
    <w:pPr>
      <w:numPr>
        <w:numId w:val="3"/>
      </w:numPr>
    </w:pPr>
  </w:style>
  <w:style w:type="paragraph" w:styleId="ListBullet5">
    <w:name w:val="List Bullet 5"/>
    <w:basedOn w:val="List5"/>
    <w:rsid w:val="00C61FA1"/>
    <w:pPr>
      <w:numPr>
        <w:numId w:val="4"/>
      </w:numPr>
    </w:pPr>
  </w:style>
  <w:style w:type="paragraph" w:styleId="ListContinue2">
    <w:name w:val="List Continue 2"/>
    <w:basedOn w:val="List2"/>
    <w:rsid w:val="00C61FA1"/>
    <w:pPr>
      <w:ind w:firstLine="0"/>
    </w:pPr>
  </w:style>
  <w:style w:type="paragraph" w:styleId="ListContinue3">
    <w:name w:val="List Continue 3"/>
    <w:basedOn w:val="List3"/>
    <w:rsid w:val="00C61FA1"/>
    <w:pPr>
      <w:ind w:left="1021" w:firstLine="0"/>
    </w:pPr>
  </w:style>
  <w:style w:type="paragraph" w:styleId="ListContinue4">
    <w:name w:val="List Continue 4"/>
    <w:basedOn w:val="List4"/>
    <w:rsid w:val="00C61FA1"/>
    <w:pPr>
      <w:ind w:firstLine="0"/>
    </w:pPr>
  </w:style>
  <w:style w:type="paragraph" w:styleId="ListContinue5">
    <w:name w:val="List Continue 5"/>
    <w:basedOn w:val="List5"/>
    <w:rsid w:val="00C61FA1"/>
    <w:pPr>
      <w:ind w:firstLine="0"/>
    </w:pPr>
  </w:style>
  <w:style w:type="paragraph" w:styleId="ListNumber3">
    <w:name w:val="List Number 3"/>
    <w:basedOn w:val="List3"/>
    <w:rsid w:val="00C61FA1"/>
    <w:pPr>
      <w:numPr>
        <w:numId w:val="5"/>
      </w:numPr>
    </w:pPr>
  </w:style>
  <w:style w:type="paragraph" w:styleId="ListNumber4">
    <w:name w:val="List Number 4"/>
    <w:basedOn w:val="List4"/>
    <w:rsid w:val="00C61FA1"/>
    <w:pPr>
      <w:numPr>
        <w:numId w:val="6"/>
      </w:numPr>
    </w:pPr>
  </w:style>
  <w:style w:type="paragraph" w:styleId="ListNumber5">
    <w:name w:val="List Number 5"/>
    <w:basedOn w:val="List5"/>
    <w:rsid w:val="00C61FA1"/>
    <w:pPr>
      <w:numPr>
        <w:numId w:val="7"/>
      </w:numPr>
    </w:pPr>
  </w:style>
  <w:style w:type="paragraph" w:styleId="BlockText">
    <w:name w:val="Block Text"/>
    <w:basedOn w:val="Normal"/>
    <w:rsid w:val="00C61FA1"/>
    <w:pPr>
      <w:spacing w:after="120"/>
      <w:ind w:left="1440" w:right="1440"/>
    </w:pPr>
  </w:style>
  <w:style w:type="character" w:customStyle="1" w:styleId="Subscript">
    <w:name w:val="Subscript"/>
    <w:rsid w:val="00C61FA1"/>
    <w:rPr>
      <w:sz w:val="16"/>
      <w:vertAlign w:val="subscript"/>
    </w:rPr>
  </w:style>
  <w:style w:type="character" w:customStyle="1" w:styleId="Superscript">
    <w:name w:val="Superscript"/>
    <w:rsid w:val="00C61FA1"/>
    <w:rPr>
      <w:sz w:val="16"/>
      <w:vertAlign w:val="superscript"/>
    </w:rPr>
  </w:style>
  <w:style w:type="character" w:customStyle="1" w:styleId="Symbols">
    <w:name w:val="Symbols"/>
    <w:rsid w:val="00C61FA1"/>
    <w:rPr>
      <w:rFonts w:ascii="Symbol" w:hAnsi="Symbol"/>
    </w:rPr>
  </w:style>
  <w:style w:type="character" w:customStyle="1" w:styleId="MenuOptions">
    <w:name w:val="Menu Options"/>
    <w:rsid w:val="00C61FA1"/>
    <w:rPr>
      <w:rFonts w:ascii="Arial Narrow" w:hAnsi="Arial Narrow"/>
      <w:smallCaps/>
    </w:rPr>
  </w:style>
  <w:style w:type="character" w:customStyle="1" w:styleId="Buttons">
    <w:name w:val="Buttons"/>
    <w:rsid w:val="00C61FA1"/>
    <w:rPr>
      <w:b/>
    </w:rPr>
  </w:style>
  <w:style w:type="character" w:customStyle="1" w:styleId="Underlined">
    <w:name w:val="Underlined"/>
    <w:rsid w:val="00C61FA1"/>
    <w:rPr>
      <w:u w:val="single"/>
    </w:rPr>
  </w:style>
  <w:style w:type="paragraph" w:customStyle="1" w:styleId="TableBodyTextRight">
    <w:name w:val="Table Body Text Right"/>
    <w:basedOn w:val="TableBodyText"/>
    <w:rsid w:val="00C61FA1"/>
    <w:pPr>
      <w:widowControl w:val="0"/>
      <w:autoSpaceDE w:val="0"/>
      <w:autoSpaceDN w:val="0"/>
      <w:adjustRightInd w:val="0"/>
      <w:jc w:val="right"/>
    </w:pPr>
    <w:rPr>
      <w:rFonts w:cs="Arial"/>
      <w:szCs w:val="18"/>
    </w:rPr>
  </w:style>
  <w:style w:type="paragraph" w:customStyle="1" w:styleId="CopyrightText">
    <w:name w:val="Copyright Text"/>
    <w:basedOn w:val="BodyText"/>
    <w:rsid w:val="00C61FA1"/>
    <w:rPr>
      <w:sz w:val="18"/>
    </w:rPr>
  </w:style>
  <w:style w:type="paragraph" w:customStyle="1" w:styleId="BodySmallRight">
    <w:name w:val="Body Small Right"/>
    <w:basedOn w:val="BodyTextRight"/>
    <w:rsid w:val="00C61FA1"/>
    <w:rPr>
      <w:sz w:val="18"/>
      <w:szCs w:val="18"/>
    </w:rPr>
  </w:style>
  <w:style w:type="paragraph" w:customStyle="1" w:styleId="MarginEdition">
    <w:name w:val="Margin Edition"/>
    <w:basedOn w:val="MarginNote"/>
    <w:rsid w:val="00C61FA1"/>
    <w:pPr>
      <w:spacing w:before="0" w:after="0"/>
    </w:pPr>
    <w:rPr>
      <w:rFonts w:ascii="Times New Roman" w:hAnsi="Times New Roman"/>
      <w:color w:val="999999"/>
    </w:rPr>
  </w:style>
  <w:style w:type="paragraph" w:customStyle="1" w:styleId="Spacer">
    <w:name w:val="Spacer"/>
    <w:basedOn w:val="Normal"/>
    <w:rsid w:val="00C61FA1"/>
    <w:rPr>
      <w:sz w:val="2"/>
      <w:szCs w:val="2"/>
    </w:rPr>
  </w:style>
  <w:style w:type="character" w:customStyle="1" w:styleId="Small">
    <w:name w:val="Small"/>
    <w:rsid w:val="00C61FA1"/>
    <w:rPr>
      <w:sz w:val="16"/>
    </w:rPr>
  </w:style>
  <w:style w:type="paragraph" w:customStyle="1" w:styleId="WideTable">
    <w:name w:val="Wide Table"/>
    <w:basedOn w:val="Normal"/>
    <w:rsid w:val="00C61FA1"/>
    <w:pPr>
      <w:ind w:left="-1418"/>
    </w:pPr>
    <w:rPr>
      <w:sz w:val="2"/>
      <w:szCs w:val="2"/>
    </w:rPr>
  </w:style>
  <w:style w:type="character" w:styleId="PageNumber">
    <w:name w:val="page number"/>
    <w:rsid w:val="00C61FA1"/>
  </w:style>
  <w:style w:type="paragraph" w:styleId="Quote">
    <w:name w:val="Quote"/>
    <w:basedOn w:val="Heading1"/>
    <w:link w:val="QuoteChar"/>
    <w:qFormat/>
    <w:rsid w:val="00C61FA1"/>
    <w:rPr>
      <w:b w:val="0"/>
      <w:sz w:val="72"/>
      <w:szCs w:val="72"/>
      <w:lang w:val="en-NZ"/>
    </w:rPr>
  </w:style>
  <w:style w:type="character" w:customStyle="1" w:styleId="QuoteChar">
    <w:name w:val="Quote Char"/>
    <w:link w:val="Quote"/>
    <w:rsid w:val="00C61F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1FA1"/>
    <w:pPr>
      <w:pageBreakBefore/>
    </w:pPr>
  </w:style>
  <w:style w:type="paragraph" w:customStyle="1" w:styleId="Border">
    <w:name w:val="Border"/>
    <w:basedOn w:val="Normal"/>
    <w:qFormat/>
    <w:rsid w:val="00C61FA1"/>
    <w:pPr>
      <w:pBdr>
        <w:top w:val="single" w:sz="18" w:space="1" w:color="auto"/>
      </w:pBdr>
    </w:pPr>
    <w:rPr>
      <w:rFonts w:ascii="Times New Roman" w:hAnsi="Times New Roman"/>
      <w:color w:val="FFFFFF"/>
      <w:sz w:val="2"/>
    </w:rPr>
  </w:style>
  <w:style w:type="character" w:styleId="IntenseEmphasis">
    <w:name w:val="Intense Emphasis"/>
    <w:uiPriority w:val="21"/>
    <w:qFormat/>
    <w:rsid w:val="00C61FA1"/>
    <w:rPr>
      <w:b/>
      <w:bCs/>
      <w:i/>
      <w:iCs/>
      <w:color w:val="auto"/>
    </w:rPr>
  </w:style>
  <w:style w:type="paragraph" w:styleId="IntenseQuote">
    <w:name w:val="Intense Quote"/>
    <w:basedOn w:val="Normal"/>
    <w:next w:val="Normal"/>
    <w:link w:val="IntenseQuoteChar"/>
    <w:uiPriority w:val="30"/>
    <w:qFormat/>
    <w:rsid w:val="00C61FA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61FA1"/>
    <w:rPr>
      <w:rFonts w:ascii="Courier New" w:eastAsia="Times New Roman" w:hAnsi="Courier New" w:cs="Times New Roman"/>
      <w:b/>
      <w:bCs/>
      <w:i/>
      <w:iCs/>
      <w:szCs w:val="20"/>
      <w:lang w:val="en-US" w:eastAsia="en-US"/>
    </w:rPr>
  </w:style>
  <w:style w:type="character" w:styleId="SubtleReference">
    <w:name w:val="Subtle Reference"/>
    <w:uiPriority w:val="31"/>
    <w:qFormat/>
    <w:rsid w:val="00C61FA1"/>
    <w:rPr>
      <w:smallCaps/>
      <w:color w:val="auto"/>
      <w:u w:val="single"/>
    </w:rPr>
  </w:style>
  <w:style w:type="character" w:styleId="IntenseReference">
    <w:name w:val="Intense Reference"/>
    <w:uiPriority w:val="32"/>
    <w:qFormat/>
    <w:rsid w:val="00C61FA1"/>
    <w:rPr>
      <w:b/>
      <w:bCs/>
      <w:smallCaps/>
      <w:color w:val="auto"/>
      <w:spacing w:val="5"/>
      <w:u w:val="single"/>
    </w:rPr>
  </w:style>
  <w:style w:type="paragraph" w:customStyle="1" w:styleId="2ColumnHeading">
    <w:name w:val="2Column Heading"/>
    <w:basedOn w:val="BodyText"/>
    <w:qFormat/>
    <w:rsid w:val="00C61FA1"/>
    <w:pPr>
      <w:spacing w:after="60"/>
      <w:ind w:left="-2268"/>
    </w:pPr>
    <w:rPr>
      <w:b/>
    </w:rPr>
  </w:style>
  <w:style w:type="paragraph" w:customStyle="1" w:styleId="Heading1TOC">
    <w:name w:val="Heading1 TOC"/>
    <w:basedOn w:val="Normal"/>
    <w:qFormat/>
    <w:rsid w:val="00C61FA1"/>
    <w:pPr>
      <w:spacing w:before="240" w:after="120"/>
    </w:pPr>
    <w:rPr>
      <w:rFonts w:ascii="Times New Roman" w:hAnsi="Times New Roman"/>
      <w:b/>
      <w:sz w:val="32"/>
    </w:rPr>
  </w:style>
  <w:style w:type="paragraph" w:customStyle="1" w:styleId="Heading2TOC">
    <w:name w:val="Heading2 TOC"/>
    <w:basedOn w:val="Normal"/>
    <w:qFormat/>
    <w:rsid w:val="00C61FA1"/>
    <w:pPr>
      <w:spacing w:before="240" w:after="60"/>
    </w:pPr>
    <w:rPr>
      <w:rFonts w:ascii="Times New Roman" w:hAnsi="Times New Roman"/>
      <w:b/>
      <w:sz w:val="28"/>
    </w:rPr>
  </w:style>
  <w:style w:type="character" w:customStyle="1" w:styleId="Underline">
    <w:name w:val="Underline"/>
    <w:qFormat/>
    <w:rsid w:val="00C61FA1"/>
    <w:rPr>
      <w:u w:val="single"/>
    </w:rPr>
  </w:style>
  <w:style w:type="paragraph" w:styleId="BalloonText">
    <w:name w:val="Balloon Text"/>
    <w:basedOn w:val="Normal"/>
    <w:link w:val="BalloonTextChar"/>
    <w:rsid w:val="00C61FA1"/>
    <w:rPr>
      <w:rFonts w:ascii="Tahoma" w:hAnsi="Tahoma" w:cs="Tahoma"/>
      <w:sz w:val="16"/>
      <w:szCs w:val="16"/>
    </w:rPr>
  </w:style>
  <w:style w:type="character" w:customStyle="1" w:styleId="BalloonTextChar">
    <w:name w:val="Balloon Text Char"/>
    <w:link w:val="BalloonText"/>
    <w:rsid w:val="00C61F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1FA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61FA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1182</Words>
  <Characters>7702</Characters>
  <Application>Microsoft Office Word</Application>
  <DocSecurity>0</DocSecurity>
  <Lines>272</Lines>
  <Paragraphs>180</Paragraphs>
  <ScaleCrop>false</ScaleCrop>
  <Company>Author-it Software Corporation Ltd.</Company>
  <LinksUpToDate>false</LinksUpToDate>
  <CharactersWithSpaces>8823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CUSMGT404A Administer artists' royalty income</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2012-05-26T15:25:00Z</dcterms:created>
  <dcterms:modified xsi:type="dcterms:W3CDTF">2012-05-26T15:25:00Z</dcterms:modified>
</cp:coreProperties>
</file>