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2F8" w:rsidP="00B732F8">
      <w:pPr>
        <w:pStyle w:val="Title"/>
      </w:pPr>
      <w:r>
        <w:fldChar w:fldCharType="begin"/>
      </w:r>
      <w:r>
        <w:instrText xml:space="preserve"> TITLE   \* MERGEFORMAT </w:instrText>
      </w:r>
      <w:r>
        <w:fldChar w:fldCharType="separate"/>
      </w:r>
      <w:r>
        <w:t>CUSMGT403A Manage licensing of music</w:t>
      </w:r>
      <w:r>
        <w:fldChar w:fldCharType="end"/>
      </w:r>
    </w:p>
    <w:p w:rsidR="00B732F8" w:rsidP="00B732F8">
      <w:pPr>
        <w:pStyle w:val="Version"/>
        <w:sectPr w:rsidSect="002512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51215" w:rsidP="00251215">
      <w:pPr>
        <w:pStyle w:val="SuperHeading"/>
      </w:pPr>
      <w:r w:rsidRPr="00251215">
        <w:t>CUSMGT403A Manage licensing of music</w:t>
      </w:r>
    </w:p>
    <w:p w:rsidR="00000000" w:rsidRPr="00251215" w:rsidP="00251215">
      <w:pPr>
        <w:pStyle w:val="SuperHeading"/>
      </w:pPr>
    </w:p>
    <w:p w:rsidR="00000000" w:rsidRPr="00251215" w:rsidP="00251215">
      <w:pPr>
        <w:pStyle w:val="Heading1"/>
      </w:pPr>
      <w:bookmarkStart w:id="1" w:name="O_380775"/>
      <w:bookmarkEnd w:id="1"/>
      <w:r w:rsidRPr="00251215">
        <w:t>Modification History</w:t>
      </w:r>
    </w:p>
    <w:tbl>
      <w:tblPr>
        <w:tblW w:w="0" w:type="auto"/>
        <w:tblLayout w:type="fixed"/>
        <w:tblCellMar>
          <w:left w:w="62" w:type="dxa"/>
          <w:right w:w="62" w:type="dxa"/>
        </w:tblCellMar>
        <w:tblLook w:val="0000"/>
      </w:tblPr>
      <w:tblGrid>
        <w:gridCol w:w="1585"/>
        <w:gridCol w:w="5245"/>
      </w:tblGrid>
      <w:tr w:rsidTr="00251215">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51215" w:rsidP="00251215">
            <w:pPr>
              <w:pStyle w:val="BodyText"/>
            </w:pPr>
            <w:r w:rsidRPr="00251215">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1215">
            <w:pPr>
              <w:pStyle w:val="BodyText"/>
              <w:rPr>
                <w:lang w:val="en-NZ"/>
              </w:rPr>
            </w:pPr>
            <w:r w:rsidRPr="00251215">
              <w:rPr>
                <w:rStyle w:val="SpecialBold"/>
              </w:rPr>
              <w:t>Comments</w:t>
            </w:r>
          </w:p>
        </w:tc>
      </w:tr>
      <w:tr w:rsidTr="00251215">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51215">
            <w:pPr>
              <w:pStyle w:val="BodyText"/>
              <w:rPr>
                <w:lang w:val="en-NZ"/>
              </w:rPr>
            </w:pPr>
            <w:r w:rsidRPr="00251215">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251215" w:rsidP="00251215">
            <w:pPr>
              <w:pStyle w:val="BodyText"/>
            </w:pPr>
            <w:r w:rsidRPr="00251215">
              <w:t xml:space="preserve">Created to fix formatting errors only. </w:t>
            </w:r>
          </w:p>
          <w:p w:rsidR="00000000" w:rsidRPr="00251215" w:rsidP="00251215">
            <w:pPr>
              <w:pStyle w:val="BodyText"/>
            </w:pPr>
            <w:r w:rsidRPr="00251215">
              <w:t>Released with CUS09 Music Training Package version 1.2</w:t>
            </w:r>
          </w:p>
        </w:tc>
      </w:tr>
    </w:tbl>
    <w:p w:rsidR="00000000" w:rsidRPr="00251215" w:rsidP="00251215">
      <w:pPr>
        <w:pStyle w:val="BodyText"/>
      </w:pPr>
    </w:p>
    <w:p w:rsidR="00000000" w:rsidRPr="00251215" w:rsidP="00251215">
      <w:pPr>
        <w:pStyle w:val="AllowPageBreak"/>
      </w:pPr>
    </w:p>
    <w:p w:rsidR="00000000" w:rsidRPr="00251215" w:rsidP="00251215">
      <w:pPr>
        <w:pStyle w:val="Heading1"/>
      </w:pPr>
      <w:bookmarkStart w:id="2" w:name="O_380771"/>
      <w:bookmarkEnd w:id="2"/>
      <w:r w:rsidRPr="00251215">
        <w:t>Unit Descriptor</w:t>
      </w:r>
    </w:p>
    <w:p w:rsidR="00B732F8" w:rsidP="00251215">
      <w:pPr>
        <w:pStyle w:val="BodyText"/>
      </w:pPr>
      <w:r w:rsidRPr="00251215">
        <w:t xml:space="preserve">This unit covers the performance outcomes, skills and knowledge required to manage, promote and negotiate licensing of musical works. </w:t>
      </w:r>
    </w:p>
    <w:p w:rsidR="00B732F8" w:rsidP="00251215">
      <w:pPr>
        <w:pStyle w:val="BodyText"/>
      </w:pPr>
    </w:p>
    <w:p w:rsidR="00000000" w:rsidRPr="00251215" w:rsidP="00251215">
      <w:pPr>
        <w:pStyle w:val="Heading1"/>
      </w:pPr>
      <w:bookmarkStart w:id="3" w:name="O_380784"/>
      <w:bookmarkEnd w:id="3"/>
      <w:r w:rsidRPr="00251215">
        <w:t>Application of the Unit</w:t>
      </w:r>
    </w:p>
    <w:p w:rsidR="00000000" w:rsidRPr="00251215" w:rsidP="00251215">
      <w:pPr>
        <w:pStyle w:val="BodyText"/>
      </w:pPr>
      <w:r w:rsidRPr="00251215">
        <w:t>Employees of music publishing companies apply the skills and knowledge describe</w:t>
      </w:r>
      <w:r w:rsidRPr="00251215">
        <w:t>d in this unit. They are responsible for promoting the use of material in a publisher's catalogue to prospective clients. They then negotiate licensing agreements with clients who want to use this material for their own purposes, such as in screen producti</w:t>
      </w:r>
      <w:r w:rsidRPr="00251215">
        <w:t>ons, broadcasts and mobile phone ringtones, and as mood music in public buildings. At times an artist manager may perform this role on behalf of artists.</w:t>
      </w:r>
    </w:p>
    <w:p w:rsidR="00000000" w:rsidRPr="00251215" w:rsidP="00251215">
      <w:pPr>
        <w:pStyle w:val="AllowPageBreak"/>
      </w:pPr>
    </w:p>
    <w:p w:rsidR="00000000" w:rsidRPr="00251215" w:rsidP="00251215">
      <w:pPr>
        <w:pStyle w:val="Heading1"/>
      </w:pPr>
      <w:bookmarkStart w:id="4" w:name="O_380776"/>
      <w:bookmarkEnd w:id="4"/>
      <w:r w:rsidRPr="00251215">
        <w:t>Licensing/Regulatory Information</w:t>
      </w:r>
    </w:p>
    <w:p w:rsidR="00B732F8" w:rsidP="00251215">
      <w:pPr>
        <w:pStyle w:val="BodyText"/>
      </w:pPr>
      <w:r w:rsidRPr="00251215">
        <w:t>No licensing, legis</w:t>
      </w:r>
      <w:r w:rsidRPr="00251215">
        <w:t>lative, regulatory or certification requirements apply to this unit at the time of endorsement.</w:t>
      </w:r>
    </w:p>
    <w:p w:rsidR="00B732F8" w:rsidP="00251215">
      <w:pPr>
        <w:pStyle w:val="BodyText"/>
      </w:pPr>
    </w:p>
    <w:p w:rsidR="00000000" w:rsidRPr="00251215" w:rsidP="00251215">
      <w:pPr>
        <w:pStyle w:val="Heading1"/>
      </w:pPr>
      <w:bookmarkStart w:id="5" w:name="O_380774"/>
      <w:bookmarkEnd w:id="5"/>
      <w:r w:rsidRPr="00251215">
        <w:t>Pre-Requisites</w:t>
      </w:r>
    </w:p>
    <w:p w:rsidR="00000000" w:rsidRPr="00251215" w:rsidP="00251215">
      <w:pPr>
        <w:pStyle w:val="BodyText"/>
      </w:pPr>
      <w:r w:rsidRPr="00251215">
        <w:t>Not applicable</w:t>
      </w:r>
    </w:p>
    <w:p w:rsidR="00000000" w:rsidRPr="00251215" w:rsidP="00251215">
      <w:pPr>
        <w:pStyle w:val="AllowPageBreak"/>
      </w:pPr>
    </w:p>
    <w:p w:rsidR="00000000" w:rsidRPr="00251215" w:rsidP="00251215">
      <w:pPr>
        <w:pStyle w:val="Heading1"/>
      </w:pPr>
      <w:bookmarkStart w:id="6" w:name="O_380779"/>
      <w:bookmarkEnd w:id="6"/>
      <w:r w:rsidRPr="00251215">
        <w:t>Employability Skills Information</w:t>
      </w:r>
    </w:p>
    <w:p w:rsidR="00000000" w:rsidRPr="00251215" w:rsidP="00251215">
      <w:pPr>
        <w:pStyle w:val="BodyText"/>
      </w:pPr>
      <w:r w:rsidRPr="00251215">
        <w:t>Not applicable</w:t>
      </w:r>
    </w:p>
    <w:p w:rsidR="00000000" w:rsidRPr="00251215" w:rsidP="00251215">
      <w:pPr>
        <w:pStyle w:val="AllowPageBreak"/>
      </w:pPr>
    </w:p>
    <w:p w:rsidR="00000000" w:rsidRPr="00251215" w:rsidP="00251215">
      <w:pPr>
        <w:pStyle w:val="Heading1"/>
      </w:pPr>
      <w:bookmarkStart w:id="7" w:name="O_380780"/>
      <w:bookmarkEnd w:id="7"/>
      <w:r w:rsidRPr="00251215">
        <w:t>Elements and Performance Criteria Pre-Content</w:t>
      </w:r>
    </w:p>
    <w:tbl>
      <w:tblPr>
        <w:tblW w:w="0" w:type="auto"/>
        <w:tblLayout w:type="fixed"/>
        <w:tblCellMar>
          <w:left w:w="62" w:type="dxa"/>
          <w:right w:w="62" w:type="dxa"/>
        </w:tblCellMar>
        <w:tblLook w:val="0000"/>
      </w:tblPr>
      <w:tblGrid>
        <w:gridCol w:w="2560"/>
        <w:gridCol w:w="5962"/>
      </w:tblGrid>
      <w:tr w:rsidTr="00B73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BodyText"/>
            </w:pPr>
            <w:r w:rsidRPr="00251215">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BodyText"/>
            </w:pPr>
            <w:r w:rsidRPr="00251215">
              <w:rPr>
                <w:rStyle w:val="Emphasis"/>
              </w:rPr>
              <w:t>Performance criteria describe the performance needed to demonstrate achievement of the element. Where bold italicised text is used, further info</w:t>
            </w:r>
            <w:r w:rsidRPr="00251215">
              <w:rPr>
                <w:rStyle w:val="Emphasis"/>
              </w:rPr>
              <w:t>rmation is detailed in the required skills and knowledge section and the range statement. Assessment of performance is to be consistent with the evidence guide.</w:t>
            </w:r>
          </w:p>
        </w:tc>
      </w:tr>
    </w:tbl>
    <w:p w:rsidR="00000000" w:rsidRPr="00251215" w:rsidP="00251215">
      <w:pPr>
        <w:pStyle w:val="BodyText"/>
      </w:pPr>
    </w:p>
    <w:p w:rsidR="00000000" w:rsidRPr="00251215" w:rsidP="00251215">
      <w:pPr>
        <w:pStyle w:val="AllowPageBreak"/>
      </w:pPr>
    </w:p>
    <w:p w:rsidR="00000000" w:rsidRPr="00251215" w:rsidP="00251215">
      <w:pPr>
        <w:pStyle w:val="Heading1"/>
      </w:pPr>
      <w:bookmarkStart w:id="8" w:name="O_380781"/>
      <w:bookmarkEnd w:id="8"/>
      <w:r w:rsidRPr="00251215">
        <w:t>Elements and Performance Criteria</w:t>
      </w:r>
    </w:p>
    <w:tbl>
      <w:tblPr>
        <w:tblW w:w="0" w:type="auto"/>
        <w:tblLayout w:type="fixed"/>
        <w:tblCellMar>
          <w:left w:w="62" w:type="dxa"/>
          <w:right w:w="62" w:type="dxa"/>
        </w:tblCellMar>
        <w:tblLook w:val="0000"/>
      </w:tblPr>
      <w:tblGrid>
        <w:gridCol w:w="2560"/>
        <w:gridCol w:w="5962"/>
      </w:tblGrid>
      <w:tr w:rsidTr="00B732F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BodyText"/>
            </w:pPr>
            <w:r w:rsidRPr="0025121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SpecialBold"/>
              </w:rPr>
              <w:t>PERFORMANCE CRITERIA</w:t>
            </w:r>
          </w:p>
        </w:tc>
      </w:tr>
      <w:tr w:rsidTr="00B73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t>1. Promote works to clients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
            </w:pPr>
            <w:r w:rsidRPr="00251215">
              <w:t>1.1</w:t>
            </w:r>
            <w:r w:rsidRPr="00251215">
              <w:tab/>
              <w:t xml:space="preserve">Plan </w:t>
            </w:r>
            <w:r w:rsidRPr="00251215">
              <w:rPr>
                <w:rStyle w:val="BoldandItalics"/>
              </w:rPr>
              <w:t>strategies</w:t>
            </w:r>
            <w:r w:rsidRPr="00251215">
              <w:t xml:space="preserve"> to promote listed </w:t>
            </w:r>
            <w:r w:rsidRPr="00251215">
              <w:rPr>
                <w:rStyle w:val="BoldandItalics"/>
              </w:rPr>
              <w:t>works</w:t>
            </w:r>
            <w:r w:rsidRPr="00251215">
              <w:t xml:space="preserve"> and </w:t>
            </w:r>
            <w:r w:rsidRPr="00251215">
              <w:rPr>
                <w:rStyle w:val="BoldandItalics"/>
              </w:rPr>
              <w:t>originators of works</w:t>
            </w:r>
            <w:r w:rsidRPr="00251215">
              <w:t xml:space="preserve"> </w:t>
            </w:r>
          </w:p>
          <w:p w:rsidR="00000000" w:rsidRPr="00251215" w:rsidP="00251215">
            <w:pPr>
              <w:pStyle w:val="List"/>
            </w:pPr>
            <w:r w:rsidRPr="00251215">
              <w:t>1.2</w:t>
            </w:r>
            <w:r w:rsidRPr="00251215">
              <w:tab/>
              <w:t xml:space="preserve">Research and assess marketing opportunities for listed works using appropriate </w:t>
            </w:r>
            <w:r w:rsidRPr="00251215">
              <w:rPr>
                <w:rStyle w:val="BoldandItalics"/>
              </w:rPr>
              <w:t>sources</w:t>
            </w:r>
          </w:p>
          <w:p w:rsidR="00000000" w:rsidRPr="00251215" w:rsidP="00251215">
            <w:pPr>
              <w:pStyle w:val="List"/>
            </w:pPr>
            <w:r w:rsidRPr="00251215">
              <w:t>1.3</w:t>
            </w:r>
            <w:r w:rsidRPr="00251215">
              <w:tab/>
              <w:t xml:space="preserve">Identify and research </w:t>
            </w:r>
            <w:r w:rsidRPr="00251215">
              <w:rPr>
                <w:rStyle w:val="BoldandItalics"/>
              </w:rPr>
              <w:t>users of publicly performed music</w:t>
            </w:r>
            <w:r w:rsidRPr="00251215">
              <w:t xml:space="preserve"> to comp</w:t>
            </w:r>
            <w:r w:rsidRPr="00251215">
              <w:t>ile a list of potential clients</w:t>
            </w:r>
          </w:p>
          <w:p w:rsidR="00000000" w:rsidRPr="00251215" w:rsidP="00251215">
            <w:pPr>
              <w:pStyle w:val="List"/>
            </w:pPr>
            <w:r w:rsidRPr="00251215">
              <w:t>1.4</w:t>
            </w:r>
            <w:r w:rsidRPr="00251215">
              <w:tab/>
              <w:t>Pitch material to potential clients</w:t>
            </w:r>
          </w:p>
          <w:p w:rsidR="00000000" w:rsidP="00251215">
            <w:pPr>
              <w:pStyle w:val="List"/>
              <w:rPr>
                <w:lang w:val="en-NZ"/>
              </w:rPr>
            </w:pPr>
            <w:r w:rsidRPr="00251215">
              <w:t>1.5</w:t>
            </w:r>
            <w:r w:rsidRPr="00251215">
              <w:tab/>
              <w:t>Respond to requests for information on listed works from prospective clients</w:t>
            </w:r>
          </w:p>
        </w:tc>
      </w:tr>
      <w:tr w:rsidTr="00B73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t>2. Negotiate contracts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
            </w:pPr>
            <w:r w:rsidRPr="00251215">
              <w:t>2.1</w:t>
            </w:r>
            <w:r w:rsidRPr="00251215">
              <w:tab/>
              <w:t>Confirm that licensing of rights in works has been agreed by originator</w:t>
            </w:r>
          </w:p>
          <w:p w:rsidR="00000000" w:rsidRPr="00251215" w:rsidP="00251215">
            <w:pPr>
              <w:pStyle w:val="List"/>
            </w:pPr>
            <w:r w:rsidRPr="00251215">
              <w:t>2.2</w:t>
            </w:r>
            <w:r w:rsidRPr="00251215">
              <w:tab/>
              <w:t xml:space="preserve">Discuss and confirm </w:t>
            </w:r>
            <w:r w:rsidRPr="00251215">
              <w:rPr>
                <w:rStyle w:val="BoldandItalics"/>
              </w:rPr>
              <w:t>terms and conditions</w:t>
            </w:r>
            <w:r w:rsidRPr="00251215">
              <w:t xml:space="preserve"> of </w:t>
            </w:r>
            <w:r w:rsidRPr="00251215">
              <w:rPr>
                <w:rStyle w:val="BoldandItalics"/>
              </w:rPr>
              <w:t>licensing contract</w:t>
            </w:r>
            <w:r w:rsidRPr="00251215">
              <w:t xml:space="preserve"> with originator</w:t>
            </w:r>
          </w:p>
          <w:p w:rsidR="00000000" w:rsidRPr="00251215" w:rsidP="00251215">
            <w:pPr>
              <w:pStyle w:val="List"/>
            </w:pPr>
            <w:r w:rsidRPr="00251215">
              <w:t>2.3</w:t>
            </w:r>
            <w:r w:rsidRPr="00251215">
              <w:tab/>
              <w:t>Ensure licensing contract with client is free of conflicting claims or licences already granted or pending</w:t>
            </w:r>
          </w:p>
          <w:p w:rsidR="00000000" w:rsidRPr="00251215" w:rsidP="00251215">
            <w:pPr>
              <w:pStyle w:val="List"/>
            </w:pPr>
            <w:r w:rsidRPr="00251215">
              <w:t>2.4</w:t>
            </w:r>
            <w:r w:rsidRPr="00251215">
              <w:tab/>
              <w:t>Support all parties during licensing negotiations, and resolv</w:t>
            </w:r>
            <w:r w:rsidRPr="00251215">
              <w:t>e disputes as required</w:t>
            </w:r>
          </w:p>
          <w:p w:rsidR="00000000" w:rsidRPr="00251215" w:rsidP="00251215">
            <w:pPr>
              <w:pStyle w:val="List"/>
            </w:pPr>
            <w:r w:rsidRPr="00251215">
              <w:t>2.5</w:t>
            </w:r>
            <w:r w:rsidRPr="00251215">
              <w:tab/>
              <w:t>Confirm licensing contract is accurate, understood by all parties and delivered within agreed timeframe</w:t>
            </w:r>
          </w:p>
          <w:p w:rsidR="00000000" w:rsidP="00251215">
            <w:pPr>
              <w:pStyle w:val="List"/>
              <w:rPr>
                <w:lang w:val="en-NZ"/>
              </w:rPr>
            </w:pPr>
            <w:r w:rsidRPr="00251215">
              <w:t>2.6</w:t>
            </w:r>
            <w:r w:rsidRPr="00251215">
              <w:tab/>
              <w:t xml:space="preserve">Organise the </w:t>
            </w:r>
            <w:r w:rsidRPr="00251215">
              <w:rPr>
                <w:rStyle w:val="BoldandItalics"/>
              </w:rPr>
              <w:t>assignment of rights</w:t>
            </w:r>
            <w:r w:rsidRPr="00251215">
              <w:t xml:space="preserve"> in works as required</w:t>
            </w:r>
          </w:p>
        </w:tc>
      </w:tr>
      <w:tr w:rsidTr="00B732F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t>3. Administer licensing policy and contracts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
            </w:pPr>
            <w:r w:rsidRPr="00251215">
              <w:t>3.1</w:t>
            </w:r>
            <w:r w:rsidRPr="00251215">
              <w:tab/>
            </w:r>
            <w:r w:rsidRPr="00251215">
              <w:t>Ensure all licensing contracts comply with licensing policy and royalty obligations</w:t>
            </w:r>
          </w:p>
          <w:p w:rsidR="00000000" w:rsidRPr="00251215" w:rsidP="00251215">
            <w:pPr>
              <w:pStyle w:val="List"/>
            </w:pPr>
            <w:r w:rsidRPr="00251215">
              <w:t>3.2</w:t>
            </w:r>
            <w:r w:rsidRPr="00251215">
              <w:tab/>
              <w:t xml:space="preserve">Ensure </w:t>
            </w:r>
            <w:r w:rsidRPr="00251215">
              <w:rPr>
                <w:rStyle w:val="BoldandItalics"/>
              </w:rPr>
              <w:t>licensing documentation</w:t>
            </w:r>
            <w:r w:rsidRPr="00251215">
              <w:t xml:space="preserve"> is securely stored and readily available for retrieval to facilitate accurate royalty receipts and payments</w:t>
            </w:r>
          </w:p>
          <w:p w:rsidR="00000000" w:rsidRPr="00251215" w:rsidP="00251215">
            <w:pPr>
              <w:pStyle w:val="List"/>
            </w:pPr>
            <w:r w:rsidRPr="00251215">
              <w:t>3.3</w:t>
            </w:r>
            <w:r w:rsidRPr="00251215">
              <w:tab/>
              <w:t>Ensure licensing document</w:t>
            </w:r>
            <w:r w:rsidRPr="00251215">
              <w:t>ation is regularly monitored and updated</w:t>
            </w:r>
          </w:p>
        </w:tc>
      </w:tr>
    </w:tbl>
    <w:p w:rsidR="00000000" w:rsidRPr="00251215" w:rsidP="00251215">
      <w:pPr>
        <w:pStyle w:val="BodyText"/>
      </w:pPr>
    </w:p>
    <w:p w:rsidR="00000000" w:rsidRPr="00251215" w:rsidP="00251215">
      <w:pPr>
        <w:pStyle w:val="AllowPageBreak"/>
      </w:pPr>
    </w:p>
    <w:p w:rsidR="00000000" w:rsidRPr="00251215" w:rsidP="00251215">
      <w:pPr>
        <w:pStyle w:val="Heading1"/>
      </w:pPr>
      <w:bookmarkStart w:id="9" w:name="O_380772"/>
      <w:bookmarkEnd w:id="9"/>
      <w:r w:rsidRPr="00251215">
        <w:t>Required Skills and Knowledge</w:t>
      </w:r>
    </w:p>
    <w:tbl>
      <w:tblPr>
        <w:tblW w:w="0" w:type="auto"/>
        <w:tblLayout w:type="fixed"/>
        <w:tblCellMar>
          <w:left w:w="62" w:type="dxa"/>
          <w:right w:w="62" w:type="dxa"/>
        </w:tblCellMar>
        <w:tblLook w:val="0000"/>
      </w:tblPr>
      <w:tblGrid>
        <w:gridCol w:w="8522"/>
      </w:tblGrid>
      <w:tr w:rsidTr="00B73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1215">
            <w:pPr>
              <w:pStyle w:val="BodyText"/>
              <w:rPr>
                <w:lang w:val="en-NZ"/>
              </w:rPr>
            </w:pPr>
            <w:r w:rsidRPr="00251215">
              <w:rPr>
                <w:rStyle w:val="Emphasis"/>
              </w:rPr>
              <w:t>This section describes the skills and knowledge required for this unit.</w:t>
            </w:r>
          </w:p>
        </w:tc>
      </w:tr>
      <w:tr w:rsidTr="00B73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1215">
            <w:pPr>
              <w:pStyle w:val="BodyText"/>
              <w:rPr>
                <w:lang w:val="en-NZ"/>
              </w:rPr>
            </w:pPr>
            <w:r w:rsidRPr="00251215">
              <w:rPr>
                <w:rStyle w:val="SpecialBold"/>
              </w:rPr>
              <w:t>Required skills</w:t>
            </w:r>
          </w:p>
        </w:tc>
      </w:tr>
      <w:tr w:rsidTr="00B73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1215" w:rsidP="00251215">
            <w:pPr>
              <w:pStyle w:val="ListBullet"/>
            </w:pPr>
            <w:r w:rsidRPr="00251215">
              <w:t>research skills sufficient to:</w:t>
            </w:r>
          </w:p>
          <w:p w:rsidR="00000000" w:rsidRPr="00251215" w:rsidP="00251215">
            <w:pPr>
              <w:pStyle w:val="ListBullet2"/>
            </w:pPr>
            <w:r w:rsidRPr="00251215">
              <w:t>analyse markets</w:t>
            </w:r>
          </w:p>
          <w:p w:rsidR="00000000" w:rsidRPr="00251215" w:rsidP="00251215">
            <w:pPr>
              <w:pStyle w:val="ListBullet2"/>
            </w:pPr>
            <w:r w:rsidRPr="00251215">
              <w:t>assess promotional opportunities for listed works</w:t>
            </w:r>
          </w:p>
          <w:p w:rsidR="00000000" w:rsidRPr="00251215" w:rsidP="00251215">
            <w:pPr>
              <w:pStyle w:val="ListBullet2"/>
            </w:pPr>
            <w:r w:rsidRPr="00251215">
              <w:t>monitor industry developments affecting the licensing of music</w:t>
            </w:r>
          </w:p>
          <w:p w:rsidR="00000000" w:rsidRPr="00251215" w:rsidP="00251215">
            <w:pPr>
              <w:pStyle w:val="ListBullet"/>
            </w:pPr>
            <w:r w:rsidRPr="00251215">
              <w:t>literacy skills sufficient to interpret licensing contracts</w:t>
            </w:r>
          </w:p>
          <w:p w:rsidR="00000000" w:rsidRPr="00251215" w:rsidP="00251215">
            <w:pPr>
              <w:pStyle w:val="ListBullet"/>
            </w:pPr>
            <w:r w:rsidRPr="00251215">
              <w:t>numeracy skills sufficient to facilitate accurate royalty payments and records</w:t>
            </w:r>
          </w:p>
          <w:p w:rsidR="00000000" w:rsidRPr="00251215" w:rsidP="00251215">
            <w:pPr>
              <w:pStyle w:val="ListBullet"/>
            </w:pPr>
            <w:r w:rsidRPr="00251215">
              <w:t>com</w:t>
            </w:r>
            <w:r w:rsidRPr="00251215">
              <w:t>munication skills sufficient to negotiate licensing contracts and resolve disputes relating to licensing of listed works</w:t>
            </w:r>
          </w:p>
          <w:p w:rsidR="00000000" w:rsidRPr="00251215" w:rsidP="00251215">
            <w:pPr>
              <w:pStyle w:val="ListBullet"/>
            </w:pPr>
            <w:r w:rsidRPr="00251215">
              <w:t>initiative and enterprise skills in the context of:</w:t>
            </w:r>
          </w:p>
          <w:p w:rsidR="00000000" w:rsidRPr="00251215" w:rsidP="00251215">
            <w:pPr>
              <w:pStyle w:val="ListBullet2"/>
            </w:pPr>
            <w:r w:rsidRPr="00251215">
              <w:t>identifying commercial potential of listed works</w:t>
            </w:r>
          </w:p>
          <w:p w:rsidR="00000000" w:rsidRPr="00251215" w:rsidP="00251215">
            <w:pPr>
              <w:pStyle w:val="ListBullet2"/>
            </w:pPr>
            <w:r w:rsidRPr="00251215">
              <w:t xml:space="preserve">pitching material to prospective </w:t>
            </w:r>
            <w:r w:rsidRPr="00251215">
              <w:t>clients</w:t>
            </w:r>
          </w:p>
          <w:p w:rsidR="00000000" w:rsidRPr="00251215" w:rsidP="00251215">
            <w:pPr>
              <w:pStyle w:val="ListBullet"/>
            </w:pPr>
            <w:r w:rsidRPr="00251215">
              <w:t>learning skills sufficient to maintain currency of music licensing knowledge</w:t>
            </w:r>
          </w:p>
          <w:p w:rsidR="00000000" w:rsidRPr="00251215" w:rsidP="00251215">
            <w:pPr>
              <w:pStyle w:val="ListBullet"/>
            </w:pPr>
            <w:r w:rsidRPr="00251215">
              <w:t>planning and organisational skills sufficient toplan effective promotional strategies</w:t>
            </w:r>
          </w:p>
          <w:p w:rsidR="00000000" w:rsidRPr="00251215" w:rsidP="00251215">
            <w:pPr>
              <w:pStyle w:val="ListBullet"/>
            </w:pPr>
            <w:r w:rsidRPr="00251215">
              <w:t>self-management skills sufficient to set priorities to achieve planned outcomes</w:t>
            </w:r>
          </w:p>
          <w:p w:rsidR="00000000" w:rsidRPr="00251215" w:rsidP="00251215">
            <w:pPr>
              <w:pStyle w:val="ListBullet"/>
            </w:pPr>
            <w:r w:rsidRPr="00251215">
              <w:t>team</w:t>
            </w:r>
            <w:r w:rsidRPr="00251215">
              <w:t>work skills sufficient to work constructively with users of listed works and originators of works</w:t>
            </w:r>
          </w:p>
          <w:p w:rsidR="00000000" w:rsidP="00251215">
            <w:pPr>
              <w:pStyle w:val="ListBullet"/>
              <w:rPr>
                <w:lang w:val="en-NZ"/>
              </w:rPr>
            </w:pPr>
            <w:r w:rsidRPr="00251215">
              <w:t>technical skills sufficient to use online copyright licensing software</w:t>
            </w:r>
          </w:p>
        </w:tc>
      </w:tr>
      <w:tr w:rsidTr="00B73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1215">
            <w:pPr>
              <w:pStyle w:val="BodyText"/>
              <w:rPr>
                <w:lang w:val="en-NZ"/>
              </w:rPr>
            </w:pPr>
            <w:r w:rsidRPr="00251215">
              <w:rPr>
                <w:rStyle w:val="SpecialBold"/>
              </w:rPr>
              <w:t>Required knowledge</w:t>
            </w:r>
          </w:p>
        </w:tc>
      </w:tr>
      <w:tr w:rsidTr="00B73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1215" w:rsidP="00251215">
            <w:pPr>
              <w:pStyle w:val="ListBullet"/>
            </w:pPr>
            <w:r w:rsidRPr="00251215">
              <w:t>copyright legislation as it relates to licensing, publishing, rights and royalties:</w:t>
            </w:r>
          </w:p>
          <w:p w:rsidR="00000000" w:rsidRPr="00251215" w:rsidP="00251215">
            <w:pPr>
              <w:pStyle w:val="ListBullet2"/>
            </w:pPr>
            <w:r w:rsidRPr="00251215">
              <w:t>Copyright Act 1968</w:t>
            </w:r>
          </w:p>
          <w:p w:rsidR="00000000" w:rsidRPr="00251215" w:rsidP="00251215">
            <w:pPr>
              <w:pStyle w:val="ListBullet2"/>
            </w:pPr>
            <w:r w:rsidRPr="00251215">
              <w:t>Copyright Amendment (Digital Agenda) Act 2000</w:t>
            </w:r>
          </w:p>
          <w:p w:rsidR="00000000" w:rsidRPr="00251215" w:rsidP="00251215">
            <w:pPr>
              <w:pStyle w:val="ListBullet"/>
            </w:pPr>
            <w:r w:rsidRPr="00251215">
              <w:t>differences between:</w:t>
            </w:r>
          </w:p>
          <w:p w:rsidR="00000000" w:rsidRPr="00251215" w:rsidP="00251215">
            <w:pPr>
              <w:pStyle w:val="ListBullet2"/>
            </w:pPr>
            <w:r w:rsidRPr="00251215">
              <w:t>assignment and licensing of copyright</w:t>
            </w:r>
          </w:p>
          <w:p w:rsidR="00000000" w:rsidRPr="00251215" w:rsidP="00251215">
            <w:pPr>
              <w:pStyle w:val="ListBullet2"/>
            </w:pPr>
            <w:r w:rsidRPr="00251215">
              <w:t>copyright for composition, sound recordings and published editions</w:t>
            </w:r>
          </w:p>
          <w:p w:rsidR="00000000" w:rsidRPr="00251215" w:rsidP="00251215">
            <w:pPr>
              <w:pStyle w:val="ListBullet2"/>
            </w:pPr>
            <w:r w:rsidRPr="00251215">
              <w:t>mechanical, performing and synchronisation rights</w:t>
            </w:r>
          </w:p>
          <w:p w:rsidR="00000000" w:rsidRPr="00251215" w:rsidP="00251215">
            <w:pPr>
              <w:pStyle w:val="ListBullet"/>
            </w:pPr>
            <w:r w:rsidRPr="00251215">
              <w:t>revenue structures in the music industry</w:t>
            </w:r>
          </w:p>
          <w:p w:rsidR="00000000" w:rsidRPr="00251215" w:rsidP="00251215">
            <w:pPr>
              <w:pStyle w:val="ListBullet"/>
            </w:pPr>
            <w:r w:rsidRPr="00251215">
              <w:t>rights and obligations of publishers and originators of works</w:t>
            </w:r>
          </w:p>
          <w:p w:rsidR="00000000" w:rsidRPr="00251215" w:rsidP="00251215">
            <w:pPr>
              <w:pStyle w:val="ListBullet"/>
            </w:pPr>
            <w:r w:rsidRPr="00251215">
              <w:t xml:space="preserve">role and functions of national and </w:t>
            </w:r>
            <w:r w:rsidRPr="00251215">
              <w:t>international music industry associations, such as:</w:t>
            </w:r>
          </w:p>
          <w:p w:rsidR="00000000" w:rsidRPr="00251215" w:rsidP="00251215">
            <w:pPr>
              <w:pStyle w:val="ListBullet2"/>
            </w:pPr>
            <w:r w:rsidRPr="00251215">
              <w:t>copyright</w:t>
            </w:r>
          </w:p>
          <w:p w:rsidR="00000000" w:rsidRPr="00251215" w:rsidP="00251215">
            <w:pPr>
              <w:pStyle w:val="ListBullet2"/>
            </w:pPr>
            <w:r w:rsidRPr="00251215">
              <w:t>collection</w:t>
            </w:r>
          </w:p>
          <w:p w:rsidR="00000000" w:rsidRPr="00251215" w:rsidP="00251215">
            <w:pPr>
              <w:pStyle w:val="ListBullet2"/>
            </w:pPr>
            <w:r w:rsidRPr="00251215">
              <w:t>performing/mechanical rights</w:t>
            </w:r>
          </w:p>
          <w:p w:rsidR="00000000" w:rsidRPr="00251215" w:rsidP="00251215">
            <w:pPr>
              <w:pStyle w:val="ListBullet2"/>
            </w:pPr>
            <w:r w:rsidRPr="00251215">
              <w:t>publishing</w:t>
            </w:r>
          </w:p>
          <w:p w:rsidR="00000000" w:rsidRPr="00251215" w:rsidP="00251215">
            <w:pPr>
              <w:pStyle w:val="ListBullet"/>
            </w:pPr>
            <w:r w:rsidRPr="00251215">
              <w:t>routine recordkeeping procedures</w:t>
            </w:r>
          </w:p>
          <w:p w:rsidR="00000000" w:rsidRPr="00251215" w:rsidP="00251215">
            <w:pPr>
              <w:pStyle w:val="ListBullet"/>
            </w:pPr>
            <w:r w:rsidRPr="00251215">
              <w:t>typical features of and terminology used inlicensing contracts</w:t>
            </w:r>
          </w:p>
        </w:tc>
      </w:tr>
    </w:tbl>
    <w:p w:rsidR="00000000" w:rsidRPr="00251215" w:rsidP="00251215">
      <w:pPr>
        <w:pStyle w:val="BodyText"/>
      </w:pPr>
    </w:p>
    <w:p w:rsidR="00000000" w:rsidRPr="00251215" w:rsidP="00251215">
      <w:pPr>
        <w:pStyle w:val="AllowPageBreak"/>
      </w:pPr>
    </w:p>
    <w:p w:rsidR="00000000" w:rsidRPr="00251215" w:rsidP="00251215">
      <w:pPr>
        <w:pStyle w:val="Heading1"/>
      </w:pPr>
      <w:bookmarkStart w:id="10" w:name="O_380778"/>
      <w:bookmarkEnd w:id="10"/>
      <w:r w:rsidRPr="00251215">
        <w:t>Evidence Guide</w:t>
      </w:r>
    </w:p>
    <w:tbl>
      <w:tblPr>
        <w:tblW w:w="9570" w:type="dxa"/>
        <w:tblLayout w:type="fixed"/>
        <w:tblCellMar>
          <w:left w:w="62" w:type="dxa"/>
          <w:right w:w="62" w:type="dxa"/>
        </w:tblCellMar>
        <w:tblLook w:val="0000"/>
      </w:tblPr>
      <w:tblGrid>
        <w:gridCol w:w="3908"/>
        <w:gridCol w:w="5662"/>
      </w:tblGrid>
      <w:tr w:rsidTr="00B732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Emphasis"/>
              </w:rPr>
              <w:t>The Evidence Guide provides advice on assessment and must be read in conjunction with the performance criteria, required skills and knowledge, range statement and the Assessment Guidelines for the Training Package.</w:t>
            </w:r>
          </w:p>
        </w:tc>
      </w:tr>
      <w:tr w:rsidTr="00B73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p>
        </w:tc>
      </w:tr>
      <w:tr w:rsidTr="00B73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SpecialBold"/>
              </w:rPr>
              <w:t>C</w:t>
            </w:r>
            <w:r w:rsidRPr="00251215">
              <w:rPr>
                <w:rStyle w:val="SpecialBold"/>
              </w:rPr>
              <w:t>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BodyText"/>
            </w:pPr>
            <w:r w:rsidRPr="00251215">
              <w:t>Evidence of the ability to:</w:t>
            </w:r>
          </w:p>
          <w:p w:rsidR="00000000" w:rsidRPr="00251215" w:rsidP="00251215">
            <w:pPr>
              <w:pStyle w:val="ListBullet"/>
            </w:pPr>
            <w:r w:rsidRPr="00251215">
              <w:t>administer and negotiate licensing contracts</w:t>
            </w:r>
          </w:p>
          <w:p w:rsidR="00000000" w:rsidRPr="00251215" w:rsidP="00251215">
            <w:pPr>
              <w:pStyle w:val="ListBullet"/>
            </w:pPr>
            <w:r w:rsidRPr="00251215">
              <w:t>administer and negotiate assignment of rights contracts</w:t>
            </w:r>
          </w:p>
          <w:p w:rsidR="00000000" w:rsidP="00251215">
            <w:pPr>
              <w:pStyle w:val="ListBullet"/>
              <w:rPr>
                <w:lang w:val="en-NZ"/>
              </w:rPr>
            </w:pPr>
            <w:r w:rsidRPr="00251215">
              <w:t xml:space="preserve">promote listed works to potential </w:t>
            </w:r>
            <w:r w:rsidRPr="00251215">
              <w:t>clients.</w:t>
            </w:r>
          </w:p>
        </w:tc>
      </w:tr>
      <w:tr w:rsidTr="00B73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BodyText"/>
            </w:pPr>
            <w:r w:rsidRPr="00251215">
              <w:t>Assessment must ensure:</w:t>
            </w:r>
          </w:p>
          <w:p w:rsidR="00000000" w:rsidRPr="00251215" w:rsidP="00251215">
            <w:pPr>
              <w:pStyle w:val="ListBullet"/>
            </w:pPr>
            <w:r w:rsidRPr="00251215">
              <w:t>access to copyright and licensing legislation, including the Copyright Act 1968 and Copyright Amendment (Digital Agenda) Act 2000</w:t>
            </w:r>
          </w:p>
          <w:p w:rsidR="00000000" w:rsidRPr="00251215" w:rsidP="00251215">
            <w:pPr>
              <w:pStyle w:val="ListBullet"/>
            </w:pPr>
            <w:r w:rsidRPr="00251215">
              <w:t>access to copyright licensing software</w:t>
            </w:r>
          </w:p>
          <w:p w:rsidR="00000000" w:rsidRPr="00251215" w:rsidP="00251215">
            <w:pPr>
              <w:pStyle w:val="ListBullet"/>
            </w:pPr>
            <w:r w:rsidRPr="00251215">
              <w:t>acc</w:t>
            </w:r>
            <w:r w:rsidRPr="00251215">
              <w:t>ess to industry association agreements</w:t>
            </w:r>
          </w:p>
          <w:p w:rsidR="00000000" w:rsidRPr="00251215" w:rsidP="00251215">
            <w:pPr>
              <w:pStyle w:val="ListBullet"/>
            </w:pPr>
            <w:r w:rsidRPr="00251215">
              <w:t>access to a list of works that could be licensed</w:t>
            </w:r>
          </w:p>
          <w:p w:rsidR="00000000" w:rsidP="00251215">
            <w:pPr>
              <w:pStyle w:val="ListBullet"/>
              <w:rPr>
                <w:lang w:val="en-NZ"/>
              </w:rPr>
            </w:pPr>
            <w:r w:rsidRPr="00251215">
              <w:t>use of culturally appropriate processes, and techniques appropriate to the language and literacy capacity of the candidate and the work being performed.</w:t>
            </w:r>
          </w:p>
        </w:tc>
      </w:tr>
      <w:tr w:rsidTr="00B73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BodyText"/>
            </w:pPr>
            <w:r w:rsidRPr="00251215">
              <w:t xml:space="preserve">The following assessment methods are appropriate for this unit: </w:t>
            </w:r>
          </w:p>
          <w:p w:rsidR="00000000" w:rsidRPr="00251215" w:rsidP="00251215">
            <w:pPr>
              <w:pStyle w:val="ListBullet"/>
            </w:pPr>
            <w:r w:rsidRPr="00251215">
              <w:t>case studies to assess ability to negotiate licensing contracts</w:t>
            </w:r>
          </w:p>
          <w:p w:rsidR="00000000" w:rsidRPr="00251215" w:rsidP="00251215">
            <w:pPr>
              <w:pStyle w:val="ListBullet"/>
            </w:pPr>
            <w:r w:rsidRPr="00251215">
              <w:t>direct observation of candidate managing, promoting and negotiating licensing of works</w:t>
            </w:r>
          </w:p>
          <w:p w:rsidR="00000000" w:rsidP="00251215">
            <w:pPr>
              <w:pStyle w:val="ListBullet"/>
              <w:rPr>
                <w:lang w:val="en-NZ"/>
              </w:rPr>
            </w:pPr>
            <w:r w:rsidRPr="00251215">
              <w:t>written or oral qu</w:t>
            </w:r>
            <w:r w:rsidRPr="00251215">
              <w:t>estioning to assess knowledge of the legal and economic aspects of promoting the used of listed works.</w:t>
            </w:r>
          </w:p>
        </w:tc>
      </w:tr>
      <w:tr w:rsidTr="00B732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BodyText"/>
            </w:pPr>
            <w:r w:rsidRPr="00251215">
              <w:t>Holistic assessment with other units relevant to the industry sector, workplace and job role is recommended.</w:t>
            </w:r>
          </w:p>
        </w:tc>
      </w:tr>
    </w:tbl>
    <w:p w:rsidR="00000000" w:rsidRPr="00251215" w:rsidP="00251215">
      <w:pPr>
        <w:pStyle w:val="BodyText"/>
      </w:pPr>
    </w:p>
    <w:p w:rsidR="00000000" w:rsidRPr="00251215" w:rsidP="00251215">
      <w:pPr>
        <w:pStyle w:val="AllowPageBreak"/>
      </w:pPr>
    </w:p>
    <w:p w:rsidR="00000000" w:rsidRPr="00251215" w:rsidP="00251215">
      <w:pPr>
        <w:pStyle w:val="Heading1"/>
      </w:pPr>
      <w:bookmarkStart w:id="11" w:name="O_380773"/>
      <w:bookmarkEnd w:id="11"/>
      <w:r w:rsidRPr="00251215">
        <w:t>Range Statement</w:t>
      </w:r>
    </w:p>
    <w:tbl>
      <w:tblPr>
        <w:tblW w:w="0" w:type="auto"/>
        <w:tblLayout w:type="fixed"/>
        <w:tblCellMar>
          <w:left w:w="62" w:type="dxa"/>
          <w:right w:w="62" w:type="dxa"/>
        </w:tblCellMar>
        <w:tblLook w:val="0000"/>
      </w:tblPr>
      <w:tblGrid>
        <w:gridCol w:w="3407"/>
        <w:gridCol w:w="5115"/>
      </w:tblGrid>
      <w:tr w:rsidTr="00B732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Emphasis"/>
              </w:rPr>
              <w:t>The range statement relates to the unit of competency as a whole. It allows for different work environments and situations that may affect performance. Bold italicised wording, if used in the performanc</w:t>
            </w:r>
            <w:r w:rsidRPr="00251215">
              <w:rPr>
                <w:rStyle w:val="Emphasis"/>
              </w:rPr>
              <w:t>e criteria, is detailed below. Essential operating conditions that may be present with training and assessment (depending on the work situation, needs of the candidate, accessibility of the item, and local industry and regional contexts) may also be includ</w:t>
            </w:r>
            <w:r w:rsidRPr="00251215">
              <w:rPr>
                <w:rStyle w:val="Emphasis"/>
              </w:rPr>
              <w:t>ed.</w:t>
            </w:r>
          </w:p>
        </w:tc>
      </w:tr>
      <w:tr w:rsidTr="00B732F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BoldandItalics"/>
              </w:rPr>
              <w:t>Strategies</w:t>
            </w:r>
            <w:r w:rsidRPr="00251215">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Bullet"/>
            </w:pPr>
            <w:r w:rsidRPr="00251215">
              <w:t>persuading artists and record companies to record listed works</w:t>
            </w:r>
          </w:p>
          <w:p w:rsidR="00000000" w:rsidRPr="00251215" w:rsidP="00251215">
            <w:pPr>
              <w:pStyle w:val="ListBullet"/>
            </w:pPr>
            <w:r w:rsidRPr="00251215">
              <w:t>persuading film and television production companies to commission new works from listed originators or use listed works</w:t>
            </w:r>
          </w:p>
          <w:p w:rsidR="00000000" w:rsidRPr="00251215" w:rsidP="00251215">
            <w:pPr>
              <w:pStyle w:val="ListBullet"/>
            </w:pPr>
            <w:r w:rsidRPr="00251215">
              <w:t>promoting listed works to advertising agen</w:t>
            </w:r>
            <w:r w:rsidRPr="00251215">
              <w:t>cies for use in commercials</w:t>
            </w:r>
          </w:p>
          <w:p w:rsidR="00000000" w:rsidP="00251215">
            <w:pPr>
              <w:pStyle w:val="ListBullet"/>
              <w:rPr>
                <w:lang w:val="en-NZ"/>
              </w:rPr>
            </w:pPr>
            <w:r w:rsidRPr="00251215">
              <w:t>promoting reputation of listed originators.</w:t>
            </w:r>
          </w:p>
        </w:tc>
      </w:tr>
      <w:tr w:rsidTr="00B732F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BoldandItalics"/>
              </w:rPr>
              <w:t>Works</w:t>
            </w:r>
            <w:r w:rsidRPr="00251215">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Bullet"/>
            </w:pPr>
            <w:r w:rsidRPr="00251215">
              <w:t>recorded music:</w:t>
            </w:r>
          </w:p>
          <w:p w:rsidR="00000000" w:rsidRPr="00251215" w:rsidP="00251215">
            <w:pPr>
              <w:pStyle w:val="ListBullet2"/>
            </w:pPr>
            <w:r w:rsidRPr="00251215">
              <w:t>background music</w:t>
            </w:r>
          </w:p>
          <w:p w:rsidR="00000000" w:rsidRPr="00251215" w:rsidP="00251215">
            <w:pPr>
              <w:pStyle w:val="ListBullet2"/>
            </w:pPr>
            <w:r w:rsidRPr="00251215">
              <w:t>demonstration and audition recordings</w:t>
            </w:r>
          </w:p>
          <w:p w:rsidR="00000000" w:rsidRPr="00251215" w:rsidP="00251215">
            <w:pPr>
              <w:pStyle w:val="ListBullet2"/>
            </w:pPr>
            <w:r w:rsidRPr="00251215">
              <w:t>digital downloads and mobile phone ringtones</w:t>
            </w:r>
          </w:p>
          <w:p w:rsidR="00000000" w:rsidRPr="00251215" w:rsidP="00251215">
            <w:pPr>
              <w:pStyle w:val="ListBullet2"/>
            </w:pPr>
            <w:r w:rsidRPr="00251215">
              <w:t>educational recordings</w:t>
            </w:r>
          </w:p>
          <w:p w:rsidR="00000000" w:rsidRPr="00251215" w:rsidP="00251215">
            <w:pPr>
              <w:pStyle w:val="ListBullet2"/>
            </w:pPr>
            <w:r w:rsidRPr="00251215">
              <w:t>original soundtrack material</w:t>
            </w:r>
          </w:p>
          <w:p w:rsidR="00000000" w:rsidRPr="00251215" w:rsidP="00251215">
            <w:pPr>
              <w:pStyle w:val="ListBullet2"/>
            </w:pPr>
            <w:r w:rsidRPr="00251215">
              <w:t>premiums</w:t>
            </w:r>
          </w:p>
          <w:p w:rsidR="00000000" w:rsidRPr="00251215" w:rsidP="00251215">
            <w:pPr>
              <w:pStyle w:val="ListBullet2"/>
            </w:pPr>
            <w:r w:rsidRPr="00251215">
              <w:t>prerecorded and released</w:t>
            </w:r>
          </w:p>
          <w:p w:rsidR="00000000" w:rsidRPr="00251215" w:rsidP="00251215">
            <w:pPr>
              <w:pStyle w:val="ListBullet2"/>
            </w:pPr>
            <w:r w:rsidRPr="00251215">
              <w:t>production music (library music)</w:t>
            </w:r>
          </w:p>
          <w:p w:rsidR="00000000" w:rsidRPr="00251215" w:rsidP="00251215">
            <w:pPr>
              <w:pStyle w:val="ListBullet2"/>
            </w:pPr>
            <w:r w:rsidRPr="00251215">
              <w:t>sound samples and sequences</w:t>
            </w:r>
          </w:p>
          <w:p w:rsidR="00000000" w:rsidP="00251215">
            <w:pPr>
              <w:pStyle w:val="ListBullet"/>
              <w:rPr>
                <w:lang w:val="en-NZ"/>
              </w:rPr>
            </w:pPr>
            <w:r w:rsidRPr="00251215">
              <w:t>sheet music.</w:t>
            </w:r>
          </w:p>
        </w:tc>
      </w:tr>
      <w:tr w:rsidTr="00B732F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BoldandItalics"/>
              </w:rPr>
              <w:t>Originators of works</w:t>
            </w:r>
            <w:r w:rsidRPr="00251215">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Bullet"/>
            </w:pPr>
            <w:r w:rsidRPr="00251215">
              <w:t>arrangers</w:t>
            </w:r>
          </w:p>
          <w:p w:rsidR="00000000" w:rsidRPr="00251215" w:rsidP="00251215">
            <w:pPr>
              <w:pStyle w:val="ListBullet"/>
            </w:pPr>
            <w:r w:rsidRPr="00251215">
              <w:t>composers</w:t>
            </w:r>
          </w:p>
          <w:p w:rsidR="00000000" w:rsidRPr="00251215" w:rsidP="00251215">
            <w:pPr>
              <w:pStyle w:val="ListBullet"/>
            </w:pPr>
            <w:r w:rsidRPr="00251215">
              <w:t>group collaborators</w:t>
            </w:r>
          </w:p>
          <w:p w:rsidR="00000000" w:rsidRPr="00251215" w:rsidP="00251215">
            <w:pPr>
              <w:pStyle w:val="ListBullet"/>
            </w:pPr>
            <w:r w:rsidRPr="00251215">
              <w:t>lyricists</w:t>
            </w:r>
          </w:p>
          <w:p w:rsidR="00000000" w:rsidRPr="00251215" w:rsidP="00251215">
            <w:pPr>
              <w:pStyle w:val="ListBullet"/>
            </w:pPr>
            <w:r w:rsidRPr="00251215">
              <w:t>performers</w:t>
            </w:r>
          </w:p>
          <w:p w:rsidR="00000000" w:rsidP="00251215">
            <w:pPr>
              <w:pStyle w:val="ListBullet"/>
              <w:rPr>
                <w:lang w:val="en-NZ"/>
              </w:rPr>
            </w:pPr>
            <w:r w:rsidRPr="00251215">
              <w:t>writers.</w:t>
            </w:r>
          </w:p>
        </w:tc>
      </w:tr>
      <w:tr w:rsidTr="00B732F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BoldandItalics"/>
              </w:rPr>
              <w:t>Sources</w:t>
            </w:r>
            <w:r w:rsidRPr="00251215">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Bullet"/>
            </w:pPr>
            <w:r w:rsidRPr="00251215">
              <w:t>industry associations:</w:t>
            </w:r>
          </w:p>
          <w:p w:rsidR="00000000" w:rsidRPr="00251215" w:rsidP="00251215">
            <w:pPr>
              <w:pStyle w:val="ListBullet2"/>
            </w:pPr>
            <w:r w:rsidRPr="00251215">
              <w:t>Australasian Music Publishers Association (AMPAL)</w:t>
            </w:r>
          </w:p>
          <w:p w:rsidR="00000000" w:rsidRPr="00251215" w:rsidP="00251215">
            <w:pPr>
              <w:pStyle w:val="ListBullet2"/>
            </w:pPr>
            <w:r w:rsidRPr="00251215">
              <w:t>Australasian Performing Rights Association (APRA)</w:t>
            </w:r>
          </w:p>
          <w:p w:rsidR="00000000" w:rsidRPr="00251215" w:rsidP="00251215">
            <w:pPr>
              <w:pStyle w:val="ListBullet2"/>
            </w:pPr>
            <w:r w:rsidRPr="00251215">
              <w:t>Australasian Mechanical Copyright Owners Society (AMCOS)</w:t>
            </w:r>
          </w:p>
          <w:p w:rsidR="00000000" w:rsidRPr="00251215" w:rsidP="00251215">
            <w:pPr>
              <w:pStyle w:val="ListBullet2"/>
            </w:pPr>
            <w:r w:rsidRPr="00251215">
              <w:t>Australian Recording Industry Association (ARIA)</w:t>
            </w:r>
          </w:p>
          <w:p w:rsidR="00000000" w:rsidRPr="00251215" w:rsidP="00251215">
            <w:pPr>
              <w:pStyle w:val="ListBullet"/>
            </w:pPr>
            <w:r w:rsidRPr="00251215">
              <w:t>advertising agencies</w:t>
            </w:r>
          </w:p>
          <w:p w:rsidR="00000000" w:rsidRPr="00251215" w:rsidP="00251215">
            <w:pPr>
              <w:pStyle w:val="ListBullet"/>
            </w:pPr>
            <w:r w:rsidRPr="00251215">
              <w:t>film and television production companies</w:t>
            </w:r>
          </w:p>
          <w:p w:rsidR="00000000" w:rsidRPr="00251215" w:rsidP="00251215">
            <w:pPr>
              <w:pStyle w:val="ListBullet"/>
            </w:pPr>
            <w:r w:rsidRPr="00251215">
              <w:t>record companies</w:t>
            </w:r>
          </w:p>
          <w:p w:rsidR="00000000" w:rsidRPr="00251215" w:rsidP="00251215">
            <w:pPr>
              <w:pStyle w:val="ListBullet"/>
            </w:pPr>
            <w:r w:rsidRPr="00251215">
              <w:t>electronic and print media providing:</w:t>
            </w:r>
          </w:p>
          <w:p w:rsidR="00000000" w:rsidRPr="00251215" w:rsidP="00251215">
            <w:pPr>
              <w:pStyle w:val="ListBullet2"/>
            </w:pPr>
            <w:r w:rsidRPr="00251215">
              <w:t>articles</w:t>
            </w:r>
          </w:p>
          <w:p w:rsidR="00000000" w:rsidRPr="00251215" w:rsidP="00251215">
            <w:pPr>
              <w:pStyle w:val="ListBullet2"/>
            </w:pPr>
            <w:r w:rsidRPr="00251215">
              <w:t>journals</w:t>
            </w:r>
          </w:p>
          <w:p w:rsidR="00000000" w:rsidRPr="00251215" w:rsidP="00251215">
            <w:pPr>
              <w:pStyle w:val="ListBullet2"/>
            </w:pPr>
            <w:r w:rsidRPr="00251215">
              <w:t>magazines</w:t>
            </w:r>
          </w:p>
          <w:p w:rsidR="00000000" w:rsidRPr="00251215" w:rsidP="00251215">
            <w:pPr>
              <w:pStyle w:val="ListBullet2"/>
            </w:pPr>
            <w:r w:rsidRPr="00251215">
              <w:t>news</w:t>
            </w:r>
          </w:p>
          <w:p w:rsidR="00000000" w:rsidRPr="00251215" w:rsidP="00251215">
            <w:pPr>
              <w:pStyle w:val="ListBullet2"/>
            </w:pPr>
            <w:r w:rsidRPr="00251215">
              <w:t>reviews</w:t>
            </w:r>
          </w:p>
          <w:p w:rsidR="00000000" w:rsidRPr="00251215" w:rsidP="00251215">
            <w:pPr>
              <w:pStyle w:val="ListBullet2"/>
            </w:pPr>
            <w:r w:rsidRPr="00251215">
              <w:t>subscriptions</w:t>
            </w:r>
          </w:p>
          <w:p w:rsidR="00000000" w:rsidRPr="00251215" w:rsidP="00251215">
            <w:pPr>
              <w:pStyle w:val="ListBullet"/>
            </w:pPr>
            <w:r w:rsidRPr="00251215">
              <w:t>industrial relations publications, such as:</w:t>
            </w:r>
          </w:p>
          <w:p w:rsidR="00000000" w:rsidRPr="00251215" w:rsidP="00251215">
            <w:pPr>
              <w:pStyle w:val="ListBullet2"/>
            </w:pPr>
            <w:r w:rsidRPr="00251215">
              <w:t>bulletins</w:t>
            </w:r>
          </w:p>
          <w:p w:rsidR="00000000" w:rsidRPr="00251215" w:rsidP="00251215">
            <w:pPr>
              <w:pStyle w:val="ListBullet2"/>
            </w:pPr>
            <w:r w:rsidRPr="00251215">
              <w:t>letters</w:t>
            </w:r>
          </w:p>
          <w:p w:rsidR="00000000" w:rsidRPr="00251215" w:rsidP="00251215">
            <w:pPr>
              <w:pStyle w:val="ListBullet2"/>
            </w:pPr>
            <w:r w:rsidRPr="00251215">
              <w:t>magazines</w:t>
            </w:r>
          </w:p>
          <w:p w:rsidR="00000000" w:rsidRPr="00251215" w:rsidP="00251215">
            <w:pPr>
              <w:pStyle w:val="ListBullet2"/>
            </w:pPr>
            <w:r w:rsidRPr="00251215">
              <w:t>newsletters</w:t>
            </w:r>
          </w:p>
          <w:p w:rsidR="00000000" w:rsidRPr="00251215" w:rsidP="00251215">
            <w:pPr>
              <w:pStyle w:val="ListBullet"/>
            </w:pPr>
            <w:r w:rsidRPr="00251215">
              <w:t>industry publications, such as:</w:t>
            </w:r>
          </w:p>
          <w:p w:rsidR="00000000" w:rsidRPr="00251215" w:rsidP="00251215">
            <w:pPr>
              <w:pStyle w:val="ListBullet2"/>
            </w:pPr>
            <w:r w:rsidRPr="00251215">
              <w:t>directories</w:t>
            </w:r>
          </w:p>
          <w:p w:rsidR="00000000" w:rsidRPr="00251215" w:rsidP="00251215">
            <w:pPr>
              <w:pStyle w:val="ListBullet2"/>
            </w:pPr>
            <w:r w:rsidRPr="00251215">
              <w:t>information sheets</w:t>
            </w:r>
          </w:p>
          <w:p w:rsidR="00000000" w:rsidRPr="00251215" w:rsidP="00251215">
            <w:pPr>
              <w:pStyle w:val="ListBullet2"/>
            </w:pPr>
            <w:r w:rsidRPr="00251215">
              <w:t>reference books</w:t>
            </w:r>
          </w:p>
          <w:p w:rsidR="00000000" w:rsidRPr="00251215" w:rsidP="00251215">
            <w:pPr>
              <w:pStyle w:val="ListBullet2"/>
            </w:pPr>
            <w:r w:rsidRPr="00251215">
              <w:t>technical publications</w:t>
            </w:r>
          </w:p>
          <w:p w:rsidR="00000000" w:rsidRPr="00251215" w:rsidP="00251215">
            <w:pPr>
              <w:pStyle w:val="ListBullet"/>
            </w:pPr>
            <w:r w:rsidRPr="00251215">
              <w:t>internet</w:t>
            </w:r>
          </w:p>
          <w:p w:rsidR="00000000" w:rsidRPr="00251215" w:rsidP="00251215">
            <w:pPr>
              <w:pStyle w:val="ListBullet"/>
            </w:pPr>
            <w:r w:rsidRPr="00251215">
              <w:t>libraries and archives</w:t>
            </w:r>
          </w:p>
          <w:p w:rsidR="00000000" w:rsidRPr="00251215" w:rsidP="00251215">
            <w:pPr>
              <w:pStyle w:val="ListBullet"/>
            </w:pPr>
            <w:r w:rsidRPr="00251215">
              <w:t>retail outlets selling recorded music, including audiotapes, CDs, digital downloads, ringtones and vinyl</w:t>
            </w:r>
          </w:p>
          <w:p w:rsidR="00000000" w:rsidRPr="00251215" w:rsidP="00251215">
            <w:pPr>
              <w:pStyle w:val="ListBullet"/>
            </w:pPr>
            <w:r w:rsidRPr="00251215">
              <w:t>retail outlets selling sheet music</w:t>
            </w:r>
          </w:p>
          <w:p w:rsidR="00000000" w:rsidP="00251215">
            <w:pPr>
              <w:pStyle w:val="ListBullet"/>
              <w:rPr>
                <w:lang w:val="en-NZ"/>
              </w:rPr>
            </w:pPr>
            <w:r w:rsidRPr="00251215">
              <w:t>suppliers of products and services.</w:t>
            </w:r>
          </w:p>
        </w:tc>
      </w:tr>
      <w:tr w:rsidTr="00B732F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BoldandItalics"/>
              </w:rPr>
              <w:t>Users of publicly performed music</w:t>
            </w:r>
            <w:r w:rsidRPr="00251215">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Bullet"/>
            </w:pPr>
            <w:r w:rsidRPr="00251215">
              <w:t>screen production companies</w:t>
            </w:r>
          </w:p>
          <w:p w:rsidR="00000000" w:rsidRPr="00251215" w:rsidP="00251215">
            <w:pPr>
              <w:pStyle w:val="ListBullet"/>
            </w:pPr>
            <w:r w:rsidRPr="00251215">
              <w:t>advertising agencies</w:t>
            </w:r>
          </w:p>
          <w:p w:rsidR="00000000" w:rsidRPr="00251215" w:rsidP="00251215">
            <w:pPr>
              <w:pStyle w:val="ListBullet"/>
            </w:pPr>
            <w:r w:rsidRPr="00251215">
              <w:t>aerobic and fitness classes</w:t>
            </w:r>
          </w:p>
          <w:p w:rsidR="00000000" w:rsidRPr="00251215" w:rsidP="00251215">
            <w:pPr>
              <w:pStyle w:val="ListBullet"/>
            </w:pPr>
            <w:r w:rsidRPr="00251215">
              <w:t>background music users</w:t>
            </w:r>
          </w:p>
          <w:p w:rsidR="00000000" w:rsidRPr="00251215" w:rsidP="00251215">
            <w:pPr>
              <w:pStyle w:val="ListBullet"/>
            </w:pPr>
            <w:r w:rsidRPr="00251215">
              <w:t>churches</w:t>
            </w:r>
          </w:p>
          <w:p w:rsidR="00000000" w:rsidRPr="00251215" w:rsidP="00251215">
            <w:pPr>
              <w:pStyle w:val="ListBullet"/>
            </w:pPr>
            <w:r w:rsidRPr="00251215">
              <w:t>cinemas and film screenings</w:t>
            </w:r>
          </w:p>
          <w:p w:rsidR="00000000" w:rsidRPr="00251215" w:rsidP="00251215">
            <w:pPr>
              <w:pStyle w:val="ListBullet"/>
            </w:pPr>
            <w:r w:rsidRPr="00251215">
              <w:t>dance clubs, e.g. mobile discos</w:t>
            </w:r>
          </w:p>
          <w:p w:rsidR="00000000" w:rsidRPr="00251215" w:rsidP="00251215">
            <w:pPr>
              <w:pStyle w:val="ListBullet"/>
            </w:pPr>
            <w:r w:rsidRPr="00251215">
              <w:t>dance schools</w:t>
            </w:r>
          </w:p>
          <w:p w:rsidR="00000000" w:rsidRPr="00251215" w:rsidP="00251215">
            <w:pPr>
              <w:pStyle w:val="ListBullet"/>
            </w:pPr>
            <w:r w:rsidRPr="00251215">
              <w:t>digital service providers</w:t>
            </w:r>
          </w:p>
          <w:p w:rsidR="00000000" w:rsidRPr="00251215" w:rsidP="00251215">
            <w:pPr>
              <w:pStyle w:val="ListBullet"/>
            </w:pPr>
            <w:r w:rsidRPr="00251215">
              <w:t>electrical appliance shops</w:t>
            </w:r>
          </w:p>
          <w:p w:rsidR="00000000" w:rsidRPr="00251215" w:rsidP="00251215">
            <w:pPr>
              <w:pStyle w:val="ListBullet"/>
            </w:pPr>
            <w:r w:rsidRPr="00251215">
              <w:t>function centres and halls</w:t>
            </w:r>
          </w:p>
          <w:p w:rsidR="00000000" w:rsidRPr="00251215" w:rsidP="00251215">
            <w:pPr>
              <w:pStyle w:val="ListBullet"/>
            </w:pPr>
            <w:r w:rsidRPr="00251215">
              <w:t>jukebox and video jukebox operators</w:t>
            </w:r>
          </w:p>
          <w:p w:rsidR="00000000" w:rsidRPr="00251215" w:rsidP="00251215">
            <w:pPr>
              <w:pStyle w:val="ListBullet"/>
            </w:pPr>
            <w:r w:rsidRPr="00251215">
              <w:t>live music venues, e.g. clubs and hotels</w:t>
            </w:r>
          </w:p>
          <w:p w:rsidR="00000000" w:rsidRPr="00251215" w:rsidP="00251215">
            <w:pPr>
              <w:pStyle w:val="ListBullet"/>
            </w:pPr>
            <w:r w:rsidRPr="00251215">
              <w:t>public transport operators</w:t>
            </w:r>
          </w:p>
          <w:p w:rsidR="00000000" w:rsidRPr="00251215" w:rsidP="00251215">
            <w:pPr>
              <w:pStyle w:val="ListBullet"/>
            </w:pPr>
            <w:r w:rsidRPr="00251215">
              <w:t>radio stations, including:</w:t>
            </w:r>
          </w:p>
          <w:p w:rsidR="00000000" w:rsidRPr="00251215" w:rsidP="00251215">
            <w:pPr>
              <w:pStyle w:val="ListBullet2"/>
            </w:pPr>
            <w:r w:rsidRPr="00251215">
              <w:t>commercial</w:t>
            </w:r>
          </w:p>
          <w:p w:rsidR="00000000" w:rsidRPr="00251215" w:rsidP="00251215">
            <w:pPr>
              <w:pStyle w:val="ListBullet2"/>
            </w:pPr>
            <w:r w:rsidRPr="00251215">
              <w:t>community</w:t>
            </w:r>
          </w:p>
          <w:p w:rsidR="00000000" w:rsidRPr="00251215" w:rsidP="00251215">
            <w:pPr>
              <w:pStyle w:val="ListBullet2"/>
            </w:pPr>
            <w:r w:rsidRPr="00251215">
              <w:t>narrowcast</w:t>
            </w:r>
          </w:p>
          <w:p w:rsidR="00000000" w:rsidRPr="00251215" w:rsidP="00251215">
            <w:pPr>
              <w:pStyle w:val="ListBullet"/>
            </w:pPr>
            <w:r w:rsidRPr="00251215">
              <w:t>ringtone providers</w:t>
            </w:r>
          </w:p>
          <w:p w:rsidR="00000000" w:rsidRPr="00251215" w:rsidP="00251215">
            <w:pPr>
              <w:pStyle w:val="ListBullet"/>
            </w:pPr>
            <w:r w:rsidRPr="00251215">
              <w:t>schools</w:t>
            </w:r>
          </w:p>
          <w:p w:rsidR="00000000" w:rsidRPr="00251215" w:rsidP="00251215">
            <w:pPr>
              <w:pStyle w:val="ListBullet"/>
            </w:pPr>
            <w:r w:rsidRPr="00251215">
              <w:t>shopping centres and malls</w:t>
            </w:r>
          </w:p>
          <w:p w:rsidR="00000000" w:rsidRPr="00251215" w:rsidP="00251215">
            <w:pPr>
              <w:pStyle w:val="ListBullet"/>
            </w:pPr>
            <w:r w:rsidRPr="00251215">
              <w:t>sporting arenas and stadiums</w:t>
            </w:r>
          </w:p>
          <w:p w:rsidR="00000000" w:rsidRPr="00251215" w:rsidP="00251215">
            <w:pPr>
              <w:pStyle w:val="ListBullet"/>
            </w:pPr>
            <w:r w:rsidRPr="00251215">
              <w:t>television stations, including:</w:t>
            </w:r>
          </w:p>
          <w:p w:rsidR="00000000" w:rsidRPr="00251215" w:rsidP="00251215">
            <w:pPr>
              <w:pStyle w:val="ListBullet2"/>
            </w:pPr>
            <w:r w:rsidRPr="00251215">
              <w:t>public</w:t>
            </w:r>
          </w:p>
          <w:p w:rsidR="00000000" w:rsidRPr="00251215" w:rsidP="00251215">
            <w:pPr>
              <w:pStyle w:val="ListBullet2"/>
            </w:pPr>
            <w:r w:rsidRPr="00251215">
              <w:t>commercial</w:t>
            </w:r>
          </w:p>
          <w:p w:rsidR="00000000" w:rsidRPr="00251215" w:rsidP="00251215">
            <w:pPr>
              <w:pStyle w:val="ListBullet2"/>
            </w:pPr>
            <w:r w:rsidRPr="00251215">
              <w:t>community</w:t>
            </w:r>
          </w:p>
          <w:p w:rsidR="00000000" w:rsidRPr="00251215" w:rsidP="00251215">
            <w:pPr>
              <w:pStyle w:val="ListBullet2"/>
            </w:pPr>
            <w:r w:rsidRPr="00251215">
              <w:t>narrowcast</w:t>
            </w:r>
          </w:p>
          <w:p w:rsidR="00000000" w:rsidRPr="00251215" w:rsidP="00251215">
            <w:pPr>
              <w:pStyle w:val="ListBullet2"/>
            </w:pPr>
            <w:r w:rsidRPr="00251215">
              <w:t>subscription</w:t>
            </w:r>
          </w:p>
          <w:p w:rsidR="00000000" w:rsidP="00251215">
            <w:pPr>
              <w:pStyle w:val="ListBullet"/>
              <w:rPr>
                <w:lang w:val="en-NZ"/>
              </w:rPr>
            </w:pPr>
            <w:r w:rsidRPr="00251215">
              <w:t>webcasters.</w:t>
            </w:r>
          </w:p>
        </w:tc>
      </w:tr>
      <w:tr w:rsidTr="00B732F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BoldandItalics"/>
              </w:rPr>
              <w:t>Terms and conditions</w:t>
            </w:r>
            <w:r w:rsidRPr="00251215">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Bullet"/>
            </w:pPr>
            <w:r w:rsidRPr="00251215">
              <w:t>accounting</w:t>
            </w:r>
          </w:p>
          <w:p w:rsidR="00000000" w:rsidRPr="00251215" w:rsidP="00251215">
            <w:pPr>
              <w:pStyle w:val="ListBullet"/>
            </w:pPr>
            <w:r w:rsidRPr="00251215">
              <w:t>advances</w:t>
            </w:r>
          </w:p>
          <w:p w:rsidR="00000000" w:rsidRPr="00251215" w:rsidP="00251215">
            <w:pPr>
              <w:pStyle w:val="ListBullet"/>
            </w:pPr>
            <w:r w:rsidRPr="00251215">
              <w:t>creative control</w:t>
            </w:r>
          </w:p>
          <w:p w:rsidR="00000000" w:rsidRPr="00251215" w:rsidP="00251215">
            <w:pPr>
              <w:pStyle w:val="ListBullet"/>
            </w:pPr>
            <w:r w:rsidRPr="00251215">
              <w:t>credits</w:t>
            </w:r>
          </w:p>
          <w:p w:rsidR="00000000" w:rsidRPr="00251215" w:rsidP="00251215">
            <w:pPr>
              <w:pStyle w:val="ListBullet"/>
            </w:pPr>
            <w:r w:rsidRPr="00251215">
              <w:t>duration, e.g. term and retention</w:t>
            </w:r>
          </w:p>
          <w:p w:rsidR="00000000" w:rsidRPr="00251215" w:rsidP="00251215">
            <w:pPr>
              <w:pStyle w:val="ListBullet"/>
            </w:pPr>
            <w:r w:rsidRPr="00251215">
              <w:t>enforcement of rights</w:t>
            </w:r>
          </w:p>
          <w:p w:rsidR="00000000" w:rsidRPr="00251215" w:rsidP="00251215">
            <w:pPr>
              <w:pStyle w:val="ListBullet"/>
            </w:pPr>
            <w:r w:rsidRPr="00251215">
              <w:t>exclusive and non-exclusive rights</w:t>
            </w:r>
          </w:p>
          <w:p w:rsidR="00000000" w:rsidRPr="00251215" w:rsidP="00251215">
            <w:pPr>
              <w:pStyle w:val="ListBullet"/>
            </w:pPr>
            <w:r w:rsidRPr="00251215">
              <w:t>goods and services tax (GST)</w:t>
            </w:r>
          </w:p>
          <w:p w:rsidR="00000000" w:rsidRPr="00251215" w:rsidP="00251215">
            <w:pPr>
              <w:pStyle w:val="ListBullet"/>
            </w:pPr>
            <w:r w:rsidRPr="00251215">
              <w:t>independent advice</w:t>
            </w:r>
          </w:p>
          <w:p w:rsidR="00000000" w:rsidRPr="00251215" w:rsidP="00251215">
            <w:pPr>
              <w:pStyle w:val="ListBullet"/>
            </w:pPr>
            <w:r w:rsidRPr="00251215">
              <w:t>jurisdiction</w:t>
            </w:r>
          </w:p>
          <w:p w:rsidR="00000000" w:rsidRPr="00251215" w:rsidP="00251215">
            <w:pPr>
              <w:pStyle w:val="ListBullet"/>
            </w:pPr>
            <w:r w:rsidRPr="00251215">
              <w:t>notices</w:t>
            </w:r>
          </w:p>
          <w:p w:rsidR="00000000" w:rsidRPr="00251215" w:rsidP="00251215">
            <w:pPr>
              <w:pStyle w:val="ListBullet"/>
            </w:pPr>
            <w:r w:rsidRPr="00251215">
              <w:t>obligation to exploit</w:t>
            </w:r>
          </w:p>
          <w:p w:rsidR="00000000" w:rsidRPr="00251215" w:rsidP="00251215">
            <w:pPr>
              <w:pStyle w:val="ListBullet"/>
            </w:pPr>
            <w:r w:rsidRPr="00251215">
              <w:t>overseas income</w:t>
            </w:r>
          </w:p>
          <w:p w:rsidR="00000000" w:rsidRPr="00251215" w:rsidP="00251215">
            <w:pPr>
              <w:pStyle w:val="ListBullet"/>
            </w:pPr>
            <w:r w:rsidRPr="00251215">
              <w:t>productivity commitment</w:t>
            </w:r>
          </w:p>
          <w:p w:rsidR="00000000" w:rsidRPr="00251215" w:rsidP="00251215">
            <w:pPr>
              <w:pStyle w:val="ListBullet"/>
            </w:pPr>
            <w:r w:rsidRPr="00251215">
              <w:t>promises and warranties</w:t>
            </w:r>
          </w:p>
          <w:p w:rsidR="00000000" w:rsidRPr="00251215" w:rsidP="00251215">
            <w:pPr>
              <w:pStyle w:val="ListBullet"/>
            </w:pPr>
            <w:r w:rsidRPr="00251215">
              <w:t>recoupment</w:t>
            </w:r>
          </w:p>
          <w:p w:rsidR="00000000" w:rsidRPr="00251215" w:rsidP="00251215">
            <w:pPr>
              <w:pStyle w:val="ListBullet"/>
            </w:pPr>
            <w:r w:rsidRPr="00251215">
              <w:t>royalty splits:</w:t>
            </w:r>
          </w:p>
          <w:p w:rsidR="00000000" w:rsidRPr="00251215" w:rsidP="00251215">
            <w:pPr>
              <w:pStyle w:val="ListBullet2"/>
            </w:pPr>
            <w:r w:rsidRPr="00251215">
              <w:t>public performance/communication</w:t>
            </w:r>
          </w:p>
          <w:p w:rsidR="00000000" w:rsidRPr="00251215" w:rsidP="00251215">
            <w:pPr>
              <w:pStyle w:val="ListBullet2"/>
            </w:pPr>
            <w:r w:rsidRPr="00251215">
              <w:t>sheet music</w:t>
            </w:r>
          </w:p>
          <w:p w:rsidR="00000000" w:rsidRPr="00251215" w:rsidP="00251215">
            <w:pPr>
              <w:pStyle w:val="ListBullet2"/>
            </w:pPr>
            <w:r w:rsidRPr="00251215">
              <w:t>synchronisation and covers</w:t>
            </w:r>
          </w:p>
          <w:p w:rsidR="00000000" w:rsidRPr="00251215" w:rsidP="00251215">
            <w:pPr>
              <w:pStyle w:val="ListBullet"/>
            </w:pPr>
            <w:r w:rsidRPr="00251215">
              <w:t>schedule</w:t>
            </w:r>
          </w:p>
          <w:p w:rsidR="00000000" w:rsidRPr="00251215" w:rsidP="00251215">
            <w:pPr>
              <w:pStyle w:val="ListBullet"/>
            </w:pPr>
            <w:r w:rsidRPr="00251215">
              <w:t>special negotiations:</w:t>
            </w:r>
          </w:p>
          <w:p w:rsidR="00000000" w:rsidRPr="00251215" w:rsidP="00251215">
            <w:pPr>
              <w:pStyle w:val="ListBullet2"/>
            </w:pPr>
            <w:r w:rsidRPr="00251215">
              <w:t>distribution of fees for collaborative projects</w:t>
            </w:r>
          </w:p>
          <w:p w:rsidR="00000000" w:rsidRPr="00251215" w:rsidP="00251215">
            <w:pPr>
              <w:pStyle w:val="ListBullet2"/>
            </w:pPr>
            <w:r w:rsidRPr="00251215">
              <w:t>fees for translators</w:t>
            </w:r>
          </w:p>
          <w:p w:rsidR="00000000" w:rsidRPr="00251215" w:rsidP="00251215">
            <w:pPr>
              <w:pStyle w:val="ListBullet2"/>
            </w:pPr>
            <w:r w:rsidRPr="00251215">
              <w:t>payment policies for producers, additional writers or accidental co-writers</w:t>
            </w:r>
          </w:p>
          <w:p w:rsidR="00000000" w:rsidRPr="00251215" w:rsidP="00251215">
            <w:pPr>
              <w:pStyle w:val="ListBullet2"/>
            </w:pPr>
            <w:r w:rsidRPr="00251215">
              <w:t>proportion of fees for music arrangements shared between originator and arranger</w:t>
            </w:r>
          </w:p>
          <w:p w:rsidR="00000000" w:rsidRPr="00251215" w:rsidP="00251215">
            <w:pPr>
              <w:pStyle w:val="ListBullet2"/>
            </w:pPr>
            <w:r w:rsidRPr="00251215">
              <w:t>whether payment should be a sp</w:t>
            </w:r>
            <w:r w:rsidRPr="00251215">
              <w:t>lit with the originator on royalty payment as opposed to one-off fee for service</w:t>
            </w:r>
          </w:p>
          <w:p w:rsidR="00000000" w:rsidRPr="00251215" w:rsidP="00251215">
            <w:pPr>
              <w:pStyle w:val="ListBullet"/>
            </w:pPr>
            <w:r w:rsidRPr="00251215">
              <w:t>termination</w:t>
            </w:r>
          </w:p>
          <w:p w:rsidR="00000000" w:rsidP="00251215">
            <w:pPr>
              <w:pStyle w:val="ListBullet"/>
              <w:rPr>
                <w:lang w:val="en-NZ"/>
              </w:rPr>
            </w:pPr>
            <w:r w:rsidRPr="00251215">
              <w:t>territory.</w:t>
            </w:r>
          </w:p>
        </w:tc>
      </w:tr>
      <w:tr w:rsidTr="00B732F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BoldandItalics"/>
              </w:rPr>
              <w:t>Licensing contract</w:t>
            </w:r>
            <w:r w:rsidRPr="00251215">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Bullet"/>
            </w:pPr>
            <w:r w:rsidRPr="00251215">
              <w:t>mechanical</w:t>
            </w:r>
          </w:p>
          <w:p w:rsidR="00000000" w:rsidRPr="00251215" w:rsidP="00251215">
            <w:pPr>
              <w:pStyle w:val="ListBullet"/>
            </w:pPr>
            <w:r w:rsidRPr="00251215">
              <w:t>public performance or broadcast</w:t>
            </w:r>
          </w:p>
          <w:p w:rsidR="00000000" w:rsidRPr="00251215" w:rsidP="00251215">
            <w:pPr>
              <w:pStyle w:val="ListBullet"/>
            </w:pPr>
            <w:r w:rsidRPr="00251215">
              <w:t>sheet music</w:t>
            </w:r>
          </w:p>
          <w:p w:rsidR="00000000" w:rsidRPr="00251215" w:rsidP="00251215">
            <w:pPr>
              <w:pStyle w:val="ListBullet"/>
            </w:pPr>
            <w:r w:rsidRPr="00251215">
              <w:t>sundry</w:t>
            </w:r>
          </w:p>
          <w:p w:rsidR="00000000" w:rsidRPr="00251215" w:rsidP="00251215">
            <w:pPr>
              <w:pStyle w:val="ListBullet"/>
            </w:pPr>
            <w:r w:rsidRPr="00251215">
              <w:t>synchronisation</w:t>
            </w:r>
          </w:p>
          <w:p w:rsidR="00000000" w:rsidP="00251215">
            <w:pPr>
              <w:pStyle w:val="ListBullet"/>
              <w:rPr>
                <w:lang w:val="en-NZ"/>
              </w:rPr>
            </w:pPr>
            <w:r w:rsidRPr="00251215">
              <w:t>a combination of the above.</w:t>
            </w:r>
          </w:p>
        </w:tc>
      </w:tr>
      <w:tr w:rsidTr="00B732F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BoldandItalics"/>
              </w:rPr>
              <w:t>Assignment of rights</w:t>
            </w:r>
            <w:r w:rsidRPr="00251215">
              <w:t xml:space="preserve"> involves:</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Bullet"/>
            </w:pPr>
            <w:r w:rsidRPr="00251215">
              <w:t>copyright owner or authorised person signing an agreement that transfers or sells one or more rights in the copyright owner's work to another entity</w:t>
            </w:r>
          </w:p>
          <w:p w:rsidR="00000000" w:rsidP="00251215">
            <w:pPr>
              <w:pStyle w:val="ListBullet"/>
              <w:rPr>
                <w:lang w:val="en-NZ"/>
              </w:rPr>
            </w:pPr>
            <w:r w:rsidRPr="00251215">
              <w:t>specifying the terms under which the rights are assigned.</w:t>
            </w:r>
          </w:p>
        </w:tc>
      </w:tr>
      <w:tr w:rsidTr="00B732F8">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215">
            <w:pPr>
              <w:pStyle w:val="BodyText"/>
              <w:rPr>
                <w:lang w:val="en-NZ"/>
              </w:rPr>
            </w:pPr>
            <w:r w:rsidRPr="00251215">
              <w:rPr>
                <w:rStyle w:val="BoldandItalics"/>
              </w:rPr>
              <w:t>Licensing docume</w:t>
            </w:r>
            <w:r w:rsidRPr="00251215">
              <w:rPr>
                <w:rStyle w:val="BoldandItalics"/>
              </w:rPr>
              <w:t>ntation</w:t>
            </w:r>
            <w:r w:rsidRPr="00251215">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215" w:rsidP="00251215">
            <w:pPr>
              <w:pStyle w:val="ListBullet"/>
            </w:pPr>
            <w:r w:rsidRPr="00251215">
              <w:t>broadcast reports</w:t>
            </w:r>
          </w:p>
          <w:p w:rsidR="00000000" w:rsidRPr="00251215" w:rsidP="00251215">
            <w:pPr>
              <w:pStyle w:val="ListBullet"/>
            </w:pPr>
            <w:r w:rsidRPr="00251215">
              <w:t>collection agency reporting and return forms</w:t>
            </w:r>
          </w:p>
          <w:p w:rsidR="00000000" w:rsidRPr="00251215" w:rsidP="00251215">
            <w:pPr>
              <w:pStyle w:val="ListBullet"/>
            </w:pPr>
            <w:r w:rsidRPr="00251215">
              <w:t>copyright records</w:t>
            </w:r>
          </w:p>
          <w:p w:rsidR="00000000" w:rsidRPr="00251215" w:rsidP="00251215">
            <w:pPr>
              <w:pStyle w:val="ListBullet"/>
            </w:pPr>
            <w:r w:rsidRPr="00251215">
              <w:t>distribution files</w:t>
            </w:r>
          </w:p>
          <w:p w:rsidR="00000000" w:rsidRPr="00251215" w:rsidP="00251215">
            <w:pPr>
              <w:pStyle w:val="ListBullet"/>
            </w:pPr>
            <w:r w:rsidRPr="00251215">
              <w:t>prescribed notices</w:t>
            </w:r>
          </w:p>
          <w:p w:rsidR="00000000" w:rsidRPr="00251215" w:rsidP="00251215">
            <w:pPr>
              <w:pStyle w:val="ListBullet"/>
            </w:pPr>
            <w:r w:rsidRPr="00251215">
              <w:t>sales records and reports.</w:t>
            </w:r>
          </w:p>
        </w:tc>
      </w:tr>
    </w:tbl>
    <w:p w:rsidR="00B732F8" w:rsidP="00251215">
      <w:pPr>
        <w:pStyle w:val="BodyText"/>
      </w:pPr>
    </w:p>
    <w:p w:rsidR="00B732F8" w:rsidP="00251215">
      <w:pPr>
        <w:pStyle w:val="BodyText"/>
      </w:pPr>
    </w:p>
    <w:p w:rsidR="00000000" w:rsidRPr="00251215" w:rsidP="00251215">
      <w:pPr>
        <w:pStyle w:val="Heading1"/>
      </w:pPr>
      <w:bookmarkStart w:id="12" w:name="O_380770"/>
      <w:bookmarkEnd w:id="12"/>
      <w:r w:rsidRPr="00251215">
        <w:t>Unit Sector(s)</w:t>
      </w:r>
    </w:p>
    <w:p w:rsidR="00000000" w:rsidRPr="00251215" w:rsidP="00251215">
      <w:pPr>
        <w:pStyle w:val="BodyText"/>
      </w:pPr>
      <w:r w:rsidRPr="00251215">
        <w:t>Management and leadership - management</w:t>
      </w:r>
    </w:p>
    <w:p w:rsidR="00000000" w:rsidRPr="00251215" w:rsidP="00251215"/>
    <w:sectPr w:rsidSect="002512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2F8" w:rsidP="00B73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F8" w:rsidP="00251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32F8" w:rsidP="002512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32F8" w:rsidP="002512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2F8" w:rsidP="00B732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F8" w:rsidP="00251215">
    <w:pPr>
      <w:pStyle w:val="Header"/>
      <w:framePr w:wrap="around"/>
    </w:pPr>
    <w:r>
      <w:fldChar w:fldCharType="begin"/>
    </w:r>
    <w:r>
      <w:instrText xml:space="preserve"> TITLE   \* MERGEFORMAT </w:instrText>
    </w:r>
    <w:r>
      <w:fldChar w:fldCharType="separate"/>
    </w:r>
    <w:r>
      <w:t>CUSMGT403A Manage licensing of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32F8" w:rsidP="002512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ED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C4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80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2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1215"/>
    <w:pPr>
      <w:spacing w:before="360" w:after="60"/>
      <w:outlineLvl w:val="0"/>
    </w:pPr>
    <w:rPr>
      <w:sz w:val="32"/>
    </w:rPr>
  </w:style>
  <w:style w:type="paragraph" w:styleId="Heading2">
    <w:name w:val="heading 2"/>
    <w:basedOn w:val="HeadingBase"/>
    <w:next w:val="BodyText"/>
    <w:link w:val="Heading2Char"/>
    <w:qFormat/>
    <w:rsid w:val="00251215"/>
    <w:pPr>
      <w:keepLines/>
      <w:spacing w:before="240" w:after="120"/>
      <w:outlineLvl w:val="1"/>
    </w:pPr>
    <w:rPr>
      <w:sz w:val="28"/>
      <w:szCs w:val="40"/>
    </w:rPr>
  </w:style>
  <w:style w:type="paragraph" w:styleId="Heading3">
    <w:name w:val="heading 3"/>
    <w:basedOn w:val="HeadingBase"/>
    <w:next w:val="BodyText"/>
    <w:link w:val="Heading3Char"/>
    <w:qFormat/>
    <w:rsid w:val="00251215"/>
    <w:pPr>
      <w:spacing w:before="180" w:after="120"/>
      <w:outlineLvl w:val="2"/>
    </w:pPr>
    <w:rPr>
      <w:spacing w:val="-10"/>
      <w:kern w:val="32"/>
    </w:rPr>
  </w:style>
  <w:style w:type="paragraph" w:styleId="Heading4">
    <w:name w:val="heading 4"/>
    <w:basedOn w:val="HeadingBase"/>
    <w:next w:val="BodyText"/>
    <w:link w:val="Heading4Char"/>
    <w:qFormat/>
    <w:rsid w:val="00251215"/>
    <w:pPr>
      <w:spacing w:before="160" w:after="120"/>
      <w:outlineLvl w:val="3"/>
    </w:pPr>
    <w:rPr>
      <w:sz w:val="22"/>
    </w:rPr>
  </w:style>
  <w:style w:type="paragraph" w:styleId="Heading5">
    <w:name w:val="heading 5"/>
    <w:basedOn w:val="HeadingBase"/>
    <w:next w:val="Normal"/>
    <w:link w:val="Heading5Char"/>
    <w:qFormat/>
    <w:rsid w:val="00251215"/>
    <w:pPr>
      <w:spacing w:before="80"/>
      <w:outlineLvl w:val="4"/>
    </w:pPr>
    <w:rPr>
      <w:color w:val="918585"/>
      <w:sz w:val="20"/>
    </w:rPr>
  </w:style>
  <w:style w:type="paragraph" w:styleId="Heading6">
    <w:name w:val="heading 6"/>
    <w:basedOn w:val="HeadingBase"/>
    <w:next w:val="Normal"/>
    <w:link w:val="Heading6Char"/>
    <w:qFormat/>
    <w:rsid w:val="00251215"/>
    <w:pPr>
      <w:spacing w:before="60"/>
      <w:outlineLvl w:val="5"/>
    </w:pPr>
    <w:rPr>
      <w:color w:val="918585"/>
      <w:sz w:val="20"/>
    </w:rPr>
  </w:style>
  <w:style w:type="paragraph" w:styleId="Heading7">
    <w:name w:val="heading 7"/>
    <w:basedOn w:val="Normal"/>
    <w:next w:val="Normal"/>
    <w:link w:val="Heading7Char"/>
    <w:qFormat/>
    <w:rsid w:val="00251215"/>
    <w:pPr>
      <w:ind w:left="720"/>
      <w:outlineLvl w:val="6"/>
    </w:pPr>
    <w:rPr>
      <w:i/>
    </w:rPr>
  </w:style>
  <w:style w:type="paragraph" w:styleId="Heading8">
    <w:name w:val="heading 8"/>
    <w:basedOn w:val="Normal"/>
    <w:next w:val="Normal"/>
    <w:link w:val="Heading8Char"/>
    <w:qFormat/>
    <w:rsid w:val="00251215"/>
    <w:pPr>
      <w:ind w:left="720"/>
      <w:outlineLvl w:val="7"/>
    </w:pPr>
    <w:rPr>
      <w:i/>
    </w:rPr>
  </w:style>
  <w:style w:type="paragraph" w:styleId="Heading9">
    <w:name w:val="heading 9"/>
    <w:basedOn w:val="Normal"/>
    <w:next w:val="Normal"/>
    <w:link w:val="Heading9Char"/>
    <w:qFormat/>
    <w:rsid w:val="00251215"/>
    <w:pPr>
      <w:ind w:left="720"/>
      <w:outlineLvl w:val="8"/>
    </w:pPr>
    <w:rPr>
      <w:i/>
    </w:rPr>
  </w:style>
  <w:style w:type="character" w:default="1" w:styleId="DefaultParagraphFont">
    <w:name w:val="Default Paragraph Font"/>
    <w:uiPriority w:val="1"/>
    <w:unhideWhenUsed/>
    <w:rsid w:val="00251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215"/>
  </w:style>
  <w:style w:type="character" w:customStyle="1" w:styleId="Heading1Char">
    <w:name w:val="Heading 1 Char"/>
    <w:basedOn w:val="DefaultParagraphFont"/>
    <w:link w:val="Heading1"/>
    <w:rsid w:val="00251215"/>
    <w:rPr>
      <w:rFonts w:ascii="Times New Roman" w:eastAsia="Times New Roman" w:hAnsi="Times New Roman" w:cs="Times New Roman"/>
      <w:b/>
      <w:sz w:val="32"/>
      <w:szCs w:val="20"/>
      <w:lang w:eastAsia="en-US"/>
    </w:rPr>
  </w:style>
  <w:style w:type="paragraph" w:styleId="BodyText">
    <w:name w:val="Body Text"/>
    <w:basedOn w:val="Normal"/>
    <w:link w:val="BodyTextChar"/>
    <w:rsid w:val="002512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215"/>
    <w:rPr>
      <w:rFonts w:ascii="Times New Roman" w:eastAsia="Times New Roman" w:hAnsi="Times New Roman" w:cs="Times New Roman"/>
      <w:sz w:val="24"/>
      <w:lang w:val="en-US" w:eastAsia="en-US"/>
    </w:rPr>
  </w:style>
  <w:style w:type="paragraph" w:styleId="Footer">
    <w:name w:val="footer"/>
    <w:basedOn w:val="Normal"/>
    <w:link w:val="FooterChar"/>
    <w:rsid w:val="00251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215"/>
    <w:rPr>
      <w:rFonts w:ascii="Times New Roman" w:eastAsia="Times New Roman" w:hAnsi="Times New Roman" w:cs="Times New Roman"/>
      <w:sz w:val="16"/>
      <w:lang w:val="en-US" w:eastAsia="en-US"/>
    </w:rPr>
  </w:style>
  <w:style w:type="paragraph" w:styleId="List">
    <w:name w:val="List"/>
    <w:basedOn w:val="BodyText"/>
    <w:next w:val="BodyText"/>
    <w:rsid w:val="00251215"/>
    <w:pPr>
      <w:tabs>
        <w:tab w:val="left" w:pos="340"/>
      </w:tabs>
      <w:spacing w:before="60" w:after="60"/>
      <w:ind w:left="340" w:hanging="340"/>
    </w:pPr>
  </w:style>
  <w:style w:type="paragraph" w:styleId="ListBullet">
    <w:name w:val="List Bullet"/>
    <w:basedOn w:val="List"/>
    <w:rsid w:val="00251215"/>
    <w:pPr>
      <w:numPr>
        <w:numId w:val="13"/>
      </w:numPr>
      <w:tabs>
        <w:tab w:val="clear" w:pos="340"/>
      </w:tabs>
      <w:spacing w:before="40" w:after="40"/>
    </w:pPr>
  </w:style>
  <w:style w:type="character" w:customStyle="1" w:styleId="SpecialBold">
    <w:name w:val="Special Bold"/>
    <w:basedOn w:val="DefaultParagraphFont"/>
    <w:rsid w:val="00251215"/>
    <w:rPr>
      <w:b/>
      <w:spacing w:val="0"/>
    </w:rPr>
  </w:style>
  <w:style w:type="paragraph" w:styleId="ListBullet2">
    <w:name w:val="List Bullet 2"/>
    <w:basedOn w:val="List2"/>
    <w:rsid w:val="00251215"/>
    <w:pPr>
      <w:numPr>
        <w:numId w:val="14"/>
      </w:numPr>
      <w:tabs>
        <w:tab w:val="clear" w:pos="680"/>
      </w:tabs>
    </w:pPr>
  </w:style>
  <w:style w:type="paragraph" w:styleId="Header">
    <w:name w:val="header"/>
    <w:basedOn w:val="Normal"/>
    <w:link w:val="HeaderChar"/>
    <w:rsid w:val="00251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21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1215"/>
    <w:rPr>
      <w:i/>
    </w:rPr>
  </w:style>
  <w:style w:type="paragraph" w:customStyle="1" w:styleId="SuperHeading">
    <w:name w:val="SuperHeading"/>
    <w:basedOn w:val="Normal"/>
    <w:rsid w:val="00251215"/>
    <w:pPr>
      <w:spacing w:before="240" w:after="120"/>
      <w:outlineLvl w:val="0"/>
    </w:pPr>
    <w:rPr>
      <w:rFonts w:ascii="Times New Roman" w:hAnsi="Times New Roman"/>
      <w:b/>
      <w:sz w:val="28"/>
    </w:rPr>
  </w:style>
  <w:style w:type="paragraph" w:customStyle="1" w:styleId="AllowPageBreak">
    <w:name w:val="AllowPageBreak"/>
    <w:rsid w:val="002512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1215"/>
    <w:rPr>
      <w:b/>
      <w:i/>
      <w:u w:val="none"/>
    </w:rPr>
  </w:style>
  <w:style w:type="character" w:customStyle="1" w:styleId="Heading2Char">
    <w:name w:val="Heading 2 Char"/>
    <w:basedOn w:val="DefaultParagraphFont"/>
    <w:link w:val="Heading2"/>
    <w:rsid w:val="00251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2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12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1215"/>
    <w:rPr>
      <w:rFonts w:ascii="Courier New" w:eastAsia="Times New Roman" w:hAnsi="Courier New" w:cs="Times New Roman"/>
      <w:i/>
      <w:szCs w:val="20"/>
      <w:lang w:val="en-US" w:eastAsia="en-US"/>
    </w:rPr>
  </w:style>
  <w:style w:type="paragraph" w:customStyle="1" w:styleId="HeadingBase">
    <w:name w:val="Heading Base"/>
    <w:rsid w:val="00251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215"/>
    <w:pPr>
      <w:tabs>
        <w:tab w:val="right" w:leader="dot" w:pos="9072"/>
      </w:tabs>
      <w:ind w:left="567"/>
    </w:pPr>
    <w:rPr>
      <w:szCs w:val="22"/>
    </w:rPr>
  </w:style>
  <w:style w:type="paragraph" w:customStyle="1" w:styleId="TOCBase">
    <w:name w:val="TOC Base"/>
    <w:rsid w:val="00251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215"/>
    <w:pPr>
      <w:tabs>
        <w:tab w:val="right" w:leader="dot" w:pos="9072"/>
      </w:tabs>
      <w:spacing w:before="40" w:after="40"/>
      <w:ind w:left="284"/>
    </w:pPr>
    <w:rPr>
      <w:rFonts w:ascii="Times New Roman" w:hAnsi="Times New Roman"/>
    </w:rPr>
  </w:style>
  <w:style w:type="paragraph" w:styleId="TOC1">
    <w:name w:val="toc 1"/>
    <w:basedOn w:val="TOCBase"/>
    <w:next w:val="Normal"/>
    <w:rsid w:val="002512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215"/>
    <w:pPr>
      <w:spacing w:before="5040"/>
      <w:jc w:val="center"/>
    </w:pPr>
    <w:rPr>
      <w:sz w:val="48"/>
      <w:szCs w:val="72"/>
      <w:lang w:val="en-US"/>
    </w:rPr>
  </w:style>
  <w:style w:type="character" w:customStyle="1" w:styleId="TitleChar">
    <w:name w:val="Title Char"/>
    <w:basedOn w:val="DefaultParagraphFont"/>
    <w:link w:val="Title"/>
    <w:rsid w:val="00251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215"/>
    <w:pPr>
      <w:tabs>
        <w:tab w:val="left" w:pos="3600"/>
        <w:tab w:val="left" w:pos="3958"/>
      </w:tabs>
    </w:pPr>
  </w:style>
  <w:style w:type="paragraph" w:customStyle="1" w:styleId="Note">
    <w:name w:val="Note"/>
    <w:basedOn w:val="BodyText"/>
    <w:rsid w:val="002512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215"/>
    <w:pPr>
      <w:framePr w:wrap="auto" w:hAnchor="text" w:y="6049"/>
    </w:pPr>
    <w:rPr>
      <w:color w:val="000000"/>
      <w:sz w:val="40"/>
    </w:rPr>
  </w:style>
  <w:style w:type="paragraph" w:customStyle="1" w:styleId="TOCTitle">
    <w:name w:val="TOCTitle"/>
    <w:basedOn w:val="Heading1"/>
    <w:rsid w:val="00251215"/>
    <w:pPr>
      <w:spacing w:after="240"/>
      <w:jc w:val="center"/>
      <w:outlineLvl w:val="9"/>
    </w:pPr>
    <w:rPr>
      <w:caps/>
    </w:rPr>
  </w:style>
  <w:style w:type="paragraph" w:customStyle="1" w:styleId="Version">
    <w:name w:val="Version"/>
    <w:rsid w:val="002512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215"/>
    <w:pPr>
      <w:keepNext w:val="0"/>
      <w:tabs>
        <w:tab w:val="right" w:pos="4176"/>
      </w:tabs>
      <w:ind w:left="198" w:hanging="198"/>
    </w:pPr>
    <w:rPr>
      <w:rFonts w:ascii="Garamond" w:hAnsi="Garamond"/>
    </w:rPr>
  </w:style>
  <w:style w:type="paragraph" w:styleId="IndexHeading">
    <w:name w:val="index heading"/>
    <w:basedOn w:val="Normal"/>
    <w:next w:val="Index1"/>
    <w:semiHidden/>
    <w:rsid w:val="00251215"/>
    <w:pPr>
      <w:spacing w:before="120" w:after="120"/>
    </w:pPr>
    <w:rPr>
      <w:rFonts w:ascii="Arial" w:hAnsi="Arial"/>
      <w:b/>
      <w:color w:val="918585"/>
      <w:sz w:val="24"/>
    </w:rPr>
  </w:style>
  <w:style w:type="paragraph" w:customStyle="1" w:styleId="Chapter">
    <w:name w:val="Chapter"/>
    <w:basedOn w:val="Normal"/>
    <w:rsid w:val="00251215"/>
    <w:pPr>
      <w:spacing w:before="240"/>
    </w:pPr>
    <w:rPr>
      <w:rFonts w:ascii="Times New Roman" w:hAnsi="Times New Roman"/>
      <w:smallCaps/>
      <w:spacing w:val="80"/>
      <w:sz w:val="28"/>
    </w:rPr>
  </w:style>
  <w:style w:type="paragraph" w:customStyle="1" w:styleId="InChapter">
    <w:name w:val="InChapter"/>
    <w:basedOn w:val="Heading3"/>
    <w:rsid w:val="00251215"/>
    <w:pPr>
      <w:spacing w:after="240"/>
      <w:outlineLvl w:val="9"/>
    </w:pPr>
    <w:rPr>
      <w:noProof/>
    </w:rPr>
  </w:style>
  <w:style w:type="paragraph" w:styleId="Index2">
    <w:name w:val="index 2"/>
    <w:basedOn w:val="Normal"/>
    <w:next w:val="Normal"/>
    <w:semiHidden/>
    <w:rsid w:val="00251215"/>
    <w:pPr>
      <w:tabs>
        <w:tab w:val="right" w:pos="4176"/>
      </w:tabs>
      <w:ind w:left="568" w:hanging="284"/>
    </w:pPr>
    <w:rPr>
      <w:rFonts w:ascii="Garamond" w:hAnsi="Garamond"/>
    </w:rPr>
  </w:style>
  <w:style w:type="paragraph" w:customStyle="1" w:styleId="Byline">
    <w:name w:val="Byline"/>
    <w:rsid w:val="00251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215"/>
    <w:pPr>
      <w:tabs>
        <w:tab w:val="clear" w:pos="3600"/>
        <w:tab w:val="clear" w:pos="3958"/>
      </w:tabs>
      <w:jc w:val="right"/>
    </w:pPr>
  </w:style>
  <w:style w:type="paragraph" w:styleId="Caption">
    <w:name w:val="caption"/>
    <w:basedOn w:val="BodyText"/>
    <w:next w:val="Normal"/>
    <w:qFormat/>
    <w:rsid w:val="00251215"/>
    <w:pPr>
      <w:framePr w:w="2268" w:hSpace="181" w:vSpace="181" w:wrap="around" w:vAnchor="text" w:hAnchor="page" w:x="1135" w:y="285" w:anchorLock="1"/>
    </w:pPr>
    <w:rPr>
      <w:i/>
    </w:rPr>
  </w:style>
  <w:style w:type="paragraph" w:customStyle="1" w:styleId="MiniTOCTitle">
    <w:name w:val="MiniTOCTitle"/>
    <w:basedOn w:val="Heading4"/>
    <w:rsid w:val="00251215"/>
    <w:pPr>
      <w:spacing w:before="240"/>
      <w:outlineLvl w:val="9"/>
    </w:pPr>
    <w:rPr>
      <w:noProof/>
      <w:sz w:val="24"/>
    </w:rPr>
  </w:style>
  <w:style w:type="paragraph" w:customStyle="1" w:styleId="MiniTOCItem">
    <w:name w:val="MiniTOCItem"/>
    <w:basedOn w:val="ListBullet"/>
    <w:rsid w:val="00251215"/>
    <w:pPr>
      <w:numPr>
        <w:numId w:val="0"/>
      </w:numPr>
      <w:tabs>
        <w:tab w:val="right" w:leader="dot" w:pos="6521"/>
      </w:tabs>
      <w:spacing w:before="0" w:after="0"/>
    </w:pPr>
  </w:style>
  <w:style w:type="paragraph" w:customStyle="1" w:styleId="TOFTitle">
    <w:name w:val="TOFTitle"/>
    <w:basedOn w:val="TOCTitle"/>
    <w:rsid w:val="00251215"/>
  </w:style>
  <w:style w:type="paragraph" w:styleId="TableofFigures">
    <w:name w:val="table of figures"/>
    <w:basedOn w:val="Normal"/>
    <w:next w:val="Normal"/>
    <w:semiHidden/>
    <w:rsid w:val="00251215"/>
    <w:pPr>
      <w:tabs>
        <w:tab w:val="right" w:leader="dot" w:pos="9072"/>
      </w:tabs>
      <w:ind w:left="970" w:hanging="403"/>
    </w:pPr>
    <w:rPr>
      <w:rFonts w:ascii="Times New Roman" w:hAnsi="Times New Roman"/>
      <w:b/>
    </w:rPr>
  </w:style>
  <w:style w:type="paragraph" w:styleId="ListNumber">
    <w:name w:val="List Number"/>
    <w:basedOn w:val="List"/>
    <w:rsid w:val="00251215"/>
    <w:pPr>
      <w:numPr>
        <w:numId w:val="11"/>
      </w:numPr>
    </w:pPr>
  </w:style>
  <w:style w:type="character" w:customStyle="1" w:styleId="WingdingSymbols">
    <w:name w:val="Wingding Symbols"/>
    <w:rsid w:val="00251215"/>
    <w:rPr>
      <w:rFonts w:ascii="Wingdings" w:hAnsi="Wingdings"/>
    </w:rPr>
  </w:style>
  <w:style w:type="paragraph" w:customStyle="1" w:styleId="TableHeading">
    <w:name w:val="Table Heading"/>
    <w:basedOn w:val="HeadingBase"/>
    <w:rsid w:val="00251215"/>
    <w:pPr>
      <w:keepLines/>
      <w:pBdr>
        <w:bottom w:val="single" w:sz="6" w:space="1" w:color="918585"/>
      </w:pBdr>
      <w:spacing w:before="240"/>
    </w:pPr>
  </w:style>
  <w:style w:type="character" w:customStyle="1" w:styleId="HotSpot">
    <w:name w:val="HotSpot"/>
    <w:rsid w:val="00251215"/>
    <w:rPr>
      <w:color w:val="0033CC"/>
      <w:u w:val="none"/>
    </w:rPr>
  </w:style>
  <w:style w:type="paragraph" w:customStyle="1" w:styleId="BodyTextRight">
    <w:name w:val="Body Text Right"/>
    <w:basedOn w:val="BodyText"/>
    <w:rsid w:val="00251215"/>
    <w:pPr>
      <w:spacing w:before="0" w:after="0"/>
      <w:jc w:val="right"/>
    </w:pPr>
  </w:style>
  <w:style w:type="paragraph" w:styleId="Index3">
    <w:name w:val="index 3"/>
    <w:basedOn w:val="ListNumber2"/>
    <w:next w:val="Normal"/>
    <w:semiHidden/>
    <w:rsid w:val="00251215"/>
    <w:pPr>
      <w:numPr>
        <w:numId w:val="0"/>
      </w:numPr>
      <w:tabs>
        <w:tab w:val="right" w:leader="dot" w:pos="4176"/>
      </w:tabs>
    </w:pPr>
  </w:style>
  <w:style w:type="paragraph" w:styleId="ListNumber2">
    <w:name w:val="List Number 2"/>
    <w:basedOn w:val="List2"/>
    <w:rsid w:val="00251215"/>
    <w:pPr>
      <w:numPr>
        <w:numId w:val="10"/>
      </w:numPr>
      <w:tabs>
        <w:tab w:val="clear" w:pos="1060"/>
      </w:tabs>
    </w:pPr>
  </w:style>
  <w:style w:type="paragraph" w:customStyle="1" w:styleId="MarginNote">
    <w:name w:val="Margin Note"/>
    <w:basedOn w:val="BodyText"/>
    <w:rsid w:val="00251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2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1215"/>
    <w:rPr>
      <w:sz w:val="32"/>
    </w:rPr>
  </w:style>
  <w:style w:type="paragraph" w:customStyle="1" w:styleId="HeadingProcedure">
    <w:name w:val="Heading Procedure"/>
    <w:basedOn w:val="HeadingBase"/>
    <w:next w:val="Normal"/>
    <w:rsid w:val="00251215"/>
    <w:pPr>
      <w:tabs>
        <w:tab w:val="left" w:pos="0"/>
      </w:tabs>
      <w:spacing w:before="120" w:after="60"/>
    </w:pPr>
    <w:rPr>
      <w:i/>
      <w:color w:val="918585"/>
      <w:sz w:val="22"/>
    </w:rPr>
  </w:style>
  <w:style w:type="paragraph" w:customStyle="1" w:styleId="TableBodyText">
    <w:name w:val="Table Body Text"/>
    <w:basedOn w:val="BodyText"/>
    <w:rsid w:val="00251215"/>
    <w:pPr>
      <w:spacing w:before="60" w:after="60"/>
    </w:pPr>
  </w:style>
  <w:style w:type="paragraph" w:styleId="ListContinue">
    <w:name w:val="List Continue"/>
    <w:basedOn w:val="List"/>
    <w:rsid w:val="00251215"/>
    <w:pPr>
      <w:ind w:firstLine="0"/>
    </w:pPr>
  </w:style>
  <w:style w:type="paragraph" w:customStyle="1" w:styleId="ListNote">
    <w:name w:val="List Note"/>
    <w:basedOn w:val="List"/>
    <w:rsid w:val="00251215"/>
    <w:pPr>
      <w:pBdr>
        <w:top w:val="single" w:sz="6" w:space="2" w:color="918585"/>
        <w:bottom w:val="single" w:sz="6" w:space="2" w:color="918585"/>
      </w:pBdr>
      <w:tabs>
        <w:tab w:val="left" w:pos="1021"/>
      </w:tabs>
      <w:ind w:firstLine="0"/>
    </w:pPr>
  </w:style>
  <w:style w:type="paragraph" w:customStyle="1" w:styleId="Warning">
    <w:name w:val="Warning"/>
    <w:basedOn w:val="BodyText"/>
    <w:rsid w:val="00251215"/>
    <w:pPr>
      <w:shd w:val="clear" w:color="auto" w:fill="D9D9D9"/>
      <w:tabs>
        <w:tab w:val="left" w:pos="992"/>
      </w:tabs>
      <w:ind w:left="119" w:right="119"/>
    </w:pPr>
    <w:rPr>
      <w:sz w:val="20"/>
    </w:rPr>
  </w:style>
  <w:style w:type="paragraph" w:customStyle="1" w:styleId="MarginIcons">
    <w:name w:val="Margin Icons"/>
    <w:basedOn w:val="BodyText"/>
    <w:rsid w:val="00251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215"/>
    <w:rPr>
      <w:rFonts w:ascii="Courier New" w:hAnsi="Courier New"/>
    </w:rPr>
  </w:style>
  <w:style w:type="paragraph" w:customStyle="1" w:styleId="NoteBullet">
    <w:name w:val="Note Bullet"/>
    <w:basedOn w:val="Note"/>
    <w:rsid w:val="00251215"/>
    <w:pPr>
      <w:tabs>
        <w:tab w:val="clear" w:pos="680"/>
      </w:tabs>
      <w:spacing w:before="60" w:after="60"/>
    </w:pPr>
  </w:style>
  <w:style w:type="paragraph" w:customStyle="1" w:styleId="SubHeading2">
    <w:name w:val="SubHeading2"/>
    <w:basedOn w:val="HeadingBase"/>
    <w:rsid w:val="00251215"/>
    <w:pPr>
      <w:spacing w:before="240" w:after="60"/>
    </w:pPr>
    <w:rPr>
      <w:sz w:val="20"/>
    </w:rPr>
  </w:style>
  <w:style w:type="paragraph" w:customStyle="1" w:styleId="SubHeading1">
    <w:name w:val="SubHeading1"/>
    <w:basedOn w:val="HeadingBase"/>
    <w:rsid w:val="00251215"/>
    <w:pPr>
      <w:spacing w:before="240" w:after="60"/>
    </w:pPr>
    <w:rPr>
      <w:color w:val="918585"/>
      <w:sz w:val="22"/>
    </w:rPr>
  </w:style>
  <w:style w:type="paragraph" w:customStyle="1" w:styleId="SideHeading">
    <w:name w:val="Side Heading"/>
    <w:basedOn w:val="HeadingBase"/>
    <w:rsid w:val="00251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215"/>
    <w:pPr>
      <w:numPr>
        <w:numId w:val="12"/>
      </w:numPr>
    </w:pPr>
  </w:style>
  <w:style w:type="paragraph" w:styleId="PlainText">
    <w:name w:val="Plain Text"/>
    <w:basedOn w:val="Normal"/>
    <w:link w:val="PlainTextChar"/>
    <w:rsid w:val="00251215"/>
    <w:rPr>
      <w:sz w:val="20"/>
    </w:rPr>
  </w:style>
  <w:style w:type="character" w:customStyle="1" w:styleId="PlainTextChar">
    <w:name w:val="Plain Text Char"/>
    <w:basedOn w:val="DefaultParagraphFont"/>
    <w:link w:val="PlainText"/>
    <w:rsid w:val="002512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1215"/>
    <w:rPr>
      <w:b/>
      <w:smallCaps/>
    </w:rPr>
  </w:style>
  <w:style w:type="paragraph" w:customStyle="1" w:styleId="TableListNumber">
    <w:name w:val="Table List Number"/>
    <w:basedOn w:val="ListNumber"/>
    <w:rsid w:val="00251215"/>
    <w:pPr>
      <w:numPr>
        <w:numId w:val="0"/>
      </w:numPr>
    </w:pPr>
  </w:style>
  <w:style w:type="paragraph" w:styleId="TOC4">
    <w:name w:val="toc 4"/>
    <w:basedOn w:val="TOCBase"/>
    <w:next w:val="Normal"/>
    <w:semiHidden/>
    <w:rsid w:val="00251215"/>
    <w:pPr>
      <w:tabs>
        <w:tab w:val="right" w:leader="dot" w:pos="9071"/>
      </w:tabs>
      <w:ind w:left="1701"/>
    </w:pPr>
  </w:style>
  <w:style w:type="paragraph" w:customStyle="1" w:styleId="ListAlpha">
    <w:name w:val="List Alpha"/>
    <w:basedOn w:val="List"/>
    <w:rsid w:val="00251215"/>
    <w:pPr>
      <w:numPr>
        <w:numId w:val="9"/>
      </w:numPr>
    </w:pPr>
  </w:style>
  <w:style w:type="paragraph" w:customStyle="1" w:styleId="ListAlpha2">
    <w:name w:val="List Alpha 2"/>
    <w:basedOn w:val="List2"/>
    <w:rsid w:val="00251215"/>
    <w:pPr>
      <w:numPr>
        <w:numId w:val="8"/>
      </w:numPr>
    </w:pPr>
  </w:style>
  <w:style w:type="paragraph" w:styleId="List2">
    <w:name w:val="List 2"/>
    <w:basedOn w:val="BodyText"/>
    <w:rsid w:val="00251215"/>
    <w:pPr>
      <w:tabs>
        <w:tab w:val="left" w:pos="680"/>
      </w:tabs>
      <w:spacing w:before="60" w:after="60"/>
      <w:ind w:left="680" w:hanging="340"/>
    </w:pPr>
  </w:style>
  <w:style w:type="paragraph" w:styleId="List3">
    <w:name w:val="List 3"/>
    <w:basedOn w:val="BodyText"/>
    <w:rsid w:val="00251215"/>
    <w:pPr>
      <w:tabs>
        <w:tab w:val="left" w:pos="1021"/>
      </w:tabs>
      <w:spacing w:before="60" w:after="60"/>
      <w:ind w:left="1020" w:hanging="340"/>
    </w:pPr>
  </w:style>
  <w:style w:type="paragraph" w:styleId="List4">
    <w:name w:val="List 4"/>
    <w:basedOn w:val="BodyText"/>
    <w:rsid w:val="00251215"/>
    <w:pPr>
      <w:tabs>
        <w:tab w:val="left" w:pos="1361"/>
      </w:tabs>
      <w:spacing w:before="60" w:after="60"/>
      <w:ind w:left="1361" w:hanging="340"/>
    </w:pPr>
  </w:style>
  <w:style w:type="paragraph" w:styleId="List5">
    <w:name w:val="List 5"/>
    <w:basedOn w:val="BodyText"/>
    <w:rsid w:val="00251215"/>
    <w:pPr>
      <w:tabs>
        <w:tab w:val="left" w:pos="1701"/>
      </w:tabs>
      <w:spacing w:before="60" w:after="60"/>
      <w:ind w:left="1701" w:hanging="340"/>
    </w:pPr>
  </w:style>
  <w:style w:type="paragraph" w:styleId="ListBullet3">
    <w:name w:val="List Bullet 3"/>
    <w:basedOn w:val="List3"/>
    <w:rsid w:val="00251215"/>
    <w:pPr>
      <w:numPr>
        <w:numId w:val="15"/>
      </w:numPr>
      <w:tabs>
        <w:tab w:val="clear" w:pos="1021"/>
      </w:tabs>
      <w:ind w:left="1037" w:hanging="357"/>
    </w:pPr>
  </w:style>
  <w:style w:type="paragraph" w:styleId="ListBullet4">
    <w:name w:val="List Bullet 4"/>
    <w:basedOn w:val="List4"/>
    <w:rsid w:val="00251215"/>
    <w:pPr>
      <w:numPr>
        <w:numId w:val="3"/>
      </w:numPr>
    </w:pPr>
  </w:style>
  <w:style w:type="paragraph" w:styleId="ListBullet5">
    <w:name w:val="List Bullet 5"/>
    <w:basedOn w:val="List5"/>
    <w:rsid w:val="00251215"/>
    <w:pPr>
      <w:numPr>
        <w:numId w:val="4"/>
      </w:numPr>
    </w:pPr>
  </w:style>
  <w:style w:type="paragraph" w:styleId="ListContinue2">
    <w:name w:val="List Continue 2"/>
    <w:basedOn w:val="List2"/>
    <w:rsid w:val="00251215"/>
    <w:pPr>
      <w:ind w:firstLine="0"/>
    </w:pPr>
  </w:style>
  <w:style w:type="paragraph" w:styleId="ListContinue3">
    <w:name w:val="List Continue 3"/>
    <w:basedOn w:val="List3"/>
    <w:rsid w:val="00251215"/>
    <w:pPr>
      <w:ind w:left="1021" w:firstLine="0"/>
    </w:pPr>
  </w:style>
  <w:style w:type="paragraph" w:styleId="ListContinue4">
    <w:name w:val="List Continue 4"/>
    <w:basedOn w:val="List4"/>
    <w:rsid w:val="00251215"/>
    <w:pPr>
      <w:ind w:firstLine="0"/>
    </w:pPr>
  </w:style>
  <w:style w:type="paragraph" w:styleId="ListContinue5">
    <w:name w:val="List Continue 5"/>
    <w:basedOn w:val="List5"/>
    <w:rsid w:val="00251215"/>
    <w:pPr>
      <w:ind w:firstLine="0"/>
    </w:pPr>
  </w:style>
  <w:style w:type="paragraph" w:styleId="ListNumber3">
    <w:name w:val="List Number 3"/>
    <w:basedOn w:val="List3"/>
    <w:rsid w:val="00251215"/>
    <w:pPr>
      <w:numPr>
        <w:numId w:val="5"/>
      </w:numPr>
    </w:pPr>
  </w:style>
  <w:style w:type="paragraph" w:styleId="ListNumber4">
    <w:name w:val="List Number 4"/>
    <w:basedOn w:val="List4"/>
    <w:rsid w:val="00251215"/>
    <w:pPr>
      <w:numPr>
        <w:numId w:val="6"/>
      </w:numPr>
    </w:pPr>
  </w:style>
  <w:style w:type="paragraph" w:styleId="ListNumber5">
    <w:name w:val="List Number 5"/>
    <w:basedOn w:val="List5"/>
    <w:rsid w:val="00251215"/>
    <w:pPr>
      <w:numPr>
        <w:numId w:val="7"/>
      </w:numPr>
    </w:pPr>
  </w:style>
  <w:style w:type="paragraph" w:styleId="BlockText">
    <w:name w:val="Block Text"/>
    <w:basedOn w:val="Normal"/>
    <w:rsid w:val="00251215"/>
    <w:pPr>
      <w:spacing w:after="120"/>
      <w:ind w:left="1440" w:right="1440"/>
    </w:pPr>
  </w:style>
  <w:style w:type="character" w:customStyle="1" w:styleId="Subscript">
    <w:name w:val="Subscript"/>
    <w:basedOn w:val="DefaultParagraphFont"/>
    <w:rsid w:val="00251215"/>
    <w:rPr>
      <w:sz w:val="16"/>
      <w:vertAlign w:val="subscript"/>
    </w:rPr>
  </w:style>
  <w:style w:type="character" w:customStyle="1" w:styleId="Superscript">
    <w:name w:val="Superscript"/>
    <w:basedOn w:val="DefaultParagraphFont"/>
    <w:rsid w:val="00251215"/>
    <w:rPr>
      <w:sz w:val="16"/>
      <w:vertAlign w:val="superscript"/>
    </w:rPr>
  </w:style>
  <w:style w:type="character" w:customStyle="1" w:styleId="Symbols">
    <w:name w:val="Symbols"/>
    <w:basedOn w:val="DefaultParagraphFont"/>
    <w:rsid w:val="00251215"/>
    <w:rPr>
      <w:rFonts w:ascii="Symbol" w:hAnsi="Symbol"/>
    </w:rPr>
  </w:style>
  <w:style w:type="character" w:customStyle="1" w:styleId="MenuOptions">
    <w:name w:val="Menu Options"/>
    <w:basedOn w:val="DefaultParagraphFont"/>
    <w:rsid w:val="00251215"/>
    <w:rPr>
      <w:rFonts w:ascii="Arial Narrow" w:hAnsi="Arial Narrow"/>
      <w:smallCaps/>
    </w:rPr>
  </w:style>
  <w:style w:type="character" w:customStyle="1" w:styleId="Buttons">
    <w:name w:val="Buttons"/>
    <w:basedOn w:val="DefaultParagraphFont"/>
    <w:rsid w:val="00251215"/>
    <w:rPr>
      <w:b/>
    </w:rPr>
  </w:style>
  <w:style w:type="character" w:customStyle="1" w:styleId="Underlined">
    <w:name w:val="Underlined"/>
    <w:basedOn w:val="DefaultParagraphFont"/>
    <w:rsid w:val="00251215"/>
    <w:rPr>
      <w:u w:val="single"/>
    </w:rPr>
  </w:style>
  <w:style w:type="paragraph" w:customStyle="1" w:styleId="TableBodyTextRight">
    <w:name w:val="Table Body Text Right"/>
    <w:basedOn w:val="TableBodyText"/>
    <w:rsid w:val="00251215"/>
    <w:pPr>
      <w:widowControl w:val="0"/>
      <w:autoSpaceDE w:val="0"/>
      <w:autoSpaceDN w:val="0"/>
      <w:adjustRightInd w:val="0"/>
      <w:jc w:val="right"/>
    </w:pPr>
    <w:rPr>
      <w:rFonts w:cs="Arial"/>
      <w:szCs w:val="18"/>
    </w:rPr>
  </w:style>
  <w:style w:type="paragraph" w:customStyle="1" w:styleId="CopyrightText">
    <w:name w:val="Copyright Text"/>
    <w:basedOn w:val="BodyText"/>
    <w:rsid w:val="00251215"/>
    <w:rPr>
      <w:sz w:val="18"/>
    </w:rPr>
  </w:style>
  <w:style w:type="paragraph" w:customStyle="1" w:styleId="BodySmallRight">
    <w:name w:val="Body Small Right"/>
    <w:basedOn w:val="BodyTextRight"/>
    <w:rsid w:val="00251215"/>
    <w:rPr>
      <w:sz w:val="18"/>
      <w:szCs w:val="18"/>
    </w:rPr>
  </w:style>
  <w:style w:type="paragraph" w:customStyle="1" w:styleId="MarginEdition">
    <w:name w:val="Margin Edition"/>
    <w:basedOn w:val="MarginNote"/>
    <w:rsid w:val="00251215"/>
    <w:pPr>
      <w:spacing w:before="0" w:after="0"/>
    </w:pPr>
    <w:rPr>
      <w:rFonts w:ascii="Times New Roman" w:hAnsi="Times New Roman"/>
      <w:color w:val="999999"/>
    </w:rPr>
  </w:style>
  <w:style w:type="paragraph" w:customStyle="1" w:styleId="Spacer">
    <w:name w:val="Spacer"/>
    <w:basedOn w:val="Normal"/>
    <w:rsid w:val="00251215"/>
    <w:rPr>
      <w:sz w:val="2"/>
      <w:szCs w:val="2"/>
    </w:rPr>
  </w:style>
  <w:style w:type="character" w:customStyle="1" w:styleId="Small">
    <w:name w:val="Small"/>
    <w:basedOn w:val="DefaultParagraphFont"/>
    <w:rsid w:val="00251215"/>
    <w:rPr>
      <w:sz w:val="16"/>
    </w:rPr>
  </w:style>
  <w:style w:type="paragraph" w:customStyle="1" w:styleId="WideTable">
    <w:name w:val="Wide Table"/>
    <w:basedOn w:val="Normal"/>
    <w:rsid w:val="00251215"/>
    <w:pPr>
      <w:ind w:left="-1418"/>
    </w:pPr>
    <w:rPr>
      <w:sz w:val="2"/>
      <w:szCs w:val="2"/>
    </w:rPr>
  </w:style>
  <w:style w:type="character" w:styleId="PageNumber">
    <w:name w:val="page number"/>
    <w:basedOn w:val="DefaultParagraphFont"/>
    <w:rsid w:val="00251215"/>
  </w:style>
  <w:style w:type="paragraph" w:styleId="Quote">
    <w:name w:val="Quote"/>
    <w:basedOn w:val="Heading1"/>
    <w:link w:val="QuoteChar"/>
    <w:qFormat/>
    <w:rsid w:val="00251215"/>
    <w:rPr>
      <w:b w:val="0"/>
      <w:sz w:val="72"/>
      <w:szCs w:val="72"/>
      <w:lang w:val="en-NZ"/>
    </w:rPr>
  </w:style>
  <w:style w:type="character" w:customStyle="1" w:styleId="QuoteChar">
    <w:name w:val="Quote Char"/>
    <w:basedOn w:val="DefaultParagraphFont"/>
    <w:link w:val="Quote"/>
    <w:rsid w:val="00251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215"/>
    <w:pPr>
      <w:pageBreakBefore/>
    </w:pPr>
  </w:style>
  <w:style w:type="paragraph" w:customStyle="1" w:styleId="Border">
    <w:name w:val="Border"/>
    <w:basedOn w:val="Normal"/>
    <w:qFormat/>
    <w:rsid w:val="00251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215"/>
    <w:rPr>
      <w:b/>
      <w:bCs/>
      <w:i/>
      <w:iCs/>
      <w:color w:val="auto"/>
    </w:rPr>
  </w:style>
  <w:style w:type="paragraph" w:styleId="IntenseQuote">
    <w:name w:val="Intense Quote"/>
    <w:basedOn w:val="Normal"/>
    <w:next w:val="Normal"/>
    <w:link w:val="IntenseQuoteChar"/>
    <w:uiPriority w:val="30"/>
    <w:qFormat/>
    <w:rsid w:val="00251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2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1215"/>
    <w:rPr>
      <w:smallCaps/>
      <w:color w:val="auto"/>
      <w:u w:val="single"/>
    </w:rPr>
  </w:style>
  <w:style w:type="character" w:styleId="IntenseReference">
    <w:name w:val="Intense Reference"/>
    <w:basedOn w:val="DefaultParagraphFont"/>
    <w:uiPriority w:val="32"/>
    <w:qFormat/>
    <w:rsid w:val="00251215"/>
    <w:rPr>
      <w:b/>
      <w:bCs/>
      <w:smallCaps/>
      <w:color w:val="auto"/>
      <w:spacing w:val="5"/>
      <w:u w:val="single"/>
    </w:rPr>
  </w:style>
  <w:style w:type="paragraph" w:customStyle="1" w:styleId="2ColumnHeading">
    <w:name w:val="2Column Heading"/>
    <w:basedOn w:val="BodyText"/>
    <w:qFormat/>
    <w:rsid w:val="00251215"/>
    <w:pPr>
      <w:spacing w:after="60"/>
      <w:ind w:left="-2268"/>
    </w:pPr>
    <w:rPr>
      <w:b/>
    </w:rPr>
  </w:style>
  <w:style w:type="paragraph" w:customStyle="1" w:styleId="Heading1TOC">
    <w:name w:val="Heading1 TOC"/>
    <w:basedOn w:val="Normal"/>
    <w:qFormat/>
    <w:rsid w:val="00251215"/>
    <w:pPr>
      <w:spacing w:before="240" w:after="120"/>
    </w:pPr>
    <w:rPr>
      <w:rFonts w:ascii="Times New Roman" w:hAnsi="Times New Roman"/>
      <w:b/>
      <w:sz w:val="32"/>
    </w:rPr>
  </w:style>
  <w:style w:type="paragraph" w:customStyle="1" w:styleId="Heading2TOC">
    <w:name w:val="Heading2 TOC"/>
    <w:basedOn w:val="Normal"/>
    <w:qFormat/>
    <w:rsid w:val="00251215"/>
    <w:pPr>
      <w:spacing w:before="240" w:after="60"/>
    </w:pPr>
    <w:rPr>
      <w:rFonts w:ascii="Times New Roman" w:hAnsi="Times New Roman"/>
      <w:b/>
      <w:sz w:val="28"/>
    </w:rPr>
  </w:style>
  <w:style w:type="character" w:customStyle="1" w:styleId="Underline">
    <w:name w:val="Underline"/>
    <w:basedOn w:val="DefaultParagraphFont"/>
    <w:qFormat/>
    <w:rsid w:val="00251215"/>
    <w:rPr>
      <w:u w:val="single"/>
    </w:rPr>
  </w:style>
  <w:style w:type="paragraph" w:styleId="BalloonText">
    <w:name w:val="Balloon Text"/>
    <w:basedOn w:val="Normal"/>
    <w:link w:val="BalloonTextChar"/>
    <w:rsid w:val="00251215"/>
    <w:rPr>
      <w:rFonts w:ascii="Tahoma" w:hAnsi="Tahoma" w:cs="Tahoma"/>
      <w:sz w:val="16"/>
      <w:szCs w:val="16"/>
    </w:rPr>
  </w:style>
  <w:style w:type="character" w:customStyle="1" w:styleId="BalloonTextChar">
    <w:name w:val="Balloon Text Char"/>
    <w:basedOn w:val="DefaultParagraphFont"/>
    <w:link w:val="BalloonText"/>
    <w:rsid w:val="002512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12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2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1385</Words>
  <Characters>9076</Characters>
  <Application>Microsoft Office Word</Application>
  <DocSecurity>0</DocSecurity>
  <Lines>334</Lines>
  <Paragraphs>235</Paragraphs>
  <ScaleCrop>false</ScaleCrop>
  <Company>Author-it Software Corporation Ltd.</Company>
  <LinksUpToDate>false</LinksUpToDate>
  <CharactersWithSpaces>10394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CUSMGT403A Manage licensing of music</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2012-05-26T15:25:00Z</dcterms:created>
  <dcterms:modified xsi:type="dcterms:W3CDTF">2012-05-26T15:25:00Z</dcterms:modified>
</cp:coreProperties>
</file>