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2823" w:rsidP="003C2823">
      <w:pPr>
        <w:pStyle w:val="Title"/>
      </w:pPr>
      <w:r>
        <w:fldChar w:fldCharType="begin"/>
      </w:r>
      <w:r>
        <w:instrText xml:space="preserve"> TITLE   \* MERGEFORMAT </w:instrText>
      </w:r>
      <w:r>
        <w:fldChar w:fldCharType="separate"/>
      </w:r>
      <w:r>
        <w:t>CUSMGT402A Administer music publishing income</w:t>
      </w:r>
      <w:r>
        <w:fldChar w:fldCharType="end"/>
      </w:r>
    </w:p>
    <w:p w:rsidR="003C2823" w:rsidP="003C2823">
      <w:pPr>
        <w:pStyle w:val="Version"/>
        <w:sectPr w:rsidSect="00384F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84F68" w:rsidP="00384F68">
      <w:pPr>
        <w:pStyle w:val="SuperHeading"/>
      </w:pPr>
      <w:r w:rsidRPr="00384F68">
        <w:t>CUSMGT402A Administer music publishing income</w:t>
      </w:r>
    </w:p>
    <w:p w:rsidR="00000000" w:rsidRPr="00384F68" w:rsidP="00384F68">
      <w:pPr>
        <w:pStyle w:val="SuperHeading"/>
      </w:pPr>
    </w:p>
    <w:p w:rsidR="00000000" w:rsidRPr="00384F68" w:rsidP="00384F68">
      <w:pPr>
        <w:pStyle w:val="Heading1"/>
      </w:pPr>
      <w:bookmarkStart w:id="1" w:name="O_380759"/>
      <w:bookmarkEnd w:id="1"/>
      <w:r w:rsidRPr="00384F68">
        <w:t>Modification History</w:t>
      </w:r>
    </w:p>
    <w:tbl>
      <w:tblPr>
        <w:tblW w:w="0" w:type="auto"/>
        <w:tblLayout w:type="fixed"/>
        <w:tblCellMar>
          <w:left w:w="62" w:type="dxa"/>
          <w:right w:w="62" w:type="dxa"/>
        </w:tblCellMar>
        <w:tblLook w:val="0000"/>
      </w:tblPr>
      <w:tblGrid>
        <w:gridCol w:w="1585"/>
        <w:gridCol w:w="5245"/>
      </w:tblGrid>
      <w:tr w:rsidTr="00384F68">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84F68" w:rsidP="00384F68">
            <w:pPr>
              <w:pStyle w:val="BodyText"/>
            </w:pPr>
            <w:r w:rsidRPr="00384F68">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84F68">
            <w:pPr>
              <w:pStyle w:val="BodyText"/>
              <w:rPr>
                <w:lang w:val="en-NZ"/>
              </w:rPr>
            </w:pPr>
            <w:r w:rsidRPr="00384F68">
              <w:rPr>
                <w:rStyle w:val="SpecialBold"/>
              </w:rPr>
              <w:t>Comments</w:t>
            </w:r>
          </w:p>
        </w:tc>
      </w:tr>
      <w:tr w:rsidTr="00384F68">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84F68">
            <w:pPr>
              <w:pStyle w:val="BodyText"/>
              <w:rPr>
                <w:lang w:val="en-NZ"/>
              </w:rPr>
            </w:pPr>
            <w:r w:rsidRPr="00384F68">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384F68" w:rsidP="00384F68">
            <w:pPr>
              <w:pStyle w:val="BodyText"/>
            </w:pPr>
            <w:r w:rsidRPr="00384F68">
              <w:t xml:space="preserve">Created to fix formatting errors only. </w:t>
            </w:r>
          </w:p>
          <w:p w:rsidR="00000000" w:rsidRPr="00384F68" w:rsidP="00384F68">
            <w:pPr>
              <w:pStyle w:val="BodyText"/>
            </w:pPr>
            <w:r w:rsidRPr="00384F68">
              <w:t>Released with CUS09 Music Training Package version 1.2</w:t>
            </w:r>
          </w:p>
        </w:tc>
      </w:tr>
    </w:tbl>
    <w:p w:rsidR="00000000" w:rsidRPr="00384F68" w:rsidP="00384F68">
      <w:pPr>
        <w:pStyle w:val="BodyText"/>
      </w:pPr>
    </w:p>
    <w:p w:rsidR="00000000" w:rsidRPr="00384F68" w:rsidP="00384F68">
      <w:pPr>
        <w:pStyle w:val="AllowPageBreak"/>
      </w:pPr>
    </w:p>
    <w:p w:rsidR="00000000" w:rsidRPr="00384F68" w:rsidP="00384F68">
      <w:pPr>
        <w:pStyle w:val="Heading1"/>
      </w:pPr>
      <w:bookmarkStart w:id="2" w:name="O_380755"/>
      <w:bookmarkEnd w:id="2"/>
      <w:r w:rsidRPr="00384F68">
        <w:t>Unit Descriptor</w:t>
      </w:r>
    </w:p>
    <w:p w:rsidR="003C2823" w:rsidP="00384F68">
      <w:pPr>
        <w:pStyle w:val="BodyText"/>
      </w:pPr>
      <w:r w:rsidRPr="00384F68">
        <w:t>This unit describes the performance outcomes, skills and knowledge required to calculate, collect and distribute publishing income.</w:t>
      </w:r>
    </w:p>
    <w:p w:rsidR="003C2823" w:rsidP="00384F68">
      <w:pPr>
        <w:pStyle w:val="BodyText"/>
      </w:pPr>
    </w:p>
    <w:p w:rsidR="00000000" w:rsidRPr="00384F68" w:rsidP="00384F68">
      <w:pPr>
        <w:pStyle w:val="Heading1"/>
      </w:pPr>
      <w:bookmarkStart w:id="3" w:name="O_380768"/>
      <w:bookmarkEnd w:id="3"/>
      <w:r w:rsidRPr="00384F68">
        <w:t>Application of the Unit</w:t>
      </w:r>
    </w:p>
    <w:p w:rsidR="00000000" w:rsidRPr="00384F68" w:rsidP="00384F68">
      <w:pPr>
        <w:pStyle w:val="BodyText"/>
      </w:pPr>
      <w:r w:rsidRPr="00384F68">
        <w:t xml:space="preserve">Music publishers, employees of collection societies and artist managers apply the </w:t>
      </w:r>
      <w:r w:rsidRPr="00384F68">
        <w:t>skills and knowledge outlined in this unit. Collection societies, such as the Australasian Performing Rights Association (APRA) collect licence fees for the use of music by broadcasters and other entities, and distribute them as royalties to music copyrigh</w:t>
      </w:r>
      <w:r w:rsidRPr="00384F68">
        <w:t>t holders. These could be songwriters, composers or music publishing companies. Skills associated with negotiating and administering artists' royalty income derived from recordings of performances are covered in:</w:t>
      </w:r>
    </w:p>
    <w:p w:rsidR="00000000" w:rsidRPr="00384F68" w:rsidP="00384F68">
      <w:pPr>
        <w:pStyle w:val="ListBullet"/>
      </w:pPr>
      <w:r w:rsidRPr="00384F68">
        <w:t>CUSMGT404A Administer artists' royalty income.</w:t>
      </w:r>
    </w:p>
    <w:p w:rsidR="00000000" w:rsidRPr="00384F68" w:rsidP="00384F68">
      <w:pPr>
        <w:pStyle w:val="AllowPageBreak"/>
      </w:pPr>
    </w:p>
    <w:p w:rsidR="00000000" w:rsidRPr="00384F68" w:rsidP="00384F68">
      <w:pPr>
        <w:pStyle w:val="Heading1"/>
      </w:pPr>
      <w:bookmarkStart w:id="4" w:name="O_380760"/>
      <w:bookmarkEnd w:id="4"/>
      <w:r w:rsidRPr="00384F68">
        <w:t>Licensing/Regulatory Information</w:t>
      </w:r>
    </w:p>
    <w:p w:rsidR="003C2823" w:rsidP="00384F68">
      <w:pPr>
        <w:pStyle w:val="BodyText"/>
      </w:pPr>
      <w:r w:rsidRPr="00384F68">
        <w:t>No licensing, legislative, regulatory or certification requirements apply to this unit at the time of endorsement.</w:t>
      </w:r>
    </w:p>
    <w:p w:rsidR="003C2823" w:rsidP="00384F68">
      <w:pPr>
        <w:pStyle w:val="BodyText"/>
      </w:pPr>
    </w:p>
    <w:p w:rsidR="00000000" w:rsidRPr="00384F68" w:rsidP="00384F68">
      <w:pPr>
        <w:pStyle w:val="Heading1"/>
      </w:pPr>
      <w:bookmarkStart w:id="5" w:name="O_380758"/>
      <w:bookmarkEnd w:id="5"/>
      <w:r w:rsidRPr="00384F68">
        <w:t>Pre-Requisites</w:t>
      </w:r>
    </w:p>
    <w:p w:rsidR="00000000" w:rsidRPr="00384F68" w:rsidP="00384F68">
      <w:pPr>
        <w:pStyle w:val="BodyText"/>
      </w:pPr>
      <w:r w:rsidRPr="00384F68">
        <w:t>Not applicable</w:t>
      </w:r>
    </w:p>
    <w:p w:rsidR="00000000" w:rsidRPr="00384F68" w:rsidP="00384F68">
      <w:pPr>
        <w:pStyle w:val="AllowPageBreak"/>
      </w:pPr>
    </w:p>
    <w:p w:rsidR="00000000" w:rsidRPr="00384F68" w:rsidP="00384F68">
      <w:pPr>
        <w:pStyle w:val="Heading1"/>
      </w:pPr>
      <w:bookmarkStart w:id="6" w:name="O_380763"/>
      <w:bookmarkEnd w:id="6"/>
      <w:r w:rsidRPr="00384F68">
        <w:t>Employability Skills Information</w:t>
      </w:r>
    </w:p>
    <w:p w:rsidR="00000000" w:rsidRPr="00384F68" w:rsidP="00384F68">
      <w:pPr>
        <w:pStyle w:val="BodyText"/>
      </w:pPr>
      <w:r w:rsidRPr="00384F68">
        <w:t>Not applicable</w:t>
      </w:r>
    </w:p>
    <w:p w:rsidR="00000000" w:rsidRPr="00384F68" w:rsidP="00384F68">
      <w:pPr>
        <w:pStyle w:val="AllowPageBreak"/>
      </w:pPr>
    </w:p>
    <w:p w:rsidR="00000000" w:rsidRPr="00384F68" w:rsidP="00384F68">
      <w:pPr>
        <w:pStyle w:val="Heading1"/>
      </w:pPr>
      <w:bookmarkStart w:id="7" w:name="O_380764"/>
      <w:bookmarkEnd w:id="7"/>
      <w:r w:rsidRPr="00384F68">
        <w:t>Elements and Performance Criteria Pre-Content</w:t>
      </w:r>
    </w:p>
    <w:tbl>
      <w:tblPr>
        <w:tblW w:w="0" w:type="auto"/>
        <w:tblLayout w:type="fixed"/>
        <w:tblCellMar>
          <w:left w:w="62" w:type="dxa"/>
          <w:right w:w="62" w:type="dxa"/>
        </w:tblCellMar>
        <w:tblLook w:val="0000"/>
      </w:tblPr>
      <w:tblGrid>
        <w:gridCol w:w="2562"/>
        <w:gridCol w:w="5960"/>
      </w:tblGrid>
      <w:tr w:rsidTr="003C2823">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F68" w:rsidP="00384F68">
            <w:pPr>
              <w:pStyle w:val="BodyText"/>
            </w:pPr>
            <w:r w:rsidRPr="00384F68">
              <w:rPr>
                <w:rStyle w:val="Emphasis"/>
              </w:rPr>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F68" w:rsidP="00384F68">
            <w:pPr>
              <w:pStyle w:val="BodyText"/>
            </w:pPr>
            <w:r w:rsidRPr="00384F68">
              <w:rPr>
                <w:rStyle w:val="Emphasis"/>
              </w:rPr>
              <w:t>Performance criteria describe the performance n</w:t>
            </w:r>
            <w:r w:rsidRPr="00384F68">
              <w:rPr>
                <w:rStyle w:val="Emphasis"/>
              </w:rPr>
              <w:t>eeded to demonstrate achievement of the element. Where bold italicised text is used, further information is detailed in the required skills and knowledge section and the range statement. Assessment of performance is to be consistent with the evidence guide</w:t>
            </w:r>
            <w:r w:rsidRPr="00384F68">
              <w:rPr>
                <w:rStyle w:val="Emphasis"/>
              </w:rPr>
              <w:t>.</w:t>
            </w:r>
          </w:p>
        </w:tc>
      </w:tr>
    </w:tbl>
    <w:p w:rsidR="00000000" w:rsidRPr="00384F68" w:rsidP="00384F68">
      <w:pPr>
        <w:pStyle w:val="BodyText"/>
      </w:pPr>
    </w:p>
    <w:p w:rsidR="00000000" w:rsidRPr="00384F68" w:rsidP="00384F68">
      <w:pPr>
        <w:pStyle w:val="AllowPageBreak"/>
      </w:pPr>
    </w:p>
    <w:p w:rsidR="00000000" w:rsidRPr="00384F68" w:rsidP="00384F68">
      <w:pPr>
        <w:pStyle w:val="Heading1"/>
      </w:pPr>
      <w:bookmarkStart w:id="8" w:name="O_380765"/>
      <w:bookmarkEnd w:id="8"/>
      <w:r w:rsidRPr="00384F68">
        <w:t>Elements and Performance Criteria</w:t>
      </w:r>
    </w:p>
    <w:tbl>
      <w:tblPr>
        <w:tblW w:w="0" w:type="auto"/>
        <w:tblLayout w:type="fixed"/>
        <w:tblCellMar>
          <w:left w:w="62" w:type="dxa"/>
          <w:right w:w="62" w:type="dxa"/>
        </w:tblCellMar>
        <w:tblLook w:val="0000"/>
      </w:tblPr>
      <w:tblGrid>
        <w:gridCol w:w="2562"/>
        <w:gridCol w:w="5960"/>
      </w:tblGrid>
      <w:tr w:rsidTr="003C2823">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F68" w:rsidP="00384F68">
            <w:pPr>
              <w:pStyle w:val="BodyText"/>
            </w:pPr>
            <w:r w:rsidRPr="00384F68">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F68">
            <w:pPr>
              <w:pStyle w:val="BodyText"/>
              <w:rPr>
                <w:lang w:val="en-NZ"/>
              </w:rPr>
            </w:pPr>
            <w:r w:rsidRPr="00384F68">
              <w:rPr>
                <w:rStyle w:val="SpecialBold"/>
              </w:rPr>
              <w:t>PERFORMANCE CRITERIA</w:t>
            </w:r>
          </w:p>
        </w:tc>
      </w:tr>
      <w:tr w:rsidTr="003C2823">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F68">
            <w:pPr>
              <w:pStyle w:val="BodyText"/>
              <w:rPr>
                <w:lang w:val="en-NZ"/>
              </w:rPr>
            </w:pPr>
            <w:r w:rsidRPr="00384F68">
              <w:t>1. Establish publishing agreements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F68" w:rsidP="00384F68">
            <w:pPr>
              <w:pStyle w:val="List"/>
            </w:pPr>
            <w:r w:rsidRPr="00384F68">
              <w:t>1.1</w:t>
            </w:r>
            <w:r w:rsidRPr="00384F68">
              <w:tab/>
              <w:t xml:space="preserve">Calculate </w:t>
            </w:r>
            <w:r w:rsidRPr="00384F68">
              <w:rPr>
                <w:rStyle w:val="BoldandItalics"/>
              </w:rPr>
              <w:t>publishing income</w:t>
            </w:r>
            <w:r w:rsidRPr="00384F68">
              <w:t xml:space="preserve"> in line with publishing agreements, copyright legislation and </w:t>
            </w:r>
            <w:r w:rsidRPr="00384F68">
              <w:rPr>
                <w:rStyle w:val="BoldandItalics"/>
              </w:rPr>
              <w:t>industry association agreements</w:t>
            </w:r>
          </w:p>
          <w:p w:rsidR="00000000" w:rsidRPr="00384F68" w:rsidP="00384F68">
            <w:pPr>
              <w:pStyle w:val="List"/>
            </w:pPr>
            <w:r w:rsidRPr="00384F68">
              <w:t>1.2</w:t>
            </w:r>
            <w:r w:rsidRPr="00384F68">
              <w:tab/>
            </w:r>
            <w:r w:rsidRPr="00384F68">
              <w:t xml:space="preserve">Negotiate and confirm </w:t>
            </w:r>
            <w:r w:rsidRPr="00384F68">
              <w:rPr>
                <w:rStyle w:val="BoldandItalics"/>
              </w:rPr>
              <w:t>royalties</w:t>
            </w:r>
            <w:r w:rsidRPr="00384F68">
              <w:t xml:space="preserve"> arising from the use of published </w:t>
            </w:r>
            <w:r w:rsidRPr="00384F68">
              <w:rPr>
                <w:rStyle w:val="BoldandItalics"/>
              </w:rPr>
              <w:t>works</w:t>
            </w:r>
            <w:r w:rsidRPr="00384F68">
              <w:t xml:space="preserve"> on behalf of </w:t>
            </w:r>
            <w:r w:rsidRPr="00384F68">
              <w:rPr>
                <w:rStyle w:val="BoldandItalics"/>
              </w:rPr>
              <w:t>originators</w:t>
            </w:r>
          </w:p>
          <w:p w:rsidR="00000000" w:rsidRPr="00384F68" w:rsidP="00384F68">
            <w:pPr>
              <w:pStyle w:val="List"/>
            </w:pPr>
            <w:r w:rsidRPr="00384F68">
              <w:t>1.3</w:t>
            </w:r>
            <w:r w:rsidRPr="00384F68">
              <w:tab/>
              <w:t>Ensure royalty negotiations accurately and fairly reflect the commercial stature of originator</w:t>
            </w:r>
          </w:p>
          <w:p w:rsidR="00000000" w:rsidRPr="00384F68" w:rsidP="00384F68">
            <w:pPr>
              <w:pStyle w:val="List"/>
            </w:pPr>
            <w:r w:rsidRPr="00384F68">
              <w:t>1.4</w:t>
            </w:r>
            <w:r w:rsidRPr="00384F68">
              <w:tab/>
              <w:t xml:space="preserve">Discuss, confirm and document </w:t>
            </w:r>
            <w:r w:rsidRPr="00384F68">
              <w:rPr>
                <w:rStyle w:val="BoldandItalics"/>
              </w:rPr>
              <w:t>publishing agreement</w:t>
            </w:r>
            <w:r w:rsidRPr="00384F68">
              <w:t xml:space="preserve"> with </w:t>
            </w:r>
            <w:r w:rsidRPr="00384F68">
              <w:t>originator</w:t>
            </w:r>
          </w:p>
          <w:p w:rsidR="00000000" w:rsidRPr="00384F68" w:rsidP="00384F68">
            <w:pPr>
              <w:pStyle w:val="List"/>
            </w:pPr>
            <w:r w:rsidRPr="00384F68">
              <w:t>1.5</w:t>
            </w:r>
            <w:r w:rsidRPr="00384F68">
              <w:tab/>
              <w:t xml:space="preserve">Ensure </w:t>
            </w:r>
            <w:r w:rsidRPr="00384F68">
              <w:rPr>
                <w:rStyle w:val="BoldandItalics"/>
              </w:rPr>
              <w:t>terms and conditions</w:t>
            </w:r>
            <w:r w:rsidRPr="00384F68">
              <w:t xml:space="preserve"> are agreed and incorporated into publishing agreement</w:t>
            </w:r>
          </w:p>
          <w:p w:rsidR="00000000" w:rsidP="00384F68">
            <w:pPr>
              <w:pStyle w:val="List"/>
              <w:rPr>
                <w:lang w:val="en-NZ"/>
              </w:rPr>
            </w:pPr>
            <w:r w:rsidRPr="00384F68">
              <w:t>1.6</w:t>
            </w:r>
            <w:r w:rsidRPr="00384F68">
              <w:tab/>
              <w:t>Ensure commercial interests of originator and publisher are balanced and clearly articulated</w:t>
            </w:r>
          </w:p>
        </w:tc>
      </w:tr>
      <w:tr w:rsidTr="003C2823">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F68">
            <w:pPr>
              <w:pStyle w:val="BodyText"/>
              <w:rPr>
                <w:lang w:val="en-NZ"/>
              </w:rPr>
            </w:pPr>
            <w:r w:rsidRPr="00384F68">
              <w:t>2. Collect and disperse publishing income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F68" w:rsidP="00384F68">
            <w:pPr>
              <w:pStyle w:val="List"/>
            </w:pPr>
            <w:r w:rsidRPr="00384F68">
              <w:t>2.1</w:t>
            </w:r>
            <w:r w:rsidRPr="00384F68">
              <w:tab/>
            </w:r>
            <w:r w:rsidRPr="00384F68">
              <w:t xml:space="preserve">Notify relevant </w:t>
            </w:r>
            <w:r w:rsidRPr="00384F68">
              <w:rPr>
                <w:rStyle w:val="BoldandItalics"/>
              </w:rPr>
              <w:t>agencies</w:t>
            </w:r>
            <w:r w:rsidRPr="00384F68">
              <w:t xml:space="preserve"> of publishing agreement</w:t>
            </w:r>
          </w:p>
          <w:p w:rsidR="00000000" w:rsidRPr="00384F68" w:rsidP="00384F68">
            <w:pPr>
              <w:pStyle w:val="List"/>
            </w:pPr>
            <w:r w:rsidRPr="00384F68">
              <w:t>2.2</w:t>
            </w:r>
            <w:r w:rsidRPr="00384F68">
              <w:tab/>
              <w:t>Use standard administration procedures of relevant agencies to accurately and promptly report the use of published works</w:t>
            </w:r>
          </w:p>
          <w:p w:rsidR="00000000" w:rsidRPr="00384F68" w:rsidP="00384F68">
            <w:pPr>
              <w:pStyle w:val="List"/>
            </w:pPr>
            <w:r w:rsidRPr="00384F68">
              <w:t>2.3</w:t>
            </w:r>
            <w:r w:rsidRPr="00384F68">
              <w:tab/>
              <w:t>Use relevant software to calculate royalties and apportion income in line with</w:t>
            </w:r>
            <w:r w:rsidRPr="00384F68">
              <w:t xml:space="preserve"> publishing agreement</w:t>
            </w:r>
          </w:p>
          <w:p w:rsidR="00000000" w:rsidP="00384F68">
            <w:pPr>
              <w:pStyle w:val="List"/>
              <w:rPr>
                <w:lang w:val="en-NZ"/>
              </w:rPr>
            </w:pPr>
            <w:r w:rsidRPr="00384F68">
              <w:t>2.4</w:t>
            </w:r>
            <w:r w:rsidRPr="00384F68">
              <w:tab/>
              <w:t xml:space="preserve">Distribute royalties to originators in line with publishing agreement </w:t>
            </w:r>
          </w:p>
        </w:tc>
      </w:tr>
      <w:tr w:rsidTr="003C2823">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F68">
            <w:pPr>
              <w:pStyle w:val="BodyText"/>
              <w:rPr>
                <w:lang w:val="en-NZ"/>
              </w:rPr>
            </w:pPr>
            <w:r w:rsidRPr="00384F68">
              <w:t>3. Monitor use of published works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F68" w:rsidP="00384F68">
            <w:pPr>
              <w:pStyle w:val="List"/>
            </w:pPr>
            <w:r w:rsidRPr="00384F68">
              <w:t>3.1</w:t>
            </w:r>
            <w:r w:rsidRPr="00384F68">
              <w:tab/>
              <w:t>Plan and implement strategies to monitor and report on the use of published works</w:t>
            </w:r>
          </w:p>
          <w:p w:rsidR="00000000" w:rsidRPr="00384F68" w:rsidP="00384F68">
            <w:pPr>
              <w:pStyle w:val="List"/>
            </w:pPr>
            <w:r w:rsidRPr="00384F68">
              <w:t>3.2</w:t>
            </w:r>
            <w:r w:rsidRPr="00384F68">
              <w:tab/>
              <w:t xml:space="preserve">Monitor and build on </w:t>
            </w:r>
            <w:r w:rsidRPr="00384F68">
              <w:rPr>
                <w:rStyle w:val="BoldandItalics"/>
              </w:rPr>
              <w:t>attributes</w:t>
            </w:r>
            <w:r w:rsidRPr="00384F68">
              <w:t xml:space="preserve"> of</w:t>
            </w:r>
            <w:r w:rsidRPr="00384F68">
              <w:t xml:space="preserve"> published works</w:t>
            </w:r>
          </w:p>
          <w:p w:rsidR="00000000" w:rsidP="00384F68">
            <w:pPr>
              <w:pStyle w:val="List"/>
              <w:rPr>
                <w:lang w:val="en-NZ"/>
              </w:rPr>
            </w:pPr>
            <w:r w:rsidRPr="00384F68">
              <w:t>3.3</w:t>
            </w:r>
            <w:r w:rsidRPr="00384F68">
              <w:tab/>
              <w:t>Contact and negotiate with relevant agencies to protect use of published works internationally</w:t>
            </w:r>
          </w:p>
        </w:tc>
      </w:tr>
      <w:tr w:rsidTr="003C2823">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F68">
            <w:pPr>
              <w:pStyle w:val="BodyText"/>
              <w:rPr>
                <w:lang w:val="en-NZ"/>
              </w:rPr>
            </w:pPr>
            <w:r w:rsidRPr="00384F68">
              <w:t>4. Maintain accounts for published works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F68" w:rsidP="00384F68">
            <w:pPr>
              <w:pStyle w:val="List"/>
            </w:pPr>
            <w:r w:rsidRPr="00384F68">
              <w:t>4.1</w:t>
            </w:r>
            <w:r w:rsidRPr="00384F68">
              <w:tab/>
              <w:t>Update files systematically to ensure currency and accuracy of records and reporting</w:t>
            </w:r>
          </w:p>
          <w:p w:rsidR="00000000" w:rsidRPr="00384F68" w:rsidP="00384F68">
            <w:pPr>
              <w:pStyle w:val="List"/>
            </w:pPr>
            <w:r w:rsidRPr="00384F68">
              <w:t>4.2</w:t>
            </w:r>
            <w:r w:rsidRPr="00384F68">
              <w:tab/>
              <w:t xml:space="preserve">File </w:t>
            </w:r>
            <w:r w:rsidRPr="00384F68">
              <w:t>new published works and notify relevant agencies promptly</w:t>
            </w:r>
          </w:p>
        </w:tc>
      </w:tr>
    </w:tbl>
    <w:p w:rsidR="00000000" w:rsidRPr="00384F68" w:rsidP="00384F68">
      <w:pPr>
        <w:pStyle w:val="BodyText"/>
      </w:pPr>
    </w:p>
    <w:p w:rsidR="00000000" w:rsidRPr="00384F68" w:rsidP="00384F68">
      <w:pPr>
        <w:pStyle w:val="AllowPageBreak"/>
      </w:pPr>
    </w:p>
    <w:p w:rsidR="00000000" w:rsidRPr="00384F68" w:rsidP="00384F68">
      <w:pPr>
        <w:pStyle w:val="Heading1"/>
      </w:pPr>
      <w:bookmarkStart w:id="9" w:name="O_380756"/>
      <w:bookmarkEnd w:id="9"/>
      <w:r w:rsidRPr="00384F68">
        <w:t>Required Skills and Knowledge</w:t>
      </w:r>
    </w:p>
    <w:tbl>
      <w:tblPr>
        <w:tblW w:w="0" w:type="auto"/>
        <w:tblLayout w:type="fixed"/>
        <w:tblCellMar>
          <w:left w:w="62" w:type="dxa"/>
          <w:right w:w="62" w:type="dxa"/>
        </w:tblCellMar>
        <w:tblLook w:val="0000"/>
      </w:tblPr>
      <w:tblGrid>
        <w:gridCol w:w="8522"/>
      </w:tblGrid>
      <w:tr w:rsidTr="003C282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84F68">
            <w:pPr>
              <w:pStyle w:val="BodyText"/>
              <w:rPr>
                <w:lang w:val="en-NZ"/>
              </w:rPr>
            </w:pPr>
            <w:r w:rsidRPr="00384F68">
              <w:rPr>
                <w:rStyle w:val="Emphasis"/>
              </w:rPr>
              <w:t>This section describes the skills and knowledge required for this unit.</w:t>
            </w:r>
          </w:p>
        </w:tc>
      </w:tr>
      <w:tr w:rsidTr="003C282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84F68">
            <w:pPr>
              <w:pStyle w:val="BodyText"/>
              <w:rPr>
                <w:lang w:val="en-NZ"/>
              </w:rPr>
            </w:pPr>
            <w:r w:rsidRPr="00384F68">
              <w:rPr>
                <w:rStyle w:val="SpecialBold"/>
              </w:rPr>
              <w:t>Required skills</w:t>
            </w:r>
          </w:p>
        </w:tc>
      </w:tr>
      <w:tr w:rsidTr="003C282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84F68" w:rsidP="00384F68">
            <w:pPr>
              <w:pStyle w:val="ListBullet"/>
            </w:pPr>
            <w:r w:rsidRPr="00384F68">
              <w:t>research skills sufficient to trace and monitor the use and users of published works</w:t>
            </w:r>
          </w:p>
          <w:p w:rsidR="00000000" w:rsidRPr="00384F68" w:rsidP="00384F68">
            <w:pPr>
              <w:pStyle w:val="ListBullet"/>
            </w:pPr>
            <w:r w:rsidRPr="00384F68">
              <w:t>literacy skills sufficient to interpret publishing contracts and agreements</w:t>
            </w:r>
          </w:p>
          <w:p w:rsidR="00000000" w:rsidRPr="00384F68" w:rsidP="00384F68">
            <w:pPr>
              <w:pStyle w:val="ListBullet"/>
            </w:pPr>
            <w:r w:rsidRPr="00384F68">
              <w:t>numeracy skills sufficient to calculateroyalty paymentsand apportion publishing income to origi</w:t>
            </w:r>
            <w:r w:rsidRPr="00384F68">
              <w:t>nators of published works</w:t>
            </w:r>
          </w:p>
          <w:p w:rsidR="00000000" w:rsidRPr="00384F68" w:rsidP="00384F68">
            <w:pPr>
              <w:pStyle w:val="ListBullet"/>
            </w:pPr>
            <w:r w:rsidRPr="00384F68">
              <w:t>communication skills sufficient to negotiate publishing agreements with originators of published works and negotiate rates for the use of published works</w:t>
            </w:r>
          </w:p>
          <w:p w:rsidR="00000000" w:rsidRPr="00384F68" w:rsidP="00384F68">
            <w:pPr>
              <w:pStyle w:val="ListBullet"/>
            </w:pPr>
            <w:r w:rsidRPr="00384F68">
              <w:t>critical-thinking skills sufficient to analyse the use and users of publishe</w:t>
            </w:r>
            <w:r w:rsidRPr="00384F68">
              <w:t>d works</w:t>
            </w:r>
          </w:p>
          <w:p w:rsidR="00000000" w:rsidRPr="00384F68" w:rsidP="00384F68">
            <w:pPr>
              <w:pStyle w:val="ListBullet"/>
            </w:pPr>
            <w:r w:rsidRPr="00384F68">
              <w:t>initiative and enterprise skills sufficient to identify alternative approaches to monitoring the use of published works</w:t>
            </w:r>
          </w:p>
          <w:p w:rsidR="00000000" w:rsidRPr="00384F68" w:rsidP="00384F68">
            <w:pPr>
              <w:pStyle w:val="ListBullet"/>
            </w:pPr>
            <w:r w:rsidRPr="00384F68">
              <w:t>learning skills sufficient to maintain currency of music licensing knowledge</w:t>
            </w:r>
          </w:p>
          <w:p w:rsidR="00000000" w:rsidRPr="00384F68" w:rsidP="00384F68">
            <w:pPr>
              <w:pStyle w:val="ListBullet"/>
            </w:pPr>
            <w:r w:rsidRPr="00384F68">
              <w:t>planning and organisational skills sufficient to re</w:t>
            </w:r>
            <w:r w:rsidRPr="00384F68">
              <w:t>port on the use of published works</w:t>
            </w:r>
          </w:p>
          <w:p w:rsidR="00000000" w:rsidRPr="00384F68" w:rsidP="00384F68">
            <w:pPr>
              <w:pStyle w:val="ListBullet"/>
            </w:pPr>
            <w:r w:rsidRPr="00384F68">
              <w:t>problem-solving skills sufficient to address discrepancies in royalty calculations</w:t>
            </w:r>
          </w:p>
          <w:p w:rsidR="00000000" w:rsidRPr="00384F68" w:rsidP="00384F68">
            <w:pPr>
              <w:pStyle w:val="ListBullet"/>
            </w:pPr>
            <w:r w:rsidRPr="00384F68">
              <w:t>self-management skills sufficient to assess and prioritise own workload</w:t>
            </w:r>
          </w:p>
          <w:p w:rsidR="00000000" w:rsidRPr="00384F68" w:rsidP="00384F68">
            <w:pPr>
              <w:pStyle w:val="ListBullet"/>
            </w:pPr>
            <w:r w:rsidRPr="00384F68">
              <w:t>teamwork skills sufficient to build and maintain networks and rela</w:t>
            </w:r>
            <w:r w:rsidRPr="00384F68">
              <w:t>tionships with originators and users of published works</w:t>
            </w:r>
          </w:p>
          <w:p w:rsidR="00000000" w:rsidP="00384F68">
            <w:pPr>
              <w:pStyle w:val="ListBullet"/>
              <w:rPr>
                <w:lang w:val="en-NZ"/>
              </w:rPr>
            </w:pPr>
            <w:r w:rsidRPr="00384F68">
              <w:t>technical skills sufficient to use licensing and/or accounting software</w:t>
            </w:r>
          </w:p>
        </w:tc>
      </w:tr>
      <w:tr w:rsidTr="003C282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84F68">
            <w:pPr>
              <w:pStyle w:val="BodyText"/>
              <w:rPr>
                <w:lang w:val="en-NZ"/>
              </w:rPr>
            </w:pPr>
            <w:r w:rsidRPr="00384F68">
              <w:rPr>
                <w:rStyle w:val="SpecialBold"/>
              </w:rPr>
              <w:t>Required knowledge</w:t>
            </w:r>
          </w:p>
        </w:tc>
      </w:tr>
      <w:tr w:rsidTr="003C282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84F68" w:rsidP="00384F68">
            <w:pPr>
              <w:pStyle w:val="ListBullet"/>
            </w:pPr>
            <w:r w:rsidRPr="00384F68">
              <w:t>copyright legislation as it relates to licensing, publishing, rights and royalties:</w:t>
            </w:r>
          </w:p>
          <w:p w:rsidR="00000000" w:rsidRPr="00384F68" w:rsidP="00384F68">
            <w:pPr>
              <w:pStyle w:val="ListBullet2"/>
            </w:pPr>
            <w:r w:rsidRPr="00384F68">
              <w:t>Copyright Act 1968</w:t>
            </w:r>
          </w:p>
          <w:p w:rsidR="00000000" w:rsidRPr="00384F68" w:rsidP="00384F68">
            <w:pPr>
              <w:pStyle w:val="ListBullet2"/>
            </w:pPr>
            <w:r w:rsidRPr="00384F68">
              <w:t>Copyright Amendment (Digital Agenda) Act 2000</w:t>
            </w:r>
          </w:p>
          <w:p w:rsidR="00000000" w:rsidRPr="00384F68" w:rsidP="00384F68">
            <w:pPr>
              <w:pStyle w:val="ListBullet"/>
            </w:pPr>
            <w:r w:rsidRPr="00384F68">
              <w:t>revenue structures in the music industry</w:t>
            </w:r>
          </w:p>
          <w:p w:rsidR="00000000" w:rsidRPr="00384F68" w:rsidP="00384F68">
            <w:pPr>
              <w:pStyle w:val="ListBullet"/>
            </w:pPr>
            <w:r w:rsidRPr="00384F68">
              <w:t>types of royalty income due to composers and songwriters</w:t>
            </w:r>
          </w:p>
          <w:p w:rsidR="00000000" w:rsidRPr="00384F68" w:rsidP="00384F68">
            <w:pPr>
              <w:pStyle w:val="ListBullet"/>
            </w:pPr>
            <w:r w:rsidRPr="00384F68">
              <w:t>methods for calculating and distributing publishing income</w:t>
            </w:r>
          </w:p>
          <w:p w:rsidR="00000000" w:rsidRPr="00384F68" w:rsidP="00384F68">
            <w:pPr>
              <w:pStyle w:val="ListBullet"/>
            </w:pPr>
            <w:r w:rsidRPr="00384F68">
              <w:t>rights and</w:t>
            </w:r>
            <w:r w:rsidRPr="00384F68">
              <w:t xml:space="preserve"> obligations of publishers and originators of published works</w:t>
            </w:r>
          </w:p>
          <w:p w:rsidR="00000000" w:rsidRPr="00384F68" w:rsidP="00384F68">
            <w:pPr>
              <w:pStyle w:val="ListBullet"/>
            </w:pPr>
            <w:r w:rsidRPr="00384F68">
              <w:t>role and functions of:</w:t>
            </w:r>
          </w:p>
          <w:p w:rsidR="00000000" w:rsidRPr="00384F68" w:rsidP="00384F68">
            <w:pPr>
              <w:pStyle w:val="ListBullet2"/>
            </w:pPr>
            <w:r w:rsidRPr="00384F68">
              <w:t>industry personnel</w:t>
            </w:r>
          </w:p>
          <w:p w:rsidR="00000000" w:rsidRPr="00384F68" w:rsidP="00384F68">
            <w:pPr>
              <w:pStyle w:val="ListBullet2"/>
            </w:pPr>
            <w:r w:rsidRPr="00384F68">
              <w:t>music retail outlets</w:t>
            </w:r>
          </w:p>
          <w:p w:rsidR="00000000" w:rsidRPr="00384F68" w:rsidP="00384F68">
            <w:pPr>
              <w:pStyle w:val="ListBullet2"/>
            </w:pPr>
            <w:r w:rsidRPr="00384F68">
              <w:t>music publishing companies</w:t>
            </w:r>
          </w:p>
          <w:p w:rsidR="00000000" w:rsidRPr="00384F68" w:rsidP="00384F68">
            <w:pPr>
              <w:pStyle w:val="ListBullet2"/>
            </w:pPr>
            <w:r w:rsidRPr="00384F68">
              <w:t>record companies</w:t>
            </w:r>
          </w:p>
          <w:p w:rsidR="00000000" w:rsidRPr="00384F68" w:rsidP="00384F68">
            <w:pPr>
              <w:pStyle w:val="ListBullet2"/>
            </w:pPr>
            <w:r w:rsidRPr="00384F68">
              <w:t>digital distributors/aggregators</w:t>
            </w:r>
          </w:p>
          <w:p w:rsidR="00000000" w:rsidRPr="00384F68" w:rsidP="00384F68">
            <w:pPr>
              <w:pStyle w:val="ListBullet2"/>
            </w:pPr>
            <w:r w:rsidRPr="00384F68">
              <w:t>national and international music industry association</w:t>
            </w:r>
            <w:r w:rsidRPr="00384F68">
              <w:t>s</w:t>
            </w:r>
          </w:p>
          <w:p w:rsidR="00000000" w:rsidRPr="00384F68" w:rsidP="00384F68">
            <w:pPr>
              <w:pStyle w:val="ListBullet"/>
            </w:pPr>
            <w:r w:rsidRPr="00384F68">
              <w:t>routine bookkeeping and accounting procedures</w:t>
            </w:r>
          </w:p>
          <w:p w:rsidR="00000000" w:rsidRPr="00384F68" w:rsidP="00384F68">
            <w:pPr>
              <w:pStyle w:val="ListBullet"/>
            </w:pPr>
            <w:r w:rsidRPr="00384F68">
              <w:t>typical features, requirements and terminology used inpublishing contracts and agreements</w:t>
            </w:r>
          </w:p>
          <w:p w:rsidR="00000000" w:rsidRPr="00384F68" w:rsidP="00384F68">
            <w:pPr>
              <w:pStyle w:val="ListBullet"/>
            </w:pPr>
            <w:r w:rsidRPr="00384F68">
              <w:t>issues and challenges that typically arise in the context of administering publishing income</w:t>
            </w:r>
          </w:p>
        </w:tc>
      </w:tr>
    </w:tbl>
    <w:p w:rsidR="00000000" w:rsidRPr="00384F68" w:rsidP="00384F68">
      <w:pPr>
        <w:pStyle w:val="BodyText"/>
      </w:pPr>
    </w:p>
    <w:p w:rsidR="00000000" w:rsidRPr="00384F68" w:rsidP="00384F68">
      <w:pPr>
        <w:pStyle w:val="AllowPageBreak"/>
      </w:pPr>
    </w:p>
    <w:p w:rsidR="00000000" w:rsidRPr="00384F68" w:rsidP="00384F68">
      <w:pPr>
        <w:pStyle w:val="Heading1"/>
      </w:pPr>
      <w:bookmarkStart w:id="10" w:name="O_380762"/>
      <w:bookmarkEnd w:id="10"/>
      <w:r w:rsidRPr="00384F68">
        <w:t>Evidence Guide</w:t>
      </w:r>
    </w:p>
    <w:tbl>
      <w:tblPr>
        <w:tblW w:w="9570" w:type="dxa"/>
        <w:tblLayout w:type="fixed"/>
        <w:tblCellMar>
          <w:left w:w="62" w:type="dxa"/>
          <w:right w:w="62" w:type="dxa"/>
        </w:tblCellMar>
        <w:tblLook w:val="0000"/>
      </w:tblPr>
      <w:tblGrid>
        <w:gridCol w:w="3908"/>
        <w:gridCol w:w="5662"/>
      </w:tblGrid>
      <w:tr w:rsidTr="003C282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F68">
            <w:pPr>
              <w:pStyle w:val="BodyText"/>
              <w:rPr>
                <w:lang w:val="en-NZ"/>
              </w:rPr>
            </w:pPr>
            <w:r w:rsidRPr="00384F68">
              <w:rPr>
                <w:rStyle w:val="Emphasis"/>
              </w:rPr>
              <w:t>The Evidence Guide provides advice on assessment and must be read in conjunction with the performance criteria, required skills and knowledge, range statement and the Assessment Guidelines for the Training Package.</w:t>
            </w:r>
          </w:p>
        </w:tc>
      </w:tr>
      <w:tr w:rsidTr="003C28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F68">
            <w:pPr>
              <w:pStyle w:val="BodyText"/>
              <w:rPr>
                <w:lang w:val="en-NZ"/>
              </w:rPr>
            </w:pPr>
            <w:r w:rsidRPr="00384F6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F68">
            <w:pPr>
              <w:pStyle w:val="BodyText"/>
              <w:rPr>
                <w:lang w:val="en-NZ"/>
              </w:rPr>
            </w:pPr>
          </w:p>
        </w:tc>
      </w:tr>
      <w:tr w:rsidTr="003C28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F68">
            <w:pPr>
              <w:pStyle w:val="BodyText"/>
              <w:rPr>
                <w:lang w:val="en-NZ"/>
              </w:rPr>
            </w:pPr>
            <w:r w:rsidRPr="00384F6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F68" w:rsidP="00384F68">
            <w:pPr>
              <w:pStyle w:val="BodyText"/>
            </w:pPr>
            <w:r w:rsidRPr="00384F68">
              <w:t>Evidence of the ability to:</w:t>
            </w:r>
          </w:p>
          <w:p w:rsidR="00000000" w:rsidRPr="00384F68" w:rsidP="00384F68">
            <w:pPr>
              <w:pStyle w:val="ListBullet"/>
            </w:pPr>
            <w:r w:rsidRPr="00384F68">
              <w:t>analyse and assess licensing potential of relevant published works</w:t>
            </w:r>
          </w:p>
          <w:p w:rsidR="00000000" w:rsidRPr="00384F68" w:rsidP="00384F68">
            <w:pPr>
              <w:pStyle w:val="ListBullet"/>
            </w:pPr>
            <w:r w:rsidRPr="00384F68">
              <w:t>calculate, collect and distribute royalties</w:t>
            </w:r>
          </w:p>
          <w:p w:rsidR="00000000" w:rsidP="00384F68">
            <w:pPr>
              <w:pStyle w:val="ListBullet"/>
              <w:rPr>
                <w:lang w:val="en-NZ"/>
              </w:rPr>
            </w:pPr>
            <w:r w:rsidRPr="00384F68">
              <w:t>negotiatepublishing ag</w:t>
            </w:r>
            <w:r w:rsidRPr="00384F68">
              <w:t>reements.</w:t>
            </w:r>
          </w:p>
        </w:tc>
      </w:tr>
      <w:tr w:rsidTr="003C28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F68">
            <w:pPr>
              <w:pStyle w:val="BodyText"/>
              <w:rPr>
                <w:lang w:val="en-NZ"/>
              </w:rPr>
            </w:pPr>
            <w:r w:rsidRPr="00384F6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F68" w:rsidP="00384F68">
            <w:pPr>
              <w:pStyle w:val="BodyText"/>
            </w:pPr>
            <w:r w:rsidRPr="00384F68">
              <w:t>Assessment must ensure:</w:t>
            </w:r>
          </w:p>
          <w:p w:rsidR="00000000" w:rsidRPr="00384F68" w:rsidP="00384F68">
            <w:pPr>
              <w:pStyle w:val="ListBullet"/>
            </w:pPr>
            <w:r w:rsidRPr="00384F68">
              <w:t>access to copyright and licensing legislation, including the Copyright Act 1968 and Copyright Amendment (Digital Agenda) Act 2000</w:t>
            </w:r>
          </w:p>
          <w:p w:rsidR="00000000" w:rsidRPr="00384F68" w:rsidP="00384F68">
            <w:pPr>
              <w:pStyle w:val="ListBullet"/>
            </w:pPr>
            <w:r w:rsidRPr="00384F68">
              <w:t>access to copyright licensing and accounting software</w:t>
            </w:r>
          </w:p>
          <w:p w:rsidR="00000000" w:rsidRPr="00384F68" w:rsidP="00384F68">
            <w:pPr>
              <w:pStyle w:val="ListBullet"/>
            </w:pPr>
            <w:r w:rsidRPr="00384F68">
              <w:t>access to industry association agreements</w:t>
            </w:r>
          </w:p>
          <w:p w:rsidR="00000000" w:rsidRPr="00384F68" w:rsidP="00384F68">
            <w:pPr>
              <w:pStyle w:val="ListBullet"/>
            </w:pPr>
            <w:r w:rsidRPr="00384F68">
              <w:t>access to publishers, originators and users of published works</w:t>
            </w:r>
          </w:p>
          <w:p w:rsidR="00000000" w:rsidP="00384F68">
            <w:pPr>
              <w:pStyle w:val="ListBullet"/>
              <w:rPr>
                <w:lang w:val="en-NZ"/>
              </w:rPr>
            </w:pPr>
            <w:r w:rsidRPr="00384F68">
              <w:t xml:space="preserve">use of culturally appropriate processes, and techniques appropriate to the language and literacy </w:t>
            </w:r>
            <w:r w:rsidRPr="00384F68">
              <w:t>capacity of the candidate and the work being performed.</w:t>
            </w:r>
          </w:p>
        </w:tc>
      </w:tr>
      <w:tr w:rsidTr="003C28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F68">
            <w:pPr>
              <w:pStyle w:val="BodyText"/>
              <w:rPr>
                <w:lang w:val="en-NZ"/>
              </w:rPr>
            </w:pPr>
            <w:r w:rsidRPr="00384F6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F68" w:rsidP="00384F68">
            <w:pPr>
              <w:pStyle w:val="BodyText"/>
            </w:pPr>
            <w:r w:rsidRPr="00384F68">
              <w:t>The following assessment methods are appropriate for this unit:</w:t>
            </w:r>
          </w:p>
          <w:p w:rsidR="00000000" w:rsidRPr="00384F68" w:rsidP="00384F68">
            <w:pPr>
              <w:pStyle w:val="ListBullet"/>
            </w:pPr>
            <w:r w:rsidRPr="00384F68">
              <w:t>case studies to assess candidate's ability to negotiate publishing agreements</w:t>
            </w:r>
          </w:p>
          <w:p w:rsidR="00000000" w:rsidRPr="00384F68" w:rsidP="00384F68">
            <w:pPr>
              <w:pStyle w:val="ListBullet"/>
            </w:pPr>
            <w:r w:rsidRPr="00384F68">
              <w:t>direct observation of candidate cal</w:t>
            </w:r>
            <w:r w:rsidRPr="00384F68">
              <w:t>culating, collecting and distributing publishing income</w:t>
            </w:r>
          </w:p>
          <w:p w:rsidR="00000000" w:rsidRPr="00384F68" w:rsidP="00384F68">
            <w:pPr>
              <w:pStyle w:val="ListBullet"/>
            </w:pPr>
            <w:r w:rsidRPr="00384F68">
              <w:t>written or oral questioning to assess knowledge of the process involved in collecting and distributing income from published works</w:t>
            </w:r>
          </w:p>
          <w:p w:rsidR="00000000" w:rsidP="00384F68">
            <w:pPr>
              <w:pStyle w:val="ListBullet"/>
              <w:rPr>
                <w:lang w:val="en-NZ"/>
              </w:rPr>
            </w:pPr>
            <w:r w:rsidRPr="00384F68">
              <w:t>problem-solving activities to assess ability to calculate returns and</w:t>
            </w:r>
            <w:r w:rsidRPr="00384F68">
              <w:t xml:space="preserve"> apportion their distribution.</w:t>
            </w:r>
          </w:p>
        </w:tc>
      </w:tr>
      <w:tr w:rsidTr="003C28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F68">
            <w:pPr>
              <w:pStyle w:val="BodyText"/>
              <w:rPr>
                <w:lang w:val="en-NZ"/>
              </w:rPr>
            </w:pPr>
            <w:r w:rsidRPr="00384F6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F68" w:rsidP="00384F68">
            <w:pPr>
              <w:pStyle w:val="BodyText"/>
            </w:pPr>
            <w:r w:rsidRPr="00384F68">
              <w:t>Holistic assessment with other units relevant to the industry sector, workplace and job role is recommended, for example:</w:t>
            </w:r>
          </w:p>
          <w:p w:rsidR="00000000" w:rsidRPr="00384F68" w:rsidP="00384F68">
            <w:pPr>
              <w:pStyle w:val="ListBullet"/>
            </w:pPr>
            <w:r w:rsidRPr="00384F68">
              <w:t>BSBPUR402B Negotiate contracts</w:t>
            </w:r>
          </w:p>
          <w:p w:rsidR="00000000" w:rsidRPr="00384F68" w:rsidP="00384F68">
            <w:pPr>
              <w:pStyle w:val="ListBullet"/>
            </w:pPr>
            <w:r w:rsidRPr="00384F68">
              <w:t>CUFCMP301A Implement copyright arrangements</w:t>
            </w:r>
          </w:p>
          <w:p w:rsidR="00000000" w:rsidRPr="00384F68" w:rsidP="00384F68">
            <w:pPr>
              <w:pStyle w:val="ListBullet"/>
            </w:pPr>
            <w:r w:rsidRPr="00384F68">
              <w:t>CUSIND401A Develop specialist expertise in the music industry</w:t>
            </w:r>
          </w:p>
          <w:p w:rsidR="00000000" w:rsidRPr="00384F68" w:rsidP="00384F68">
            <w:pPr>
              <w:pStyle w:val="ListBullet"/>
            </w:pPr>
            <w:r w:rsidRPr="00384F68">
              <w:t>CUSMGT401A Manage distribution of music and associated products</w:t>
            </w:r>
          </w:p>
          <w:p w:rsidR="00000000" w:rsidRPr="00384F68" w:rsidP="00384F68">
            <w:pPr>
              <w:pStyle w:val="ListBullet"/>
            </w:pPr>
            <w:r w:rsidRPr="00384F68">
              <w:t>CUSMGT403A Managelicensing of music</w:t>
            </w:r>
          </w:p>
          <w:p w:rsidR="00000000" w:rsidRPr="00384F68" w:rsidP="00384F68">
            <w:pPr>
              <w:pStyle w:val="ListBullet"/>
            </w:pPr>
            <w:r w:rsidRPr="00384F68">
              <w:t>CUSMGT404A Administer artists' royalty income.</w:t>
            </w:r>
          </w:p>
        </w:tc>
      </w:tr>
    </w:tbl>
    <w:p w:rsidR="00000000" w:rsidRPr="00384F68" w:rsidP="00384F68">
      <w:pPr>
        <w:pStyle w:val="BodyText"/>
      </w:pPr>
    </w:p>
    <w:p w:rsidR="00000000" w:rsidRPr="00384F68" w:rsidP="00384F68">
      <w:pPr>
        <w:pStyle w:val="AllowPageBreak"/>
      </w:pPr>
    </w:p>
    <w:p w:rsidR="00000000" w:rsidRPr="00384F68" w:rsidP="00384F68">
      <w:pPr>
        <w:pStyle w:val="Heading1"/>
      </w:pPr>
      <w:bookmarkStart w:id="11" w:name="O_380757"/>
      <w:bookmarkEnd w:id="11"/>
      <w:r w:rsidRPr="00384F68">
        <w:t>Range Statement</w:t>
      </w:r>
    </w:p>
    <w:tbl>
      <w:tblPr>
        <w:tblW w:w="0" w:type="auto"/>
        <w:tblLayout w:type="fixed"/>
        <w:tblCellMar>
          <w:left w:w="62" w:type="dxa"/>
          <w:right w:w="62" w:type="dxa"/>
        </w:tblCellMar>
        <w:tblLook w:val="0000"/>
      </w:tblPr>
      <w:tblGrid>
        <w:gridCol w:w="3368"/>
        <w:gridCol w:w="5154"/>
      </w:tblGrid>
      <w:tr w:rsidTr="003C282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F68">
            <w:pPr>
              <w:pStyle w:val="BodyText"/>
              <w:rPr>
                <w:lang w:val="en-NZ"/>
              </w:rPr>
            </w:pPr>
            <w:r w:rsidRPr="00384F68">
              <w:rPr>
                <w:rStyle w:val="Emphasis"/>
              </w:rPr>
              <w:t>The range statement relates to the unit of competency as a whole. It allows for different work environments and situations that may affect performance. Bold italicised wording, if used in the performance criteria, is detaile</w:t>
            </w:r>
            <w:r w:rsidRPr="00384F68">
              <w:rPr>
                <w:rStyle w:val="Emphasis"/>
              </w:rPr>
              <w:t>d below. Essential operating conditions that may be present with training and assessment (depending on the work situation, needs of the candidate, accessibility of the item, and local industry and regional contexts) may also be included.</w:t>
            </w:r>
          </w:p>
        </w:tc>
      </w:tr>
      <w:tr w:rsidTr="003C2823">
        <w:tblPrEx>
          <w:tblW w:w="0" w:type="auto"/>
          <w:tblLayout w:type="fixed"/>
          <w:tblCellMar>
            <w:left w:w="62" w:type="dxa"/>
            <w:right w:w="62" w:type="dxa"/>
          </w:tblCellMar>
          <w:tblLook w:val="0000"/>
        </w:tblPrEx>
        <w:tc>
          <w:tcPr>
            <w:tcW w:w="3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F68">
            <w:pPr>
              <w:pStyle w:val="BodyText"/>
              <w:rPr>
                <w:lang w:val="en-NZ"/>
              </w:rPr>
            </w:pPr>
            <w:r w:rsidRPr="00384F68">
              <w:rPr>
                <w:rStyle w:val="BoldandItalics"/>
              </w:rPr>
              <w:t>Publishing inc</w:t>
            </w:r>
            <w:r w:rsidRPr="00384F68">
              <w:rPr>
                <w:rStyle w:val="BoldandItalics"/>
              </w:rPr>
              <w:t>ome</w:t>
            </w:r>
            <w:r w:rsidRPr="00384F68">
              <w:t xml:space="preserve"> may include:</w:t>
            </w:r>
          </w:p>
        </w:tc>
        <w:tc>
          <w:tcPr>
            <w:tcW w:w="5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F68" w:rsidP="00384F68">
            <w:pPr>
              <w:pStyle w:val="ListBullet"/>
            </w:pPr>
            <w:r w:rsidRPr="00384F68">
              <w:t>mechanical income derived from audio-only recordings, such as:</w:t>
            </w:r>
          </w:p>
          <w:p w:rsidR="00000000" w:rsidRPr="00384F68" w:rsidP="00384F68">
            <w:pPr>
              <w:pStyle w:val="ListBullet2"/>
            </w:pPr>
            <w:r w:rsidRPr="00384F68">
              <w:t>retail sales</w:t>
            </w:r>
          </w:p>
          <w:p w:rsidR="00000000" w:rsidRPr="00384F68" w:rsidP="00384F68">
            <w:pPr>
              <w:pStyle w:val="ListBullet2"/>
            </w:pPr>
            <w:r w:rsidRPr="00384F68">
              <w:t>demo/audition recordings</w:t>
            </w:r>
          </w:p>
          <w:p w:rsidR="00000000" w:rsidRPr="00384F68" w:rsidP="00384F68">
            <w:pPr>
              <w:pStyle w:val="ListBullet2"/>
            </w:pPr>
            <w:r w:rsidRPr="00384F68">
              <w:t>educational recordings</w:t>
            </w:r>
          </w:p>
          <w:p w:rsidR="00000000" w:rsidRPr="00384F68" w:rsidP="00384F68">
            <w:pPr>
              <w:pStyle w:val="ListBullet2"/>
            </w:pPr>
            <w:r w:rsidRPr="00384F68">
              <w:t>premiums</w:t>
            </w:r>
          </w:p>
          <w:p w:rsidR="00000000" w:rsidRPr="00384F68" w:rsidP="00384F68">
            <w:pPr>
              <w:pStyle w:val="ListBullet2"/>
            </w:pPr>
            <w:r w:rsidRPr="00384F68">
              <w:t>ringtones</w:t>
            </w:r>
          </w:p>
          <w:p w:rsidR="00000000" w:rsidRPr="00384F68" w:rsidP="00384F68">
            <w:pPr>
              <w:pStyle w:val="ListBullet2"/>
            </w:pPr>
            <w:r w:rsidRPr="00384F68">
              <w:t>downloads</w:t>
            </w:r>
          </w:p>
          <w:p w:rsidR="00000000" w:rsidRPr="00384F68" w:rsidP="00384F68">
            <w:pPr>
              <w:pStyle w:val="ListBullet"/>
            </w:pPr>
            <w:r w:rsidRPr="00384F68">
              <w:t>print income derived from printed works, e.g. sheet music sales</w:t>
            </w:r>
          </w:p>
          <w:p w:rsidR="00000000" w:rsidRPr="00384F68" w:rsidP="00384F68">
            <w:pPr>
              <w:pStyle w:val="ListBullet"/>
            </w:pPr>
            <w:r w:rsidRPr="00384F68">
              <w:t>public performance income derived from publicly performed works, such as:</w:t>
            </w:r>
          </w:p>
          <w:p w:rsidR="00000000" w:rsidRPr="00384F68" w:rsidP="00384F68">
            <w:pPr>
              <w:pStyle w:val="ListBullet2"/>
            </w:pPr>
            <w:r w:rsidRPr="00384F68">
              <w:t>internet downloads</w:t>
            </w:r>
          </w:p>
          <w:p w:rsidR="00000000" w:rsidRPr="00384F68" w:rsidP="00384F68">
            <w:pPr>
              <w:pStyle w:val="ListBullet2"/>
            </w:pPr>
            <w:r w:rsidRPr="00384F68">
              <w:t>live performances</w:t>
            </w:r>
          </w:p>
          <w:p w:rsidR="00000000" w:rsidRPr="00384F68" w:rsidP="00384F68">
            <w:pPr>
              <w:pStyle w:val="ListBullet2"/>
            </w:pPr>
            <w:r w:rsidRPr="00384F68">
              <w:t>mobile phone ringtones</w:t>
            </w:r>
          </w:p>
          <w:p w:rsidR="00000000" w:rsidRPr="00384F68" w:rsidP="00384F68">
            <w:pPr>
              <w:pStyle w:val="ListBullet2"/>
            </w:pPr>
            <w:r w:rsidRPr="00384F68">
              <w:t>radio</w:t>
            </w:r>
          </w:p>
          <w:p w:rsidR="00000000" w:rsidRPr="00384F68" w:rsidP="00384F68">
            <w:pPr>
              <w:pStyle w:val="ListBullet2"/>
            </w:pPr>
            <w:r w:rsidRPr="00384F68">
              <w:t>television</w:t>
            </w:r>
          </w:p>
          <w:p w:rsidR="00000000" w:rsidRPr="00384F68" w:rsidP="00384F68">
            <w:pPr>
              <w:pStyle w:val="ListBullet"/>
            </w:pPr>
            <w:r w:rsidRPr="00384F68">
              <w:t>licensing/synchronisation income derived from audiovisual works, such as:</w:t>
            </w:r>
          </w:p>
          <w:p w:rsidR="00000000" w:rsidRPr="00384F68" w:rsidP="00384F68">
            <w:pPr>
              <w:pStyle w:val="ListBullet2"/>
            </w:pPr>
            <w:r w:rsidRPr="00384F68">
              <w:t>DVD</w:t>
            </w:r>
          </w:p>
          <w:p w:rsidR="00000000" w:rsidRPr="00384F68" w:rsidP="00384F68">
            <w:pPr>
              <w:pStyle w:val="ListBullet2"/>
            </w:pPr>
            <w:r w:rsidRPr="00384F68">
              <w:t>film</w:t>
            </w:r>
          </w:p>
          <w:p w:rsidR="00000000" w:rsidRPr="00384F68" w:rsidP="00384F68">
            <w:pPr>
              <w:pStyle w:val="ListBullet2"/>
            </w:pPr>
            <w:r w:rsidRPr="00384F68">
              <w:t>television</w:t>
            </w:r>
          </w:p>
          <w:p w:rsidR="00000000" w:rsidP="00384F68">
            <w:pPr>
              <w:pStyle w:val="ListBullet2"/>
              <w:rPr>
                <w:lang w:val="en-NZ"/>
              </w:rPr>
            </w:pPr>
            <w:r w:rsidRPr="00384F68">
              <w:t>video.</w:t>
            </w:r>
          </w:p>
        </w:tc>
      </w:tr>
      <w:tr w:rsidTr="003C2823">
        <w:tblPrEx>
          <w:tblW w:w="0" w:type="auto"/>
          <w:tblLayout w:type="fixed"/>
          <w:tblCellMar>
            <w:left w:w="62" w:type="dxa"/>
            <w:right w:w="62" w:type="dxa"/>
          </w:tblCellMar>
          <w:tblLook w:val="0000"/>
        </w:tblPrEx>
        <w:tc>
          <w:tcPr>
            <w:tcW w:w="3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F68">
            <w:pPr>
              <w:pStyle w:val="BodyText"/>
              <w:rPr>
                <w:lang w:val="en-NZ"/>
              </w:rPr>
            </w:pPr>
            <w:r w:rsidRPr="00384F68">
              <w:rPr>
                <w:rStyle w:val="BoldandItalics"/>
              </w:rPr>
              <w:t>Industry association agreements</w:t>
            </w:r>
            <w:r w:rsidRPr="00384F68">
              <w:t xml:space="preserve"> may include:</w:t>
            </w:r>
          </w:p>
        </w:tc>
        <w:tc>
          <w:tcPr>
            <w:tcW w:w="5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F68" w:rsidP="00384F68">
            <w:pPr>
              <w:pStyle w:val="ListBullet"/>
            </w:pPr>
            <w:r w:rsidRPr="00384F68">
              <w:t>Physical Product Licence Scheme: Australasian Mechanical Copyright Owners Society (AMCOS)</w:t>
            </w:r>
          </w:p>
          <w:p w:rsidR="00000000" w:rsidP="00384F68">
            <w:pPr>
              <w:pStyle w:val="ListBullet"/>
              <w:rPr>
                <w:lang w:val="en-NZ"/>
              </w:rPr>
            </w:pPr>
            <w:r w:rsidRPr="00384F68">
              <w:t>Joint Licence Scheme: Australasian Performing Rights Association (APRA) and Australasian Mechanical Copyright Owners Society (AMCOS).</w:t>
            </w:r>
          </w:p>
        </w:tc>
      </w:tr>
      <w:tr w:rsidTr="003C2823">
        <w:tblPrEx>
          <w:tblW w:w="0" w:type="auto"/>
          <w:tblLayout w:type="fixed"/>
          <w:tblCellMar>
            <w:left w:w="62" w:type="dxa"/>
            <w:right w:w="62" w:type="dxa"/>
          </w:tblCellMar>
          <w:tblLook w:val="0000"/>
        </w:tblPrEx>
        <w:tc>
          <w:tcPr>
            <w:tcW w:w="3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F68">
            <w:pPr>
              <w:pStyle w:val="BodyText"/>
              <w:rPr>
                <w:lang w:val="en-NZ"/>
              </w:rPr>
            </w:pPr>
            <w:r w:rsidRPr="00384F68">
              <w:rPr>
                <w:rStyle w:val="BoldandItalics"/>
              </w:rPr>
              <w:t>Royalties</w:t>
            </w:r>
            <w:r w:rsidRPr="00384F68">
              <w:t xml:space="preserve"> may include:</w:t>
            </w:r>
          </w:p>
        </w:tc>
        <w:tc>
          <w:tcPr>
            <w:tcW w:w="5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F68" w:rsidP="00384F68">
            <w:pPr>
              <w:pStyle w:val="ListBullet"/>
            </w:pPr>
            <w:r w:rsidRPr="00384F68">
              <w:t>mechanical</w:t>
            </w:r>
          </w:p>
          <w:p w:rsidR="00000000" w:rsidRPr="00384F68" w:rsidP="00384F68">
            <w:pPr>
              <w:pStyle w:val="ListBullet"/>
            </w:pPr>
            <w:r w:rsidRPr="00384F68">
              <w:t>public performance, such as:</w:t>
            </w:r>
          </w:p>
          <w:p w:rsidR="00000000" w:rsidRPr="00384F68" w:rsidP="00384F68">
            <w:pPr>
              <w:pStyle w:val="ListBullet2"/>
            </w:pPr>
            <w:r w:rsidRPr="00384F68">
              <w:t xml:space="preserve">advertising </w:t>
            </w:r>
          </w:p>
          <w:p w:rsidR="00000000" w:rsidRPr="00384F68" w:rsidP="00384F68">
            <w:pPr>
              <w:pStyle w:val="ListBullet2"/>
            </w:pPr>
            <w:r w:rsidRPr="00384F68">
              <w:t>aerobic and fitness classes</w:t>
            </w:r>
          </w:p>
          <w:p w:rsidR="00000000" w:rsidRPr="00384F68" w:rsidP="00384F68">
            <w:pPr>
              <w:pStyle w:val="ListBullet2"/>
            </w:pPr>
            <w:r w:rsidRPr="00384F68">
              <w:t xml:space="preserve">background/in-store music </w:t>
            </w:r>
          </w:p>
          <w:p w:rsidR="00000000" w:rsidRPr="00384F68" w:rsidP="00384F68">
            <w:pPr>
              <w:pStyle w:val="ListBullet2"/>
            </w:pPr>
            <w:r w:rsidRPr="00384F68">
              <w:t>churches</w:t>
            </w:r>
          </w:p>
          <w:p w:rsidR="00000000" w:rsidRPr="00384F68" w:rsidP="00384F68">
            <w:pPr>
              <w:pStyle w:val="ListBullet2"/>
            </w:pPr>
            <w:r w:rsidRPr="00384F68">
              <w:t>cinemas/film screenings</w:t>
            </w:r>
          </w:p>
          <w:p w:rsidR="00000000" w:rsidRPr="00384F68" w:rsidP="00384F68">
            <w:pPr>
              <w:pStyle w:val="ListBullet2"/>
            </w:pPr>
            <w:r w:rsidRPr="00384F68">
              <w:t>dance clubs, including mobile discos</w:t>
            </w:r>
          </w:p>
          <w:p w:rsidR="00000000" w:rsidRPr="00384F68" w:rsidP="00384F68">
            <w:pPr>
              <w:pStyle w:val="ListBullet2"/>
            </w:pPr>
            <w:r w:rsidRPr="00384F68">
              <w:t>dance schools</w:t>
            </w:r>
          </w:p>
          <w:p w:rsidR="00000000" w:rsidRPr="00384F68" w:rsidP="00384F68">
            <w:pPr>
              <w:pStyle w:val="ListBullet2"/>
            </w:pPr>
            <w:r w:rsidRPr="00384F68">
              <w:t>jukebox and videos</w:t>
            </w:r>
          </w:p>
          <w:p w:rsidR="00000000" w:rsidRPr="00384F68" w:rsidP="00384F68">
            <w:pPr>
              <w:pStyle w:val="ListBullet2"/>
            </w:pPr>
            <w:r w:rsidRPr="00384F68">
              <w:t>live music venues, e.g. clubs and hotels</w:t>
            </w:r>
          </w:p>
          <w:p w:rsidR="00000000" w:rsidRPr="00384F68" w:rsidP="00384F68">
            <w:pPr>
              <w:pStyle w:val="ListBullet2"/>
            </w:pPr>
            <w:r w:rsidRPr="00384F68">
              <w:t>radio stations, including commercial, community and narrowcast</w:t>
            </w:r>
          </w:p>
          <w:p w:rsidR="00000000" w:rsidRPr="00384F68" w:rsidP="00384F68">
            <w:pPr>
              <w:pStyle w:val="ListBullet2"/>
            </w:pPr>
            <w:r w:rsidRPr="00384F68">
              <w:t>ringtone providers</w:t>
            </w:r>
          </w:p>
          <w:p w:rsidR="00000000" w:rsidRPr="00384F68" w:rsidP="00384F68">
            <w:pPr>
              <w:pStyle w:val="ListBullet2"/>
            </w:pPr>
            <w:r w:rsidRPr="00384F68">
              <w:t>sch</w:t>
            </w:r>
            <w:r w:rsidRPr="00384F68">
              <w:t>ools</w:t>
            </w:r>
          </w:p>
          <w:p w:rsidR="00000000" w:rsidRPr="00384F68" w:rsidP="00384F68">
            <w:pPr>
              <w:pStyle w:val="ListBullet2"/>
            </w:pPr>
            <w:r w:rsidRPr="00384F68">
              <w:t>sporting arenas and stadiums</w:t>
            </w:r>
          </w:p>
          <w:p w:rsidR="00000000" w:rsidRPr="00384F68" w:rsidP="00384F68">
            <w:pPr>
              <w:pStyle w:val="ListBullet2"/>
            </w:pPr>
            <w:r w:rsidRPr="00384F68">
              <w:t>television stations, including public, commercial, community, narrowcast and subscription</w:t>
            </w:r>
          </w:p>
          <w:p w:rsidR="00000000" w:rsidRPr="00384F68" w:rsidP="00384F68">
            <w:pPr>
              <w:pStyle w:val="ListBullet2"/>
            </w:pPr>
            <w:r w:rsidRPr="00384F68">
              <w:t>webcasters</w:t>
            </w:r>
          </w:p>
          <w:p w:rsidR="00000000" w:rsidRPr="00384F68" w:rsidP="00384F68">
            <w:pPr>
              <w:pStyle w:val="ListBullet"/>
            </w:pPr>
            <w:r w:rsidRPr="00384F68">
              <w:t>sheet music</w:t>
            </w:r>
          </w:p>
          <w:p w:rsidR="00000000" w:rsidRPr="00384F68" w:rsidP="00384F68">
            <w:pPr>
              <w:pStyle w:val="ListBullet"/>
            </w:pPr>
            <w:r w:rsidRPr="00384F68">
              <w:t>synchronisation:</w:t>
            </w:r>
          </w:p>
          <w:p w:rsidR="00000000" w:rsidRPr="00384F68" w:rsidP="00384F68">
            <w:pPr>
              <w:pStyle w:val="ListBullet2"/>
            </w:pPr>
            <w:r w:rsidRPr="00384F68">
              <w:t>production music</w:t>
            </w:r>
          </w:p>
          <w:p w:rsidR="00000000" w:rsidRPr="00384F68" w:rsidP="00384F68">
            <w:pPr>
              <w:pStyle w:val="ListBullet2"/>
            </w:pPr>
            <w:r w:rsidRPr="00384F68">
              <w:t>original soundtrack material</w:t>
            </w:r>
          </w:p>
          <w:p w:rsidR="00000000" w:rsidRPr="00384F68" w:rsidP="00384F68">
            <w:pPr>
              <w:pStyle w:val="ListBullet2"/>
            </w:pPr>
            <w:r w:rsidRPr="00384F68">
              <w:t>prerecorded and released material</w:t>
            </w:r>
          </w:p>
          <w:p w:rsidR="00000000" w:rsidP="00384F68">
            <w:pPr>
              <w:pStyle w:val="ListBullet"/>
              <w:rPr>
                <w:lang w:val="en-NZ"/>
              </w:rPr>
            </w:pPr>
            <w:r w:rsidRPr="00384F68">
              <w:t>third-party goods and services.</w:t>
            </w:r>
          </w:p>
        </w:tc>
      </w:tr>
      <w:tr w:rsidTr="003C2823">
        <w:tblPrEx>
          <w:tblW w:w="0" w:type="auto"/>
          <w:tblLayout w:type="fixed"/>
          <w:tblCellMar>
            <w:left w:w="62" w:type="dxa"/>
            <w:right w:w="62" w:type="dxa"/>
          </w:tblCellMar>
          <w:tblLook w:val="0000"/>
        </w:tblPrEx>
        <w:tc>
          <w:tcPr>
            <w:tcW w:w="3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F68">
            <w:pPr>
              <w:pStyle w:val="BodyText"/>
              <w:rPr>
                <w:lang w:val="en-NZ"/>
              </w:rPr>
            </w:pPr>
            <w:r w:rsidRPr="00384F68">
              <w:rPr>
                <w:rStyle w:val="BoldandItalics"/>
              </w:rPr>
              <w:t>Works</w:t>
            </w:r>
            <w:r w:rsidRPr="00384F68">
              <w:t xml:space="preserve"> may include:</w:t>
            </w:r>
          </w:p>
        </w:tc>
        <w:tc>
          <w:tcPr>
            <w:tcW w:w="5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F68" w:rsidP="00384F68">
            <w:pPr>
              <w:pStyle w:val="ListBullet"/>
            </w:pPr>
            <w:r w:rsidRPr="00384F68">
              <w:t>songs</w:t>
            </w:r>
          </w:p>
          <w:p w:rsidR="00000000" w:rsidRPr="00384F68" w:rsidP="00384F68">
            <w:pPr>
              <w:pStyle w:val="ListBullet"/>
            </w:pPr>
            <w:r w:rsidRPr="00384F68">
              <w:t>jingles</w:t>
            </w:r>
          </w:p>
          <w:p w:rsidR="00000000" w:rsidRPr="00384F68" w:rsidP="00384F68">
            <w:pPr>
              <w:pStyle w:val="ListBullet"/>
            </w:pPr>
            <w:r w:rsidRPr="00384F68">
              <w:t>soundtracks</w:t>
            </w:r>
          </w:p>
          <w:p w:rsidR="00000000" w:rsidP="00384F68">
            <w:pPr>
              <w:pStyle w:val="ListBullet"/>
              <w:rPr>
                <w:lang w:val="en-NZ"/>
              </w:rPr>
            </w:pPr>
            <w:r w:rsidRPr="00384F68">
              <w:t>compositions.</w:t>
            </w:r>
          </w:p>
        </w:tc>
      </w:tr>
      <w:tr w:rsidTr="003C2823">
        <w:tblPrEx>
          <w:tblW w:w="0" w:type="auto"/>
          <w:tblLayout w:type="fixed"/>
          <w:tblCellMar>
            <w:left w:w="62" w:type="dxa"/>
            <w:right w:w="62" w:type="dxa"/>
          </w:tblCellMar>
          <w:tblLook w:val="0000"/>
        </w:tblPrEx>
        <w:tc>
          <w:tcPr>
            <w:tcW w:w="3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F68">
            <w:pPr>
              <w:pStyle w:val="BodyText"/>
              <w:rPr>
                <w:lang w:val="en-NZ"/>
              </w:rPr>
            </w:pPr>
            <w:r w:rsidRPr="00384F68">
              <w:rPr>
                <w:rStyle w:val="BoldandItalics"/>
              </w:rPr>
              <w:t>Originators</w:t>
            </w:r>
            <w:r w:rsidRPr="00384F68">
              <w:t xml:space="preserve"> may include:</w:t>
            </w:r>
          </w:p>
        </w:tc>
        <w:tc>
          <w:tcPr>
            <w:tcW w:w="5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F68" w:rsidP="00384F68">
            <w:pPr>
              <w:pStyle w:val="ListBullet"/>
            </w:pPr>
            <w:r w:rsidRPr="00384F68">
              <w:t>songwriters</w:t>
            </w:r>
          </w:p>
          <w:p w:rsidR="00000000" w:rsidRPr="00384F68" w:rsidP="00384F68">
            <w:pPr>
              <w:pStyle w:val="ListBullet"/>
            </w:pPr>
            <w:r w:rsidRPr="00384F68">
              <w:t>composers</w:t>
            </w:r>
          </w:p>
          <w:p w:rsidR="00000000" w:rsidRPr="00384F68" w:rsidP="00384F68">
            <w:pPr>
              <w:pStyle w:val="ListBullet"/>
            </w:pPr>
            <w:r w:rsidRPr="00384F68">
              <w:t>arrangers</w:t>
            </w:r>
          </w:p>
          <w:p w:rsidR="00000000" w:rsidP="00384F68">
            <w:pPr>
              <w:pStyle w:val="ListBullet"/>
              <w:rPr>
                <w:lang w:val="en-NZ"/>
              </w:rPr>
            </w:pPr>
            <w:r w:rsidRPr="00384F68">
              <w:t>lyric writers.</w:t>
            </w:r>
          </w:p>
        </w:tc>
      </w:tr>
      <w:tr w:rsidTr="003C2823">
        <w:tblPrEx>
          <w:tblW w:w="0" w:type="auto"/>
          <w:tblLayout w:type="fixed"/>
          <w:tblCellMar>
            <w:left w:w="62" w:type="dxa"/>
            <w:right w:w="62" w:type="dxa"/>
          </w:tblCellMar>
          <w:tblLook w:val="0000"/>
        </w:tblPrEx>
        <w:tc>
          <w:tcPr>
            <w:tcW w:w="3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F68">
            <w:pPr>
              <w:pStyle w:val="BodyText"/>
              <w:rPr>
                <w:lang w:val="en-NZ"/>
              </w:rPr>
            </w:pPr>
            <w:r w:rsidRPr="00384F68">
              <w:rPr>
                <w:rStyle w:val="BoldandItalics"/>
              </w:rPr>
              <w:t>Publishing agreement</w:t>
            </w:r>
            <w:r w:rsidRPr="00384F68">
              <w:t xml:space="preserve"> may include:</w:t>
            </w:r>
          </w:p>
        </w:tc>
        <w:tc>
          <w:tcPr>
            <w:tcW w:w="5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F68" w:rsidP="00384F68">
            <w:pPr>
              <w:pStyle w:val="ListBullet"/>
            </w:pPr>
            <w:r w:rsidRPr="00384F68">
              <w:t>term publishing</w:t>
            </w:r>
          </w:p>
          <w:p w:rsidR="00000000" w:rsidRPr="00384F68" w:rsidP="00384F68">
            <w:pPr>
              <w:pStyle w:val="ListBullet"/>
            </w:pPr>
            <w:r w:rsidRPr="00384F68">
              <w:t>administration deal</w:t>
            </w:r>
          </w:p>
          <w:p w:rsidR="00000000" w:rsidRPr="00384F68" w:rsidP="00384F68">
            <w:pPr>
              <w:pStyle w:val="ListBullet"/>
            </w:pPr>
            <w:r w:rsidRPr="00384F68">
              <w:t>single-song assignment</w:t>
            </w:r>
          </w:p>
          <w:p w:rsidR="00000000" w:rsidRPr="00384F68" w:rsidP="00384F68">
            <w:pPr>
              <w:pStyle w:val="ListBullet"/>
            </w:pPr>
            <w:r w:rsidRPr="00384F68">
              <w:t>sub-publishing</w:t>
            </w:r>
          </w:p>
          <w:p w:rsidR="00000000" w:rsidP="00384F68">
            <w:pPr>
              <w:pStyle w:val="ListBullet"/>
              <w:rPr>
                <w:lang w:val="en-NZ"/>
              </w:rPr>
            </w:pPr>
            <w:r w:rsidRPr="00384F68">
              <w:t>work for hire.</w:t>
            </w:r>
          </w:p>
        </w:tc>
      </w:tr>
      <w:tr w:rsidTr="003C2823">
        <w:tblPrEx>
          <w:tblW w:w="0" w:type="auto"/>
          <w:tblLayout w:type="fixed"/>
          <w:tblCellMar>
            <w:left w:w="62" w:type="dxa"/>
            <w:right w:w="62" w:type="dxa"/>
          </w:tblCellMar>
          <w:tblLook w:val="0000"/>
        </w:tblPrEx>
        <w:tc>
          <w:tcPr>
            <w:tcW w:w="3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F68">
            <w:pPr>
              <w:pStyle w:val="BodyText"/>
              <w:rPr>
                <w:lang w:val="en-NZ"/>
              </w:rPr>
            </w:pPr>
            <w:r w:rsidRPr="00384F68">
              <w:rPr>
                <w:rStyle w:val="BoldandItalics"/>
              </w:rPr>
              <w:t>Terms and conditions</w:t>
            </w:r>
            <w:r w:rsidRPr="00384F68">
              <w:t xml:space="preserve"> may include:</w:t>
            </w:r>
          </w:p>
        </w:tc>
        <w:tc>
          <w:tcPr>
            <w:tcW w:w="5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F68" w:rsidP="00384F68">
            <w:pPr>
              <w:pStyle w:val="ListBullet"/>
            </w:pPr>
            <w:r w:rsidRPr="00384F68">
              <w:t>advances</w:t>
            </w:r>
          </w:p>
          <w:p w:rsidR="00000000" w:rsidRPr="00384F68" w:rsidP="00384F68">
            <w:pPr>
              <w:pStyle w:val="ListBullet"/>
            </w:pPr>
            <w:r w:rsidRPr="00384F68">
              <w:t>royalty payment schedule:</w:t>
            </w:r>
          </w:p>
          <w:p w:rsidR="00000000" w:rsidRPr="00384F68" w:rsidP="00384F68">
            <w:pPr>
              <w:pStyle w:val="ListBullet2"/>
            </w:pPr>
            <w:r w:rsidRPr="00384F68">
              <w:t>general</w:t>
            </w:r>
          </w:p>
          <w:p w:rsidR="00000000" w:rsidRPr="00384F68" w:rsidP="00384F68">
            <w:pPr>
              <w:pStyle w:val="ListBullet2"/>
            </w:pPr>
            <w:r w:rsidRPr="00384F68">
              <w:t>public performance/communication</w:t>
            </w:r>
          </w:p>
          <w:p w:rsidR="00000000" w:rsidRPr="00384F68" w:rsidP="00384F68">
            <w:pPr>
              <w:pStyle w:val="ListBullet2"/>
            </w:pPr>
            <w:r w:rsidRPr="00384F68">
              <w:t>sheet music</w:t>
            </w:r>
          </w:p>
          <w:p w:rsidR="00000000" w:rsidRPr="00384F68" w:rsidP="00384F68">
            <w:pPr>
              <w:pStyle w:val="ListBullet2"/>
            </w:pPr>
            <w:r w:rsidRPr="00384F68">
              <w:t>synchronisation and covers</w:t>
            </w:r>
          </w:p>
          <w:p w:rsidR="00000000" w:rsidRPr="00384F68" w:rsidP="00384F68">
            <w:pPr>
              <w:pStyle w:val="ListBullet"/>
            </w:pPr>
            <w:r w:rsidRPr="00384F68">
              <w:t>assignment of copyright</w:t>
            </w:r>
          </w:p>
          <w:p w:rsidR="00000000" w:rsidRPr="00384F68" w:rsidP="00384F68">
            <w:pPr>
              <w:pStyle w:val="ListBullet"/>
            </w:pPr>
            <w:r w:rsidRPr="00384F68">
              <w:t>creative control</w:t>
            </w:r>
          </w:p>
          <w:p w:rsidR="00000000" w:rsidRPr="00384F68" w:rsidP="00384F68">
            <w:pPr>
              <w:pStyle w:val="ListBullet"/>
            </w:pPr>
            <w:r w:rsidRPr="00384F68">
              <w:t>duration, e.g. term and retention</w:t>
            </w:r>
          </w:p>
          <w:p w:rsidR="00000000" w:rsidRPr="00384F68" w:rsidP="00384F68">
            <w:pPr>
              <w:pStyle w:val="ListBullet"/>
            </w:pPr>
            <w:r w:rsidRPr="00384F68">
              <w:t>enforcement of rights</w:t>
            </w:r>
          </w:p>
          <w:p w:rsidR="00000000" w:rsidRPr="00384F68" w:rsidP="00384F68">
            <w:pPr>
              <w:pStyle w:val="ListBullet"/>
            </w:pPr>
            <w:r w:rsidRPr="00384F68">
              <w:t>goods and services tax (GST)</w:t>
            </w:r>
          </w:p>
          <w:p w:rsidR="00000000" w:rsidRPr="00384F68" w:rsidP="00384F68">
            <w:pPr>
              <w:pStyle w:val="ListBullet"/>
            </w:pPr>
            <w:r w:rsidRPr="00384F68">
              <w:t>independent advice</w:t>
            </w:r>
          </w:p>
          <w:p w:rsidR="00000000" w:rsidRPr="00384F68" w:rsidP="00384F68">
            <w:pPr>
              <w:pStyle w:val="ListBullet"/>
            </w:pPr>
            <w:r w:rsidRPr="00384F68">
              <w:t>jurisdiction</w:t>
            </w:r>
          </w:p>
          <w:p w:rsidR="00000000" w:rsidRPr="00384F68" w:rsidP="00384F68">
            <w:pPr>
              <w:pStyle w:val="ListBullet"/>
            </w:pPr>
            <w:r w:rsidRPr="00384F68">
              <w:t>notices</w:t>
            </w:r>
          </w:p>
          <w:p w:rsidR="00000000" w:rsidRPr="00384F68" w:rsidP="00384F68">
            <w:pPr>
              <w:pStyle w:val="ListBullet"/>
            </w:pPr>
            <w:r w:rsidRPr="00384F68">
              <w:t>obligation to exploit</w:t>
            </w:r>
          </w:p>
          <w:p w:rsidR="00000000" w:rsidRPr="00384F68" w:rsidP="00384F68">
            <w:pPr>
              <w:pStyle w:val="ListBullet"/>
            </w:pPr>
            <w:r w:rsidRPr="00384F68">
              <w:t>overseas income</w:t>
            </w:r>
          </w:p>
          <w:p w:rsidR="00000000" w:rsidRPr="00384F68" w:rsidP="00384F68">
            <w:pPr>
              <w:pStyle w:val="ListBullet"/>
            </w:pPr>
            <w:r w:rsidRPr="00384F68">
              <w:t>productivity commitment</w:t>
            </w:r>
          </w:p>
          <w:p w:rsidR="00000000" w:rsidRPr="00384F68" w:rsidP="00384F68">
            <w:pPr>
              <w:pStyle w:val="ListBullet"/>
            </w:pPr>
            <w:r w:rsidRPr="00384F68">
              <w:t>promises and warranties</w:t>
            </w:r>
          </w:p>
          <w:p w:rsidR="00000000" w:rsidRPr="00384F68" w:rsidP="00384F68">
            <w:pPr>
              <w:pStyle w:val="ListBullet"/>
            </w:pPr>
            <w:r w:rsidRPr="00384F68">
              <w:t>recoupment</w:t>
            </w:r>
          </w:p>
          <w:p w:rsidR="00000000" w:rsidRPr="00384F68" w:rsidP="00384F68">
            <w:pPr>
              <w:pStyle w:val="ListBullet"/>
            </w:pPr>
            <w:r w:rsidRPr="00384F68">
              <w:t>reversion of copyright</w:t>
            </w:r>
          </w:p>
          <w:p w:rsidR="00000000" w:rsidRPr="00384F68" w:rsidP="00384F68">
            <w:pPr>
              <w:pStyle w:val="ListBullet"/>
            </w:pPr>
            <w:r w:rsidRPr="00384F68">
              <w:t>termination</w:t>
            </w:r>
          </w:p>
          <w:p w:rsidR="00000000" w:rsidP="00384F68">
            <w:pPr>
              <w:pStyle w:val="ListBullet"/>
              <w:rPr>
                <w:lang w:val="en-NZ"/>
              </w:rPr>
            </w:pPr>
            <w:r w:rsidRPr="00384F68">
              <w:t>territory.</w:t>
            </w:r>
          </w:p>
        </w:tc>
      </w:tr>
      <w:tr w:rsidTr="003C2823">
        <w:tblPrEx>
          <w:tblW w:w="0" w:type="auto"/>
          <w:tblLayout w:type="fixed"/>
          <w:tblCellMar>
            <w:left w:w="62" w:type="dxa"/>
            <w:right w:w="62" w:type="dxa"/>
          </w:tblCellMar>
          <w:tblLook w:val="0000"/>
        </w:tblPrEx>
        <w:tc>
          <w:tcPr>
            <w:tcW w:w="3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F68">
            <w:pPr>
              <w:pStyle w:val="BodyText"/>
              <w:rPr>
                <w:lang w:val="en-NZ"/>
              </w:rPr>
            </w:pPr>
            <w:r w:rsidRPr="00384F68">
              <w:rPr>
                <w:rStyle w:val="BoldandItalics"/>
              </w:rPr>
              <w:t>Agencies</w:t>
            </w:r>
            <w:r w:rsidRPr="00384F68">
              <w:t xml:space="preserve"> may include:</w:t>
            </w:r>
          </w:p>
        </w:tc>
        <w:tc>
          <w:tcPr>
            <w:tcW w:w="5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F68" w:rsidP="00384F68">
            <w:pPr>
              <w:pStyle w:val="ListBullet"/>
            </w:pPr>
            <w:r w:rsidRPr="00384F68">
              <w:t>Australasian Performing Rights Association (APRA)</w:t>
            </w:r>
          </w:p>
          <w:p w:rsidR="00000000" w:rsidRPr="00384F68" w:rsidP="00384F68">
            <w:pPr>
              <w:pStyle w:val="ListBullet"/>
            </w:pPr>
            <w:r w:rsidRPr="00384F68">
              <w:t>Australasian Mechanical Copyright Owners Society (AMCOS)</w:t>
            </w:r>
          </w:p>
          <w:p w:rsidR="00000000" w:rsidRPr="00384F68" w:rsidP="00384F68">
            <w:pPr>
              <w:pStyle w:val="BodyText"/>
            </w:pPr>
            <w:r w:rsidRPr="00384F68">
              <w:t>and in certain circumstances:</w:t>
            </w:r>
          </w:p>
          <w:p w:rsidR="00000000" w:rsidRPr="00384F68" w:rsidP="00384F68">
            <w:pPr>
              <w:pStyle w:val="ListBullet"/>
            </w:pPr>
            <w:r w:rsidRPr="00384F68">
              <w:t>American Society of Composers, Authors and Publishers (ASCAP)</w:t>
            </w:r>
          </w:p>
          <w:p w:rsidR="00000000" w:rsidRPr="00384F68" w:rsidP="00384F68">
            <w:pPr>
              <w:pStyle w:val="ListBullet"/>
            </w:pPr>
            <w:r w:rsidRPr="00384F68">
              <w:t>Copyright Agency Lim</w:t>
            </w:r>
            <w:r w:rsidRPr="00384F68">
              <w:t>ited (CAL)</w:t>
            </w:r>
          </w:p>
          <w:p w:rsidR="00000000" w:rsidRPr="00384F68" w:rsidP="00384F68">
            <w:pPr>
              <w:pStyle w:val="ListBullet"/>
            </w:pPr>
            <w:r w:rsidRPr="00384F68">
              <w:t>Harry Fox Agency</w:t>
            </w:r>
          </w:p>
          <w:p w:rsidR="00000000" w:rsidRPr="00384F68" w:rsidP="00384F68">
            <w:pPr>
              <w:pStyle w:val="ListBullet"/>
            </w:pPr>
            <w:r w:rsidRPr="00384F68">
              <w:t>Mechanical Copyright Protection Society (MCPS)</w:t>
            </w:r>
          </w:p>
          <w:p w:rsidR="00000000" w:rsidRPr="00384F68" w:rsidP="00384F68">
            <w:pPr>
              <w:pStyle w:val="ListBullet"/>
            </w:pPr>
            <w:r w:rsidRPr="00384F68">
              <w:t>Performing Rights Society (PRS)</w:t>
            </w:r>
          </w:p>
          <w:p w:rsidR="00000000" w:rsidRPr="00384F68" w:rsidP="00384F68">
            <w:pPr>
              <w:pStyle w:val="ListBullet"/>
            </w:pPr>
            <w:r w:rsidRPr="00384F68">
              <w:t>Phonographic Performance Company of Australia (PPCA)</w:t>
            </w:r>
          </w:p>
          <w:p w:rsidR="00000000" w:rsidP="00384F68">
            <w:pPr>
              <w:pStyle w:val="ListBullet"/>
              <w:rPr>
                <w:lang w:val="en-NZ"/>
              </w:rPr>
            </w:pPr>
            <w:r w:rsidRPr="00384F68">
              <w:t>SociÃ©tÃ© des Auteurs, Compositeurs et Ã‰diteurs de Musique (SACEM).</w:t>
            </w:r>
          </w:p>
        </w:tc>
      </w:tr>
      <w:tr w:rsidTr="003C2823">
        <w:tblPrEx>
          <w:tblW w:w="0" w:type="auto"/>
          <w:tblLayout w:type="fixed"/>
          <w:tblCellMar>
            <w:left w:w="62" w:type="dxa"/>
            <w:right w:w="62" w:type="dxa"/>
          </w:tblCellMar>
          <w:tblLook w:val="0000"/>
        </w:tblPrEx>
        <w:tc>
          <w:tcPr>
            <w:tcW w:w="3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F68">
            <w:pPr>
              <w:pStyle w:val="BodyText"/>
              <w:rPr>
                <w:lang w:val="en-NZ"/>
              </w:rPr>
            </w:pPr>
            <w:r w:rsidRPr="00384F68">
              <w:rPr>
                <w:rStyle w:val="BoldandItalics"/>
              </w:rPr>
              <w:t>Attributes</w:t>
            </w:r>
            <w:r w:rsidRPr="00384F68">
              <w:t xml:space="preserve"> may include:</w:t>
            </w:r>
          </w:p>
        </w:tc>
        <w:tc>
          <w:tcPr>
            <w:tcW w:w="5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F68" w:rsidP="00384F68">
            <w:pPr>
              <w:pStyle w:val="ListBullet"/>
            </w:pPr>
            <w:r w:rsidRPr="00384F68">
              <w:t>nature of promotional usage</w:t>
            </w:r>
          </w:p>
          <w:p w:rsidR="00000000" w:rsidRPr="00384F68" w:rsidP="00384F68">
            <w:pPr>
              <w:pStyle w:val="ListBullet"/>
            </w:pPr>
            <w:r w:rsidRPr="00384F68">
              <w:t>intended audiences and audience size</w:t>
            </w:r>
          </w:p>
          <w:p w:rsidR="00000000" w:rsidRPr="00384F68" w:rsidP="00384F68">
            <w:pPr>
              <w:pStyle w:val="ListBullet"/>
            </w:pPr>
            <w:r w:rsidRPr="00384F68">
              <w:t>rights granted to licensees</w:t>
            </w:r>
          </w:p>
          <w:p w:rsidR="00000000" w:rsidRPr="00384F68" w:rsidP="00384F68">
            <w:pPr>
              <w:pStyle w:val="ListBullet"/>
            </w:pPr>
            <w:r w:rsidRPr="00384F68">
              <w:t>nature of products associated with published work</w:t>
            </w:r>
          </w:p>
          <w:p w:rsidR="00000000" w:rsidRPr="00384F68" w:rsidP="00384F68">
            <w:pPr>
              <w:pStyle w:val="ListBullet"/>
            </w:pPr>
            <w:r w:rsidRPr="00384F68">
              <w:t>reputation of originator</w:t>
            </w:r>
          </w:p>
          <w:p w:rsidR="00000000" w:rsidRPr="00384F68" w:rsidP="00384F68">
            <w:pPr>
              <w:pStyle w:val="ListBullet"/>
            </w:pPr>
            <w:r w:rsidRPr="00384F68">
              <w:t>success enjoyed by published work</w:t>
            </w:r>
          </w:p>
          <w:p w:rsidR="00000000" w:rsidRPr="00384F68" w:rsidP="00384F68">
            <w:pPr>
              <w:pStyle w:val="ListBullet"/>
            </w:pPr>
            <w:r w:rsidRPr="00384F68">
              <w:t>territories in which published works are used.</w:t>
            </w:r>
          </w:p>
        </w:tc>
      </w:tr>
    </w:tbl>
    <w:p w:rsidR="003C2823" w:rsidP="00384F68">
      <w:pPr>
        <w:pStyle w:val="BodyText"/>
      </w:pPr>
    </w:p>
    <w:p w:rsidR="003C2823" w:rsidP="00384F68">
      <w:pPr>
        <w:pStyle w:val="BodyText"/>
      </w:pPr>
    </w:p>
    <w:p w:rsidR="00000000" w:rsidRPr="00384F68" w:rsidP="00384F68">
      <w:pPr>
        <w:pStyle w:val="Heading1"/>
      </w:pPr>
      <w:bookmarkStart w:id="12" w:name="O_380754"/>
      <w:bookmarkEnd w:id="12"/>
      <w:r w:rsidRPr="00384F68">
        <w:t>Unit Sector(s)</w:t>
      </w:r>
    </w:p>
    <w:p w:rsidR="00000000" w:rsidRPr="00384F68" w:rsidP="00384F68">
      <w:pPr>
        <w:pStyle w:val="BodyText"/>
      </w:pPr>
      <w:r w:rsidRPr="00384F68">
        <w:t>Management and leadership - management</w:t>
      </w:r>
    </w:p>
    <w:p w:rsidR="00000000" w:rsidRPr="00384F68" w:rsidP="00384F68"/>
    <w:sectPr w:rsidSect="00384F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F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2823" w:rsidP="003C28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F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823" w:rsidP="00384F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C2823" w:rsidP="00384F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C2823" w:rsidP="00384F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F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2823" w:rsidP="003C282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F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823" w:rsidP="00384F68">
    <w:pPr>
      <w:pStyle w:val="Header"/>
      <w:framePr w:wrap="around"/>
    </w:pPr>
    <w:r>
      <w:fldChar w:fldCharType="begin"/>
    </w:r>
    <w:r>
      <w:instrText xml:space="preserve"> TITLE   \* MERGEFORMAT </w:instrText>
    </w:r>
    <w:r>
      <w:fldChar w:fldCharType="separate"/>
    </w:r>
    <w:r>
      <w:t>CUSMGT402A Administer music publishing income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2823" w:rsidP="00384F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B6C9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3036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547F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F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4F68"/>
    <w:pPr>
      <w:spacing w:before="360" w:after="60"/>
      <w:outlineLvl w:val="0"/>
    </w:pPr>
    <w:rPr>
      <w:sz w:val="32"/>
    </w:rPr>
  </w:style>
  <w:style w:type="paragraph" w:styleId="Heading2">
    <w:name w:val="heading 2"/>
    <w:basedOn w:val="HeadingBase"/>
    <w:next w:val="BodyText"/>
    <w:link w:val="Heading2Char"/>
    <w:qFormat/>
    <w:rsid w:val="00384F68"/>
    <w:pPr>
      <w:keepLines/>
      <w:spacing w:before="240" w:after="120"/>
      <w:outlineLvl w:val="1"/>
    </w:pPr>
    <w:rPr>
      <w:sz w:val="28"/>
      <w:szCs w:val="40"/>
    </w:rPr>
  </w:style>
  <w:style w:type="paragraph" w:styleId="Heading3">
    <w:name w:val="heading 3"/>
    <w:basedOn w:val="HeadingBase"/>
    <w:next w:val="BodyText"/>
    <w:link w:val="Heading3Char"/>
    <w:qFormat/>
    <w:rsid w:val="00384F68"/>
    <w:pPr>
      <w:spacing w:before="180" w:after="120"/>
      <w:outlineLvl w:val="2"/>
    </w:pPr>
    <w:rPr>
      <w:spacing w:val="-10"/>
      <w:kern w:val="32"/>
    </w:rPr>
  </w:style>
  <w:style w:type="paragraph" w:styleId="Heading4">
    <w:name w:val="heading 4"/>
    <w:basedOn w:val="HeadingBase"/>
    <w:next w:val="BodyText"/>
    <w:link w:val="Heading4Char"/>
    <w:qFormat/>
    <w:rsid w:val="00384F68"/>
    <w:pPr>
      <w:spacing w:before="160" w:after="120"/>
      <w:outlineLvl w:val="3"/>
    </w:pPr>
    <w:rPr>
      <w:sz w:val="22"/>
    </w:rPr>
  </w:style>
  <w:style w:type="paragraph" w:styleId="Heading5">
    <w:name w:val="heading 5"/>
    <w:basedOn w:val="HeadingBase"/>
    <w:next w:val="Normal"/>
    <w:link w:val="Heading5Char"/>
    <w:qFormat/>
    <w:rsid w:val="00384F68"/>
    <w:pPr>
      <w:spacing w:before="80"/>
      <w:outlineLvl w:val="4"/>
    </w:pPr>
    <w:rPr>
      <w:color w:val="918585"/>
      <w:sz w:val="20"/>
    </w:rPr>
  </w:style>
  <w:style w:type="paragraph" w:styleId="Heading6">
    <w:name w:val="heading 6"/>
    <w:basedOn w:val="HeadingBase"/>
    <w:next w:val="Normal"/>
    <w:link w:val="Heading6Char"/>
    <w:qFormat/>
    <w:rsid w:val="00384F68"/>
    <w:pPr>
      <w:spacing w:before="60"/>
      <w:outlineLvl w:val="5"/>
    </w:pPr>
    <w:rPr>
      <w:color w:val="918585"/>
      <w:sz w:val="20"/>
    </w:rPr>
  </w:style>
  <w:style w:type="paragraph" w:styleId="Heading7">
    <w:name w:val="heading 7"/>
    <w:basedOn w:val="Normal"/>
    <w:next w:val="Normal"/>
    <w:link w:val="Heading7Char"/>
    <w:qFormat/>
    <w:rsid w:val="00384F68"/>
    <w:pPr>
      <w:ind w:left="720"/>
      <w:outlineLvl w:val="6"/>
    </w:pPr>
    <w:rPr>
      <w:i/>
    </w:rPr>
  </w:style>
  <w:style w:type="paragraph" w:styleId="Heading8">
    <w:name w:val="heading 8"/>
    <w:basedOn w:val="Normal"/>
    <w:next w:val="Normal"/>
    <w:link w:val="Heading8Char"/>
    <w:qFormat/>
    <w:rsid w:val="00384F68"/>
    <w:pPr>
      <w:ind w:left="720"/>
      <w:outlineLvl w:val="7"/>
    </w:pPr>
    <w:rPr>
      <w:i/>
    </w:rPr>
  </w:style>
  <w:style w:type="paragraph" w:styleId="Heading9">
    <w:name w:val="heading 9"/>
    <w:basedOn w:val="Normal"/>
    <w:next w:val="Normal"/>
    <w:link w:val="Heading9Char"/>
    <w:qFormat/>
    <w:rsid w:val="00384F68"/>
    <w:pPr>
      <w:ind w:left="720"/>
      <w:outlineLvl w:val="8"/>
    </w:pPr>
    <w:rPr>
      <w:i/>
    </w:rPr>
  </w:style>
  <w:style w:type="character" w:default="1" w:styleId="DefaultParagraphFont">
    <w:name w:val="Default Paragraph Font"/>
    <w:uiPriority w:val="1"/>
    <w:unhideWhenUsed/>
    <w:rsid w:val="00384F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4F68"/>
  </w:style>
  <w:style w:type="character" w:customStyle="1" w:styleId="Heading1Char">
    <w:name w:val="Heading 1 Char"/>
    <w:link w:val="Heading1"/>
    <w:rsid w:val="00384F68"/>
    <w:rPr>
      <w:rFonts w:ascii="Times New Roman" w:eastAsia="Times New Roman" w:hAnsi="Times New Roman" w:cs="Times New Roman"/>
      <w:b/>
      <w:sz w:val="32"/>
      <w:szCs w:val="20"/>
      <w:lang w:eastAsia="en-US"/>
    </w:rPr>
  </w:style>
  <w:style w:type="paragraph" w:styleId="BodyText">
    <w:name w:val="Body Text"/>
    <w:basedOn w:val="Normal"/>
    <w:link w:val="BodyTextChar"/>
    <w:rsid w:val="00384F68"/>
    <w:pPr>
      <w:spacing w:before="120" w:after="120"/>
      <w:contextualSpacing/>
    </w:pPr>
    <w:rPr>
      <w:rFonts w:ascii="Times New Roman" w:hAnsi="Times New Roman"/>
      <w:sz w:val="24"/>
      <w:szCs w:val="22"/>
    </w:rPr>
  </w:style>
  <w:style w:type="character" w:customStyle="1" w:styleId="BodyTextChar">
    <w:name w:val="Body Text Char"/>
    <w:link w:val="BodyText"/>
    <w:rsid w:val="00384F68"/>
    <w:rPr>
      <w:rFonts w:ascii="Times New Roman" w:eastAsia="Times New Roman" w:hAnsi="Times New Roman" w:cs="Times New Roman"/>
      <w:sz w:val="24"/>
      <w:lang w:val="en-US" w:eastAsia="en-US"/>
    </w:rPr>
  </w:style>
  <w:style w:type="paragraph" w:styleId="Footer">
    <w:name w:val="footer"/>
    <w:basedOn w:val="Normal"/>
    <w:link w:val="FooterChar"/>
    <w:rsid w:val="00384F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84F68"/>
    <w:rPr>
      <w:rFonts w:ascii="Times New Roman" w:eastAsia="Times New Roman" w:hAnsi="Times New Roman" w:cs="Times New Roman"/>
      <w:sz w:val="16"/>
      <w:lang w:val="en-US" w:eastAsia="en-US"/>
    </w:rPr>
  </w:style>
  <w:style w:type="paragraph" w:styleId="List">
    <w:name w:val="List"/>
    <w:basedOn w:val="BodyText"/>
    <w:next w:val="BodyText"/>
    <w:rsid w:val="00384F68"/>
    <w:pPr>
      <w:tabs>
        <w:tab w:val="left" w:pos="340"/>
      </w:tabs>
      <w:spacing w:before="60" w:after="60"/>
      <w:ind w:left="340" w:hanging="340"/>
    </w:pPr>
  </w:style>
  <w:style w:type="paragraph" w:styleId="ListBullet">
    <w:name w:val="List Bullet"/>
    <w:basedOn w:val="List"/>
    <w:rsid w:val="00384F68"/>
    <w:pPr>
      <w:numPr>
        <w:numId w:val="13"/>
      </w:numPr>
      <w:tabs>
        <w:tab w:val="clear" w:pos="340"/>
      </w:tabs>
      <w:spacing w:before="40" w:after="40"/>
    </w:pPr>
  </w:style>
  <w:style w:type="character" w:customStyle="1" w:styleId="SpecialBold">
    <w:name w:val="Special Bold"/>
    <w:rsid w:val="00384F68"/>
    <w:rPr>
      <w:b/>
      <w:spacing w:val="0"/>
    </w:rPr>
  </w:style>
  <w:style w:type="paragraph" w:styleId="ListBullet2">
    <w:name w:val="List Bullet 2"/>
    <w:basedOn w:val="List2"/>
    <w:rsid w:val="00384F68"/>
    <w:pPr>
      <w:numPr>
        <w:numId w:val="14"/>
      </w:numPr>
      <w:tabs>
        <w:tab w:val="clear" w:pos="680"/>
      </w:tabs>
    </w:pPr>
  </w:style>
  <w:style w:type="paragraph" w:styleId="Header">
    <w:name w:val="header"/>
    <w:basedOn w:val="Normal"/>
    <w:link w:val="HeaderChar"/>
    <w:rsid w:val="00384F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84F68"/>
    <w:rPr>
      <w:rFonts w:ascii="Times New Roman" w:eastAsia="Times New Roman" w:hAnsi="Times New Roman" w:cs="Times New Roman"/>
      <w:sz w:val="16"/>
      <w:szCs w:val="20"/>
      <w:lang w:val="en-GB" w:eastAsia="en-US"/>
    </w:rPr>
  </w:style>
  <w:style w:type="character" w:styleId="Emphasis">
    <w:name w:val="Emphasis"/>
    <w:qFormat/>
    <w:rsid w:val="00384F68"/>
    <w:rPr>
      <w:i/>
    </w:rPr>
  </w:style>
  <w:style w:type="paragraph" w:customStyle="1" w:styleId="SuperHeading">
    <w:name w:val="SuperHeading"/>
    <w:basedOn w:val="Normal"/>
    <w:rsid w:val="00384F68"/>
    <w:pPr>
      <w:spacing w:before="240" w:after="120"/>
      <w:outlineLvl w:val="0"/>
    </w:pPr>
    <w:rPr>
      <w:rFonts w:ascii="Times New Roman" w:hAnsi="Times New Roman"/>
      <w:b/>
      <w:sz w:val="28"/>
    </w:rPr>
  </w:style>
  <w:style w:type="paragraph" w:customStyle="1" w:styleId="AllowPageBreak">
    <w:name w:val="AllowPageBreak"/>
    <w:rsid w:val="00384F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84F68"/>
    <w:rPr>
      <w:b/>
      <w:i/>
      <w:u w:val="none"/>
    </w:rPr>
  </w:style>
  <w:style w:type="character" w:customStyle="1" w:styleId="Heading2Char">
    <w:name w:val="Heading 2 Char"/>
    <w:link w:val="Heading2"/>
    <w:rsid w:val="00384F68"/>
    <w:rPr>
      <w:rFonts w:ascii="Times New Roman" w:eastAsia="Times New Roman" w:hAnsi="Times New Roman" w:cs="Times New Roman"/>
      <w:b/>
      <w:sz w:val="28"/>
      <w:szCs w:val="40"/>
      <w:lang w:eastAsia="en-US"/>
    </w:rPr>
  </w:style>
  <w:style w:type="character" w:customStyle="1" w:styleId="Heading3Char">
    <w:name w:val="Heading 3 Char"/>
    <w:link w:val="Heading3"/>
    <w:rsid w:val="00384F6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84F68"/>
    <w:rPr>
      <w:rFonts w:ascii="Times New Roman" w:eastAsia="Times New Roman" w:hAnsi="Times New Roman" w:cs="Times New Roman"/>
      <w:b/>
      <w:szCs w:val="20"/>
      <w:lang w:eastAsia="en-US"/>
    </w:rPr>
  </w:style>
  <w:style w:type="character" w:customStyle="1" w:styleId="Heading5Char">
    <w:name w:val="Heading 5 Char"/>
    <w:link w:val="Heading5"/>
    <w:rsid w:val="00384F6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84F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4F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4F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4F68"/>
    <w:rPr>
      <w:rFonts w:ascii="Courier New" w:eastAsia="Times New Roman" w:hAnsi="Courier New" w:cs="Times New Roman"/>
      <w:i/>
      <w:szCs w:val="20"/>
      <w:lang w:val="en-US" w:eastAsia="en-US"/>
    </w:rPr>
  </w:style>
  <w:style w:type="paragraph" w:customStyle="1" w:styleId="HeadingBase">
    <w:name w:val="Heading Base"/>
    <w:rsid w:val="00384F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4F68"/>
    <w:pPr>
      <w:tabs>
        <w:tab w:val="right" w:leader="dot" w:pos="9072"/>
      </w:tabs>
      <w:ind w:left="567"/>
    </w:pPr>
    <w:rPr>
      <w:szCs w:val="22"/>
    </w:rPr>
  </w:style>
  <w:style w:type="paragraph" w:customStyle="1" w:styleId="TOCBase">
    <w:name w:val="TOC Base"/>
    <w:rsid w:val="00384F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4F68"/>
    <w:pPr>
      <w:tabs>
        <w:tab w:val="right" w:leader="dot" w:pos="9072"/>
      </w:tabs>
      <w:spacing w:before="40" w:after="40"/>
      <w:ind w:left="284"/>
    </w:pPr>
    <w:rPr>
      <w:rFonts w:ascii="Times New Roman" w:hAnsi="Times New Roman"/>
    </w:rPr>
  </w:style>
  <w:style w:type="paragraph" w:styleId="TOC1">
    <w:name w:val="toc 1"/>
    <w:basedOn w:val="TOCBase"/>
    <w:next w:val="Normal"/>
    <w:rsid w:val="00384F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4F68"/>
    <w:pPr>
      <w:spacing w:before="5040"/>
      <w:jc w:val="center"/>
    </w:pPr>
    <w:rPr>
      <w:sz w:val="48"/>
      <w:szCs w:val="72"/>
      <w:lang w:val="en-US"/>
    </w:rPr>
  </w:style>
  <w:style w:type="character" w:customStyle="1" w:styleId="TitleChar">
    <w:name w:val="Title Char"/>
    <w:link w:val="Title"/>
    <w:rsid w:val="00384F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4F68"/>
    <w:pPr>
      <w:tabs>
        <w:tab w:val="left" w:pos="3600"/>
        <w:tab w:val="left" w:pos="3958"/>
      </w:tabs>
    </w:pPr>
  </w:style>
  <w:style w:type="paragraph" w:customStyle="1" w:styleId="Note">
    <w:name w:val="Note"/>
    <w:basedOn w:val="BodyText"/>
    <w:rsid w:val="00384F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4F68"/>
    <w:pPr>
      <w:framePr w:wrap="auto" w:hAnchor="text" w:y="6049"/>
    </w:pPr>
    <w:rPr>
      <w:color w:val="000000"/>
      <w:sz w:val="40"/>
    </w:rPr>
  </w:style>
  <w:style w:type="paragraph" w:customStyle="1" w:styleId="TOCTitle">
    <w:name w:val="TOCTitle"/>
    <w:basedOn w:val="Heading1"/>
    <w:rsid w:val="00384F68"/>
    <w:pPr>
      <w:spacing w:after="240"/>
      <w:jc w:val="center"/>
      <w:outlineLvl w:val="9"/>
    </w:pPr>
    <w:rPr>
      <w:caps/>
    </w:rPr>
  </w:style>
  <w:style w:type="paragraph" w:customStyle="1" w:styleId="Version">
    <w:name w:val="Version"/>
    <w:rsid w:val="00384F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4F68"/>
    <w:pPr>
      <w:keepNext w:val="0"/>
      <w:tabs>
        <w:tab w:val="right" w:pos="4176"/>
      </w:tabs>
      <w:ind w:left="198" w:hanging="198"/>
    </w:pPr>
    <w:rPr>
      <w:rFonts w:ascii="Garamond" w:hAnsi="Garamond"/>
    </w:rPr>
  </w:style>
  <w:style w:type="paragraph" w:styleId="IndexHeading">
    <w:name w:val="index heading"/>
    <w:basedOn w:val="Normal"/>
    <w:next w:val="Index1"/>
    <w:semiHidden/>
    <w:rsid w:val="00384F68"/>
    <w:pPr>
      <w:spacing w:before="120" w:after="120"/>
    </w:pPr>
    <w:rPr>
      <w:rFonts w:ascii="Arial" w:hAnsi="Arial"/>
      <w:b/>
      <w:color w:val="918585"/>
      <w:sz w:val="24"/>
    </w:rPr>
  </w:style>
  <w:style w:type="paragraph" w:customStyle="1" w:styleId="Chapter">
    <w:name w:val="Chapter"/>
    <w:basedOn w:val="Normal"/>
    <w:rsid w:val="00384F68"/>
    <w:pPr>
      <w:spacing w:before="240"/>
    </w:pPr>
    <w:rPr>
      <w:rFonts w:ascii="Times New Roman" w:hAnsi="Times New Roman"/>
      <w:smallCaps/>
      <w:spacing w:val="80"/>
      <w:sz w:val="28"/>
    </w:rPr>
  </w:style>
  <w:style w:type="paragraph" w:customStyle="1" w:styleId="InChapter">
    <w:name w:val="InChapter"/>
    <w:basedOn w:val="Heading3"/>
    <w:rsid w:val="00384F68"/>
    <w:pPr>
      <w:spacing w:after="240"/>
      <w:outlineLvl w:val="9"/>
    </w:pPr>
    <w:rPr>
      <w:noProof/>
    </w:rPr>
  </w:style>
  <w:style w:type="paragraph" w:styleId="Index2">
    <w:name w:val="index 2"/>
    <w:basedOn w:val="Normal"/>
    <w:next w:val="Normal"/>
    <w:semiHidden/>
    <w:rsid w:val="00384F68"/>
    <w:pPr>
      <w:tabs>
        <w:tab w:val="right" w:pos="4176"/>
      </w:tabs>
      <w:ind w:left="568" w:hanging="284"/>
    </w:pPr>
    <w:rPr>
      <w:rFonts w:ascii="Garamond" w:hAnsi="Garamond"/>
    </w:rPr>
  </w:style>
  <w:style w:type="paragraph" w:customStyle="1" w:styleId="Byline">
    <w:name w:val="Byline"/>
    <w:rsid w:val="00384F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4F68"/>
    <w:pPr>
      <w:tabs>
        <w:tab w:val="clear" w:pos="3600"/>
        <w:tab w:val="clear" w:pos="3958"/>
      </w:tabs>
      <w:jc w:val="right"/>
    </w:pPr>
  </w:style>
  <w:style w:type="paragraph" w:styleId="Caption">
    <w:name w:val="caption"/>
    <w:basedOn w:val="BodyText"/>
    <w:next w:val="Normal"/>
    <w:qFormat/>
    <w:rsid w:val="00384F68"/>
    <w:pPr>
      <w:framePr w:w="2268" w:hSpace="181" w:vSpace="181" w:wrap="around" w:vAnchor="text" w:hAnchor="page" w:x="1135" w:y="285" w:anchorLock="1"/>
    </w:pPr>
    <w:rPr>
      <w:i/>
    </w:rPr>
  </w:style>
  <w:style w:type="paragraph" w:customStyle="1" w:styleId="MiniTOCTitle">
    <w:name w:val="MiniTOCTitle"/>
    <w:basedOn w:val="Heading4"/>
    <w:rsid w:val="00384F68"/>
    <w:pPr>
      <w:spacing w:before="240"/>
      <w:outlineLvl w:val="9"/>
    </w:pPr>
    <w:rPr>
      <w:noProof/>
      <w:sz w:val="24"/>
    </w:rPr>
  </w:style>
  <w:style w:type="paragraph" w:customStyle="1" w:styleId="MiniTOCItem">
    <w:name w:val="MiniTOCItem"/>
    <w:basedOn w:val="ListBullet"/>
    <w:rsid w:val="00384F68"/>
    <w:pPr>
      <w:numPr>
        <w:numId w:val="0"/>
      </w:numPr>
      <w:tabs>
        <w:tab w:val="right" w:leader="dot" w:pos="6521"/>
      </w:tabs>
      <w:spacing w:before="0" w:after="0"/>
    </w:pPr>
  </w:style>
  <w:style w:type="paragraph" w:customStyle="1" w:styleId="TOFTitle">
    <w:name w:val="TOFTitle"/>
    <w:basedOn w:val="TOCTitle"/>
    <w:rsid w:val="00384F68"/>
  </w:style>
  <w:style w:type="paragraph" w:styleId="TableofFigures">
    <w:name w:val="table of figures"/>
    <w:basedOn w:val="Normal"/>
    <w:next w:val="Normal"/>
    <w:semiHidden/>
    <w:rsid w:val="00384F68"/>
    <w:pPr>
      <w:tabs>
        <w:tab w:val="right" w:leader="dot" w:pos="9072"/>
      </w:tabs>
      <w:ind w:left="970" w:hanging="403"/>
    </w:pPr>
    <w:rPr>
      <w:rFonts w:ascii="Times New Roman" w:hAnsi="Times New Roman"/>
      <w:b/>
    </w:rPr>
  </w:style>
  <w:style w:type="paragraph" w:styleId="ListNumber">
    <w:name w:val="List Number"/>
    <w:basedOn w:val="List"/>
    <w:rsid w:val="00384F68"/>
    <w:pPr>
      <w:numPr>
        <w:numId w:val="11"/>
      </w:numPr>
    </w:pPr>
  </w:style>
  <w:style w:type="character" w:customStyle="1" w:styleId="WingdingSymbols">
    <w:name w:val="Wingding Symbols"/>
    <w:rsid w:val="00384F68"/>
    <w:rPr>
      <w:rFonts w:ascii="Wingdings" w:hAnsi="Wingdings"/>
    </w:rPr>
  </w:style>
  <w:style w:type="paragraph" w:customStyle="1" w:styleId="TableHeading">
    <w:name w:val="Table Heading"/>
    <w:basedOn w:val="HeadingBase"/>
    <w:rsid w:val="00384F68"/>
    <w:pPr>
      <w:keepLines/>
      <w:pBdr>
        <w:bottom w:val="single" w:sz="6" w:space="1" w:color="918585"/>
      </w:pBdr>
      <w:spacing w:before="240"/>
    </w:pPr>
  </w:style>
  <w:style w:type="character" w:customStyle="1" w:styleId="HotSpot">
    <w:name w:val="HotSpot"/>
    <w:rsid w:val="00384F68"/>
    <w:rPr>
      <w:color w:val="0033CC"/>
      <w:u w:val="none"/>
    </w:rPr>
  </w:style>
  <w:style w:type="paragraph" w:customStyle="1" w:styleId="BodyTextRight">
    <w:name w:val="Body Text Right"/>
    <w:basedOn w:val="BodyText"/>
    <w:rsid w:val="00384F68"/>
    <w:pPr>
      <w:spacing w:before="0" w:after="0"/>
      <w:jc w:val="right"/>
    </w:pPr>
  </w:style>
  <w:style w:type="paragraph" w:styleId="Index3">
    <w:name w:val="index 3"/>
    <w:basedOn w:val="ListNumber2"/>
    <w:next w:val="Normal"/>
    <w:semiHidden/>
    <w:rsid w:val="00384F68"/>
    <w:pPr>
      <w:numPr>
        <w:numId w:val="0"/>
      </w:numPr>
      <w:tabs>
        <w:tab w:val="right" w:leader="dot" w:pos="4176"/>
      </w:tabs>
    </w:pPr>
  </w:style>
  <w:style w:type="paragraph" w:styleId="ListNumber2">
    <w:name w:val="List Number 2"/>
    <w:basedOn w:val="List2"/>
    <w:rsid w:val="00384F68"/>
    <w:pPr>
      <w:numPr>
        <w:numId w:val="10"/>
      </w:numPr>
      <w:tabs>
        <w:tab w:val="clear" w:pos="1060"/>
      </w:tabs>
    </w:pPr>
  </w:style>
  <w:style w:type="paragraph" w:customStyle="1" w:styleId="MarginNote">
    <w:name w:val="Margin Note"/>
    <w:basedOn w:val="BodyText"/>
    <w:rsid w:val="00384F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4F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84F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4F68"/>
    <w:rPr>
      <w:sz w:val="32"/>
    </w:rPr>
  </w:style>
  <w:style w:type="paragraph" w:customStyle="1" w:styleId="HeadingProcedure">
    <w:name w:val="Heading Procedure"/>
    <w:basedOn w:val="HeadingBase"/>
    <w:next w:val="Normal"/>
    <w:rsid w:val="00384F68"/>
    <w:pPr>
      <w:tabs>
        <w:tab w:val="left" w:pos="0"/>
      </w:tabs>
      <w:spacing w:before="120" w:after="60"/>
    </w:pPr>
    <w:rPr>
      <w:i/>
      <w:color w:val="918585"/>
      <w:sz w:val="22"/>
    </w:rPr>
  </w:style>
  <w:style w:type="paragraph" w:customStyle="1" w:styleId="TableBodyText">
    <w:name w:val="Table Body Text"/>
    <w:basedOn w:val="BodyText"/>
    <w:rsid w:val="00384F68"/>
    <w:pPr>
      <w:spacing w:before="60" w:after="60"/>
    </w:pPr>
  </w:style>
  <w:style w:type="paragraph" w:styleId="ListContinue">
    <w:name w:val="List Continue"/>
    <w:basedOn w:val="List"/>
    <w:rsid w:val="00384F68"/>
    <w:pPr>
      <w:ind w:firstLine="0"/>
    </w:pPr>
  </w:style>
  <w:style w:type="paragraph" w:customStyle="1" w:styleId="ListNote">
    <w:name w:val="List Note"/>
    <w:basedOn w:val="List"/>
    <w:rsid w:val="00384F68"/>
    <w:pPr>
      <w:pBdr>
        <w:top w:val="single" w:sz="6" w:space="2" w:color="918585"/>
        <w:bottom w:val="single" w:sz="6" w:space="2" w:color="918585"/>
      </w:pBdr>
      <w:tabs>
        <w:tab w:val="left" w:pos="1021"/>
      </w:tabs>
      <w:ind w:firstLine="0"/>
    </w:pPr>
  </w:style>
  <w:style w:type="paragraph" w:customStyle="1" w:styleId="Warning">
    <w:name w:val="Warning"/>
    <w:basedOn w:val="BodyText"/>
    <w:rsid w:val="00384F68"/>
    <w:pPr>
      <w:shd w:val="clear" w:color="auto" w:fill="D9D9D9"/>
      <w:tabs>
        <w:tab w:val="left" w:pos="992"/>
      </w:tabs>
      <w:ind w:left="119" w:right="119"/>
    </w:pPr>
    <w:rPr>
      <w:sz w:val="20"/>
    </w:rPr>
  </w:style>
  <w:style w:type="paragraph" w:customStyle="1" w:styleId="MarginIcons">
    <w:name w:val="Margin Icons"/>
    <w:basedOn w:val="BodyText"/>
    <w:rsid w:val="00384F6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84F68"/>
    <w:rPr>
      <w:rFonts w:ascii="Courier New" w:hAnsi="Courier New"/>
    </w:rPr>
  </w:style>
  <w:style w:type="paragraph" w:customStyle="1" w:styleId="NoteBullet">
    <w:name w:val="Note Bullet"/>
    <w:basedOn w:val="Note"/>
    <w:rsid w:val="00384F68"/>
    <w:pPr>
      <w:tabs>
        <w:tab w:val="clear" w:pos="680"/>
      </w:tabs>
      <w:spacing w:before="60" w:after="60"/>
    </w:pPr>
  </w:style>
  <w:style w:type="paragraph" w:customStyle="1" w:styleId="SubHeading2">
    <w:name w:val="SubHeading2"/>
    <w:basedOn w:val="HeadingBase"/>
    <w:rsid w:val="00384F68"/>
    <w:pPr>
      <w:spacing w:before="240" w:after="60"/>
    </w:pPr>
    <w:rPr>
      <w:sz w:val="20"/>
    </w:rPr>
  </w:style>
  <w:style w:type="paragraph" w:customStyle="1" w:styleId="SubHeading1">
    <w:name w:val="SubHeading1"/>
    <w:basedOn w:val="HeadingBase"/>
    <w:rsid w:val="00384F68"/>
    <w:pPr>
      <w:spacing w:before="240" w:after="60"/>
    </w:pPr>
    <w:rPr>
      <w:color w:val="918585"/>
      <w:sz w:val="22"/>
    </w:rPr>
  </w:style>
  <w:style w:type="paragraph" w:customStyle="1" w:styleId="SideHeading">
    <w:name w:val="Side Heading"/>
    <w:basedOn w:val="HeadingBase"/>
    <w:rsid w:val="00384F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4F68"/>
    <w:pPr>
      <w:numPr>
        <w:numId w:val="12"/>
      </w:numPr>
    </w:pPr>
  </w:style>
  <w:style w:type="paragraph" w:styleId="PlainText">
    <w:name w:val="Plain Text"/>
    <w:basedOn w:val="Normal"/>
    <w:link w:val="PlainTextChar"/>
    <w:rsid w:val="00384F68"/>
    <w:rPr>
      <w:sz w:val="20"/>
    </w:rPr>
  </w:style>
  <w:style w:type="character" w:customStyle="1" w:styleId="PlainTextChar">
    <w:name w:val="Plain Text Char"/>
    <w:basedOn w:val="DefaultParagraphFont"/>
    <w:link w:val="PlainText"/>
    <w:rsid w:val="00384F68"/>
    <w:rPr>
      <w:rFonts w:ascii="Courier New" w:eastAsia="Times New Roman" w:hAnsi="Courier New" w:cs="Times New Roman"/>
      <w:sz w:val="20"/>
      <w:szCs w:val="20"/>
      <w:lang w:val="en-US" w:eastAsia="en-US"/>
    </w:rPr>
  </w:style>
  <w:style w:type="character" w:customStyle="1" w:styleId="MenuOption">
    <w:name w:val="Menu Option"/>
    <w:rsid w:val="00384F68"/>
    <w:rPr>
      <w:b/>
      <w:smallCaps/>
    </w:rPr>
  </w:style>
  <w:style w:type="paragraph" w:customStyle="1" w:styleId="TableListNumber">
    <w:name w:val="Table List Number"/>
    <w:basedOn w:val="ListNumber"/>
    <w:rsid w:val="00384F68"/>
    <w:pPr>
      <w:numPr>
        <w:numId w:val="0"/>
      </w:numPr>
    </w:pPr>
  </w:style>
  <w:style w:type="paragraph" w:styleId="TOC4">
    <w:name w:val="toc 4"/>
    <w:basedOn w:val="TOCBase"/>
    <w:next w:val="Normal"/>
    <w:semiHidden/>
    <w:rsid w:val="00384F68"/>
    <w:pPr>
      <w:tabs>
        <w:tab w:val="right" w:leader="dot" w:pos="9071"/>
      </w:tabs>
      <w:ind w:left="1701"/>
    </w:pPr>
  </w:style>
  <w:style w:type="paragraph" w:customStyle="1" w:styleId="ListAlpha">
    <w:name w:val="List Alpha"/>
    <w:basedOn w:val="List"/>
    <w:rsid w:val="00384F68"/>
    <w:pPr>
      <w:numPr>
        <w:numId w:val="9"/>
      </w:numPr>
    </w:pPr>
  </w:style>
  <w:style w:type="paragraph" w:customStyle="1" w:styleId="ListAlpha2">
    <w:name w:val="List Alpha 2"/>
    <w:basedOn w:val="List2"/>
    <w:rsid w:val="00384F68"/>
    <w:pPr>
      <w:numPr>
        <w:numId w:val="8"/>
      </w:numPr>
    </w:pPr>
  </w:style>
  <w:style w:type="paragraph" w:styleId="List2">
    <w:name w:val="List 2"/>
    <w:basedOn w:val="BodyText"/>
    <w:rsid w:val="00384F68"/>
    <w:pPr>
      <w:tabs>
        <w:tab w:val="left" w:pos="680"/>
      </w:tabs>
      <w:spacing w:before="60" w:after="60"/>
      <w:ind w:left="680" w:hanging="340"/>
    </w:pPr>
  </w:style>
  <w:style w:type="paragraph" w:styleId="List3">
    <w:name w:val="List 3"/>
    <w:basedOn w:val="BodyText"/>
    <w:rsid w:val="00384F68"/>
    <w:pPr>
      <w:tabs>
        <w:tab w:val="left" w:pos="1021"/>
      </w:tabs>
      <w:spacing w:before="60" w:after="60"/>
      <w:ind w:left="1020" w:hanging="340"/>
    </w:pPr>
  </w:style>
  <w:style w:type="paragraph" w:styleId="List4">
    <w:name w:val="List 4"/>
    <w:basedOn w:val="BodyText"/>
    <w:rsid w:val="00384F68"/>
    <w:pPr>
      <w:tabs>
        <w:tab w:val="left" w:pos="1361"/>
      </w:tabs>
      <w:spacing w:before="60" w:after="60"/>
      <w:ind w:left="1361" w:hanging="340"/>
    </w:pPr>
  </w:style>
  <w:style w:type="paragraph" w:styleId="List5">
    <w:name w:val="List 5"/>
    <w:basedOn w:val="BodyText"/>
    <w:rsid w:val="00384F68"/>
    <w:pPr>
      <w:tabs>
        <w:tab w:val="left" w:pos="1701"/>
      </w:tabs>
      <w:spacing w:before="60" w:after="60"/>
      <w:ind w:left="1701" w:hanging="340"/>
    </w:pPr>
  </w:style>
  <w:style w:type="paragraph" w:styleId="ListBullet3">
    <w:name w:val="List Bullet 3"/>
    <w:basedOn w:val="List3"/>
    <w:rsid w:val="00384F68"/>
    <w:pPr>
      <w:numPr>
        <w:numId w:val="15"/>
      </w:numPr>
      <w:tabs>
        <w:tab w:val="clear" w:pos="1021"/>
      </w:tabs>
      <w:ind w:left="1037" w:hanging="357"/>
    </w:pPr>
  </w:style>
  <w:style w:type="paragraph" w:styleId="ListBullet4">
    <w:name w:val="List Bullet 4"/>
    <w:basedOn w:val="List4"/>
    <w:rsid w:val="00384F68"/>
    <w:pPr>
      <w:numPr>
        <w:numId w:val="3"/>
      </w:numPr>
    </w:pPr>
  </w:style>
  <w:style w:type="paragraph" w:styleId="ListBullet5">
    <w:name w:val="List Bullet 5"/>
    <w:basedOn w:val="List5"/>
    <w:rsid w:val="00384F68"/>
    <w:pPr>
      <w:numPr>
        <w:numId w:val="4"/>
      </w:numPr>
    </w:pPr>
  </w:style>
  <w:style w:type="paragraph" w:styleId="ListContinue2">
    <w:name w:val="List Continue 2"/>
    <w:basedOn w:val="List2"/>
    <w:rsid w:val="00384F68"/>
    <w:pPr>
      <w:ind w:firstLine="0"/>
    </w:pPr>
  </w:style>
  <w:style w:type="paragraph" w:styleId="ListContinue3">
    <w:name w:val="List Continue 3"/>
    <w:basedOn w:val="List3"/>
    <w:rsid w:val="00384F68"/>
    <w:pPr>
      <w:ind w:left="1021" w:firstLine="0"/>
    </w:pPr>
  </w:style>
  <w:style w:type="paragraph" w:styleId="ListContinue4">
    <w:name w:val="List Continue 4"/>
    <w:basedOn w:val="List4"/>
    <w:rsid w:val="00384F68"/>
    <w:pPr>
      <w:ind w:firstLine="0"/>
    </w:pPr>
  </w:style>
  <w:style w:type="paragraph" w:styleId="ListContinue5">
    <w:name w:val="List Continue 5"/>
    <w:basedOn w:val="List5"/>
    <w:rsid w:val="00384F68"/>
    <w:pPr>
      <w:ind w:firstLine="0"/>
    </w:pPr>
  </w:style>
  <w:style w:type="paragraph" w:styleId="ListNumber3">
    <w:name w:val="List Number 3"/>
    <w:basedOn w:val="List3"/>
    <w:rsid w:val="00384F68"/>
    <w:pPr>
      <w:numPr>
        <w:numId w:val="5"/>
      </w:numPr>
    </w:pPr>
  </w:style>
  <w:style w:type="paragraph" w:styleId="ListNumber4">
    <w:name w:val="List Number 4"/>
    <w:basedOn w:val="List4"/>
    <w:rsid w:val="00384F68"/>
    <w:pPr>
      <w:numPr>
        <w:numId w:val="6"/>
      </w:numPr>
    </w:pPr>
  </w:style>
  <w:style w:type="paragraph" w:styleId="ListNumber5">
    <w:name w:val="List Number 5"/>
    <w:basedOn w:val="List5"/>
    <w:rsid w:val="00384F68"/>
    <w:pPr>
      <w:numPr>
        <w:numId w:val="7"/>
      </w:numPr>
    </w:pPr>
  </w:style>
  <w:style w:type="paragraph" w:styleId="BlockText">
    <w:name w:val="Block Text"/>
    <w:basedOn w:val="Normal"/>
    <w:rsid w:val="00384F68"/>
    <w:pPr>
      <w:spacing w:after="120"/>
      <w:ind w:left="1440" w:right="1440"/>
    </w:pPr>
  </w:style>
  <w:style w:type="character" w:customStyle="1" w:styleId="Subscript">
    <w:name w:val="Subscript"/>
    <w:rsid w:val="00384F68"/>
    <w:rPr>
      <w:sz w:val="16"/>
      <w:vertAlign w:val="subscript"/>
    </w:rPr>
  </w:style>
  <w:style w:type="character" w:customStyle="1" w:styleId="Superscript">
    <w:name w:val="Superscript"/>
    <w:rsid w:val="00384F68"/>
    <w:rPr>
      <w:sz w:val="16"/>
      <w:vertAlign w:val="superscript"/>
    </w:rPr>
  </w:style>
  <w:style w:type="character" w:customStyle="1" w:styleId="Symbols">
    <w:name w:val="Symbols"/>
    <w:rsid w:val="00384F68"/>
    <w:rPr>
      <w:rFonts w:ascii="Symbol" w:hAnsi="Symbol"/>
    </w:rPr>
  </w:style>
  <w:style w:type="character" w:customStyle="1" w:styleId="MenuOptions">
    <w:name w:val="Menu Options"/>
    <w:rsid w:val="00384F68"/>
    <w:rPr>
      <w:rFonts w:ascii="Arial Narrow" w:hAnsi="Arial Narrow"/>
      <w:smallCaps/>
    </w:rPr>
  </w:style>
  <w:style w:type="character" w:customStyle="1" w:styleId="Buttons">
    <w:name w:val="Buttons"/>
    <w:rsid w:val="00384F68"/>
    <w:rPr>
      <w:b/>
    </w:rPr>
  </w:style>
  <w:style w:type="character" w:customStyle="1" w:styleId="Underlined">
    <w:name w:val="Underlined"/>
    <w:rsid w:val="00384F68"/>
    <w:rPr>
      <w:u w:val="single"/>
    </w:rPr>
  </w:style>
  <w:style w:type="paragraph" w:customStyle="1" w:styleId="TableBodyTextRight">
    <w:name w:val="Table Body Text Right"/>
    <w:basedOn w:val="TableBodyText"/>
    <w:rsid w:val="00384F68"/>
    <w:pPr>
      <w:widowControl w:val="0"/>
      <w:autoSpaceDE w:val="0"/>
      <w:autoSpaceDN w:val="0"/>
      <w:adjustRightInd w:val="0"/>
      <w:jc w:val="right"/>
    </w:pPr>
    <w:rPr>
      <w:rFonts w:cs="Arial"/>
      <w:szCs w:val="18"/>
    </w:rPr>
  </w:style>
  <w:style w:type="paragraph" w:customStyle="1" w:styleId="CopyrightText">
    <w:name w:val="Copyright Text"/>
    <w:basedOn w:val="BodyText"/>
    <w:rsid w:val="00384F68"/>
    <w:rPr>
      <w:sz w:val="18"/>
    </w:rPr>
  </w:style>
  <w:style w:type="paragraph" w:customStyle="1" w:styleId="BodySmallRight">
    <w:name w:val="Body Small Right"/>
    <w:basedOn w:val="BodyTextRight"/>
    <w:rsid w:val="00384F68"/>
    <w:rPr>
      <w:sz w:val="18"/>
      <w:szCs w:val="18"/>
    </w:rPr>
  </w:style>
  <w:style w:type="paragraph" w:customStyle="1" w:styleId="MarginEdition">
    <w:name w:val="Margin Edition"/>
    <w:basedOn w:val="MarginNote"/>
    <w:rsid w:val="00384F68"/>
    <w:pPr>
      <w:spacing w:before="0" w:after="0"/>
    </w:pPr>
    <w:rPr>
      <w:rFonts w:ascii="Times New Roman" w:hAnsi="Times New Roman"/>
      <w:color w:val="999999"/>
    </w:rPr>
  </w:style>
  <w:style w:type="paragraph" w:customStyle="1" w:styleId="Spacer">
    <w:name w:val="Spacer"/>
    <w:basedOn w:val="Normal"/>
    <w:rsid w:val="00384F68"/>
    <w:rPr>
      <w:sz w:val="2"/>
      <w:szCs w:val="2"/>
    </w:rPr>
  </w:style>
  <w:style w:type="character" w:customStyle="1" w:styleId="Small">
    <w:name w:val="Small"/>
    <w:rsid w:val="00384F68"/>
    <w:rPr>
      <w:sz w:val="16"/>
    </w:rPr>
  </w:style>
  <w:style w:type="paragraph" w:customStyle="1" w:styleId="WideTable">
    <w:name w:val="Wide Table"/>
    <w:basedOn w:val="Normal"/>
    <w:rsid w:val="00384F68"/>
    <w:pPr>
      <w:ind w:left="-1418"/>
    </w:pPr>
    <w:rPr>
      <w:sz w:val="2"/>
      <w:szCs w:val="2"/>
    </w:rPr>
  </w:style>
  <w:style w:type="character" w:styleId="PageNumber">
    <w:name w:val="page number"/>
    <w:rsid w:val="00384F68"/>
  </w:style>
  <w:style w:type="paragraph" w:styleId="Quote">
    <w:name w:val="Quote"/>
    <w:basedOn w:val="Heading1"/>
    <w:link w:val="QuoteChar"/>
    <w:qFormat/>
    <w:rsid w:val="00384F68"/>
    <w:rPr>
      <w:b w:val="0"/>
      <w:sz w:val="72"/>
      <w:szCs w:val="72"/>
      <w:lang w:val="en-NZ"/>
    </w:rPr>
  </w:style>
  <w:style w:type="character" w:customStyle="1" w:styleId="QuoteChar">
    <w:name w:val="Quote Char"/>
    <w:link w:val="Quote"/>
    <w:rsid w:val="00384F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4F68"/>
    <w:pPr>
      <w:pageBreakBefore/>
    </w:pPr>
  </w:style>
  <w:style w:type="paragraph" w:customStyle="1" w:styleId="Border">
    <w:name w:val="Border"/>
    <w:basedOn w:val="Normal"/>
    <w:qFormat/>
    <w:rsid w:val="00384F68"/>
    <w:pPr>
      <w:pBdr>
        <w:top w:val="single" w:sz="18" w:space="1" w:color="auto"/>
      </w:pBdr>
    </w:pPr>
    <w:rPr>
      <w:rFonts w:ascii="Times New Roman" w:hAnsi="Times New Roman"/>
      <w:color w:val="FFFFFF"/>
      <w:sz w:val="2"/>
    </w:rPr>
  </w:style>
  <w:style w:type="character" w:styleId="IntenseEmphasis">
    <w:name w:val="Intense Emphasis"/>
    <w:uiPriority w:val="21"/>
    <w:qFormat/>
    <w:rsid w:val="00384F68"/>
    <w:rPr>
      <w:b/>
      <w:bCs/>
      <w:i/>
      <w:iCs/>
      <w:color w:val="auto"/>
    </w:rPr>
  </w:style>
  <w:style w:type="paragraph" w:styleId="IntenseQuote">
    <w:name w:val="Intense Quote"/>
    <w:basedOn w:val="Normal"/>
    <w:next w:val="Normal"/>
    <w:link w:val="IntenseQuoteChar"/>
    <w:uiPriority w:val="30"/>
    <w:qFormat/>
    <w:rsid w:val="00384F6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84F68"/>
    <w:rPr>
      <w:rFonts w:ascii="Courier New" w:eastAsia="Times New Roman" w:hAnsi="Courier New" w:cs="Times New Roman"/>
      <w:b/>
      <w:bCs/>
      <w:i/>
      <w:iCs/>
      <w:szCs w:val="20"/>
      <w:lang w:val="en-US" w:eastAsia="en-US"/>
    </w:rPr>
  </w:style>
  <w:style w:type="character" w:styleId="SubtleReference">
    <w:name w:val="Subtle Reference"/>
    <w:uiPriority w:val="31"/>
    <w:qFormat/>
    <w:rsid w:val="00384F68"/>
    <w:rPr>
      <w:smallCaps/>
      <w:color w:val="auto"/>
      <w:u w:val="single"/>
    </w:rPr>
  </w:style>
  <w:style w:type="character" w:styleId="IntenseReference">
    <w:name w:val="Intense Reference"/>
    <w:uiPriority w:val="32"/>
    <w:qFormat/>
    <w:rsid w:val="00384F68"/>
    <w:rPr>
      <w:b/>
      <w:bCs/>
      <w:smallCaps/>
      <w:color w:val="auto"/>
      <w:spacing w:val="5"/>
      <w:u w:val="single"/>
    </w:rPr>
  </w:style>
  <w:style w:type="paragraph" w:customStyle="1" w:styleId="2ColumnHeading">
    <w:name w:val="2Column Heading"/>
    <w:basedOn w:val="BodyText"/>
    <w:qFormat/>
    <w:rsid w:val="00384F68"/>
    <w:pPr>
      <w:spacing w:after="60"/>
      <w:ind w:left="-2268"/>
    </w:pPr>
    <w:rPr>
      <w:b/>
    </w:rPr>
  </w:style>
  <w:style w:type="paragraph" w:customStyle="1" w:styleId="Heading1TOC">
    <w:name w:val="Heading1 TOC"/>
    <w:basedOn w:val="Normal"/>
    <w:qFormat/>
    <w:rsid w:val="00384F68"/>
    <w:pPr>
      <w:spacing w:before="240" w:after="120"/>
    </w:pPr>
    <w:rPr>
      <w:rFonts w:ascii="Times New Roman" w:hAnsi="Times New Roman"/>
      <w:b/>
      <w:sz w:val="32"/>
    </w:rPr>
  </w:style>
  <w:style w:type="paragraph" w:customStyle="1" w:styleId="Heading2TOC">
    <w:name w:val="Heading2 TOC"/>
    <w:basedOn w:val="Normal"/>
    <w:qFormat/>
    <w:rsid w:val="00384F68"/>
    <w:pPr>
      <w:spacing w:before="240" w:after="60"/>
    </w:pPr>
    <w:rPr>
      <w:rFonts w:ascii="Times New Roman" w:hAnsi="Times New Roman"/>
      <w:b/>
      <w:sz w:val="28"/>
    </w:rPr>
  </w:style>
  <w:style w:type="character" w:customStyle="1" w:styleId="Underline">
    <w:name w:val="Underline"/>
    <w:qFormat/>
    <w:rsid w:val="00384F68"/>
    <w:rPr>
      <w:u w:val="single"/>
    </w:rPr>
  </w:style>
  <w:style w:type="paragraph" w:styleId="BalloonText">
    <w:name w:val="Balloon Text"/>
    <w:basedOn w:val="Normal"/>
    <w:link w:val="BalloonTextChar"/>
    <w:rsid w:val="00384F68"/>
    <w:rPr>
      <w:rFonts w:ascii="Tahoma" w:hAnsi="Tahoma" w:cs="Tahoma"/>
      <w:sz w:val="16"/>
      <w:szCs w:val="16"/>
    </w:rPr>
  </w:style>
  <w:style w:type="character" w:customStyle="1" w:styleId="BalloonTextChar">
    <w:name w:val="Balloon Text Char"/>
    <w:link w:val="BalloonText"/>
    <w:rsid w:val="00384F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4F6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84F6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1397</Words>
  <Characters>9399</Characters>
  <Application>Microsoft Office Word</Application>
  <DocSecurity>0</DocSecurity>
  <Lines>327</Lines>
  <Paragraphs>216</Paragraphs>
  <ScaleCrop>false</ScaleCrop>
  <Company>Author-it Software Corporation Ltd.</Company>
  <LinksUpToDate>false</LinksUpToDate>
  <CharactersWithSpaces>10726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CUSMGT402A Administer music publishing income</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2012-05-26T15:24:00Z</dcterms:created>
  <dcterms:modified xsi:type="dcterms:W3CDTF">2012-05-26T15:24:00Z</dcterms:modified>
</cp:coreProperties>
</file>