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9DB" w:rsidP="001E79DB">
      <w:pPr>
        <w:pStyle w:val="Title"/>
      </w:pPr>
      <w:r>
        <w:fldChar w:fldCharType="begin"/>
      </w:r>
      <w:r>
        <w:instrText xml:space="preserve"> TITLE   \* MERGEFORMAT </w:instrText>
      </w:r>
      <w:r>
        <w:fldChar w:fldCharType="separate"/>
      </w:r>
      <w:r>
        <w:t>CULMS412B Record and maintain collection information</w:t>
      </w:r>
      <w:r>
        <w:fldChar w:fldCharType="end"/>
      </w:r>
    </w:p>
    <w:p w:rsidR="001E79DB" w:rsidP="001E79DB">
      <w:pPr>
        <w:pStyle w:val="Version"/>
        <w:sectPr w:rsidSect="006C6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CCE" w:rsidP="006C6CCE">
      <w:pPr>
        <w:pStyle w:val="SuperHeading"/>
      </w:pPr>
      <w:r w:rsidRPr="006C6CCE">
        <w:t>CULMS412B Record and maintain collection information</w:t>
      </w:r>
    </w:p>
    <w:p w:rsidR="00000000" w:rsidRPr="006C6CCE" w:rsidP="006C6CCE">
      <w:pPr>
        <w:pStyle w:val="Heading1"/>
      </w:pPr>
      <w:bookmarkStart w:id="1" w:name="O_324639"/>
      <w:bookmarkEnd w:id="1"/>
      <w:r w:rsidRPr="006C6CCE">
        <w:t>Modification History</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2" w:name="O_324638"/>
      <w:bookmarkEnd w:id="2"/>
      <w:r w:rsidRPr="006C6CCE">
        <w:t>Unit Descriptor</w:t>
      </w:r>
    </w:p>
    <w:p w:rsidR="00000000" w:rsidRPr="006C6CCE" w:rsidP="006C6CCE">
      <w:pPr>
        <w:pStyle w:val="BodyText"/>
      </w:pPr>
      <w:r w:rsidRPr="006C6CCE">
        <w:t>This unit describes the skills and knowledge required to maintain current and accurate collection rec</w:t>
      </w:r>
      <w:r w:rsidRPr="006C6CCE">
        <w:t xml:space="preserve">ords using established documentation procedures. </w:t>
      </w:r>
    </w:p>
    <w:p w:rsidR="00000000" w:rsidRPr="006C6CCE" w:rsidP="006C6CCE">
      <w:pPr>
        <w:pStyle w:val="BodyText"/>
      </w:pPr>
      <w:r w:rsidRPr="006C6CCE">
        <w:t>This unit describes the skills and knowledge required to maintain current and accurate collection records using established documentation procedures.</w:t>
      </w:r>
    </w:p>
    <w:p w:rsidR="00000000" w:rsidRPr="006C6CCE" w:rsidP="006C6CCE">
      <w:pPr>
        <w:pStyle w:val="AllowPageBreak"/>
      </w:pPr>
    </w:p>
    <w:p w:rsidR="00000000" w:rsidRPr="006C6CCE" w:rsidP="006C6CCE">
      <w:pPr>
        <w:pStyle w:val="Heading1"/>
      </w:pPr>
      <w:bookmarkStart w:id="3" w:name="O_324637"/>
      <w:bookmarkEnd w:id="3"/>
      <w:r w:rsidRPr="006C6CCE">
        <w:t>Application of the Unit</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4" w:name="O_324636"/>
      <w:bookmarkEnd w:id="4"/>
      <w:r w:rsidRPr="006C6CCE">
        <w:t>Licensing/Regulatory Information</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5" w:name="O_324641"/>
      <w:bookmarkEnd w:id="5"/>
      <w:r w:rsidRPr="006C6CCE">
        <w:t>Pre-Requisites</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6" w:name="O_324630"/>
      <w:bookmarkEnd w:id="6"/>
      <w:r w:rsidRPr="006C6CCE">
        <w:t>Employability Skills Information</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7" w:name="O_324635"/>
      <w:bookmarkEnd w:id="7"/>
      <w:r w:rsidRPr="006C6CCE">
        <w:t>Elements and Performance Criteria Pre-Content</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8" w:name="O_324640"/>
      <w:bookmarkEnd w:id="8"/>
      <w:r w:rsidRPr="006C6CC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E79D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rPr>
                <w:rStyle w:val="SpecialBold"/>
              </w:rPr>
              <w:t>Elements and Performance Criteria</w:t>
            </w:r>
          </w:p>
        </w:tc>
      </w:tr>
      <w:tr w:rsidTr="001E79D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C6CCE" w:rsidP="006C6CCE">
            <w:pPr>
              <w:pStyle w:val="BodyText"/>
            </w:pPr>
            <w:r w:rsidRPr="006C6CC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rPr>
                <w:rStyle w:val="SpecialBold"/>
              </w:rPr>
              <w:t>Performance Criteria</w:t>
            </w:r>
          </w:p>
        </w:tc>
      </w:tr>
      <w:tr w:rsidTr="001E79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1</w:t>
            </w:r>
          </w:p>
        </w:tc>
        <w:tc>
          <w:tcPr>
            <w:tcW w:w="3000" w:type="dxa"/>
            <w:vMerge w:val="restart"/>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Access and record collection information</w:t>
            </w: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1.1</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Handle item in a manner which ensures its integrity in accordance with organisational access requirements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1.2</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Source and interpret information appropriate to establish history and other relevant information about the cultural material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1.3</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Accurately complete records to provide all fields of information required by the organisation to aid access and accountability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1.4</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Respect legal constraints and cultural protocols regarding data protection and management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1.5</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Process records to fa</w:t>
            </w:r>
            <w:r w:rsidRPr="006C6CCE">
              <w:t xml:space="preserve">cilitate easy access and retrieval by other users  </w:t>
            </w:r>
          </w:p>
        </w:tc>
      </w:tr>
      <w:tr w:rsidTr="001E79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2</w:t>
            </w:r>
          </w:p>
        </w:tc>
        <w:tc>
          <w:tcPr>
            <w:tcW w:w="3000" w:type="dxa"/>
            <w:vMerge w:val="restart"/>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Maintain information records</w:t>
            </w: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2.1</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Ensure that content of records reflects organisational information needs and policies and take action accordingly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2.2</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Protect confidential information and adhere to copyright requirements in the storage of records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2.3</w:t>
            </w:r>
          </w:p>
        </w:tc>
        <w:tc>
          <w:tcPr>
            <w:tcW w:w="51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 xml:space="preserve">Store records safely and regularly retrieve and review for content and format as required  </w:t>
            </w:r>
          </w:p>
        </w:tc>
      </w:tr>
      <w:tr w:rsidTr="001E79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CCE">
            <w:pPr>
              <w:pStyle w:val="BodyText"/>
              <w:rPr>
                <w:lang w:val="en-NZ"/>
              </w:rPr>
            </w:pPr>
            <w:r w:rsidRPr="006C6CCE">
              <w:t>2.4</w:t>
            </w:r>
          </w:p>
        </w:tc>
        <w:tc>
          <w:tcPr>
            <w:tcW w:w="5100" w:type="dxa"/>
            <w:tcBorders>
              <w:top w:val="nil"/>
              <w:left w:val="nil"/>
              <w:bottom w:val="nil"/>
              <w:right w:val="nil"/>
            </w:tcBorders>
            <w:tcMar>
              <w:top w:w="0" w:type="dxa"/>
              <w:left w:w="62" w:type="dxa"/>
              <w:bottom w:w="0" w:type="dxa"/>
              <w:right w:w="62" w:type="dxa"/>
            </w:tcMar>
          </w:tcPr>
          <w:p w:rsidR="00000000" w:rsidRPr="006C6CCE" w:rsidP="006C6CCE">
            <w:pPr>
              <w:pStyle w:val="BodyText"/>
            </w:pPr>
            <w:r w:rsidRPr="006C6CCE">
              <w:t>Modify, transfer or delete information in accordance</w:t>
            </w:r>
            <w:r w:rsidRPr="006C6CCE">
              <w:t xml:space="preserve"> with organisational policy  </w:t>
            </w:r>
          </w:p>
        </w:tc>
      </w:tr>
    </w:tbl>
    <w:p w:rsidR="00000000" w:rsidRPr="006C6CCE" w:rsidP="006C6CCE">
      <w:pPr>
        <w:pStyle w:val="BodyText"/>
      </w:pPr>
    </w:p>
    <w:p w:rsidR="00000000" w:rsidRPr="006C6CCE" w:rsidP="006C6CCE">
      <w:pPr>
        <w:pStyle w:val="AllowPageBreak"/>
      </w:pPr>
    </w:p>
    <w:p w:rsidR="00000000" w:rsidRPr="006C6CCE" w:rsidP="006C6CCE">
      <w:pPr>
        <w:pStyle w:val="Heading1"/>
      </w:pPr>
      <w:bookmarkStart w:id="9" w:name="O_324633"/>
      <w:bookmarkEnd w:id="9"/>
      <w:r w:rsidRPr="006C6CCE">
        <w:t>Required Skills and Knowledge</w:t>
      </w:r>
    </w:p>
    <w:p w:rsidR="00000000" w:rsidRPr="006C6CCE" w:rsidP="006C6CCE">
      <w:pPr>
        <w:pStyle w:val="BodyText"/>
      </w:pPr>
      <w:r w:rsidRPr="006C6CCE">
        <w:t>Not applicable.</w:t>
      </w:r>
    </w:p>
    <w:p w:rsidR="00000000" w:rsidRPr="006C6CCE" w:rsidP="006C6CCE">
      <w:pPr>
        <w:pStyle w:val="AllowPageBreak"/>
      </w:pPr>
    </w:p>
    <w:p w:rsidR="00000000" w:rsidRPr="006C6CCE" w:rsidP="006C6CCE">
      <w:pPr>
        <w:pStyle w:val="Heading1"/>
      </w:pPr>
      <w:bookmarkStart w:id="10" w:name="O_324632"/>
      <w:bookmarkEnd w:id="10"/>
      <w:r w:rsidRPr="006C6CCE">
        <w:t>Evidence Guide</w:t>
      </w:r>
    </w:p>
    <w:p w:rsidR="00000000" w:rsidRPr="006C6CCE" w:rsidP="006C6CCE">
      <w:pPr>
        <w:pStyle w:val="BodyText"/>
      </w:pPr>
      <w:r w:rsidRPr="006C6CCE">
        <w:t>The Evidence Guide describes the underpinning knowledge and skills that must be demonstrated to prove competence.  It is essential for assessment and must be read in conjunction with the Performance Criteria, the Range Statement and the Assessment Guidelin</w:t>
      </w:r>
      <w:r w:rsidRPr="006C6CCE">
        <w:t>es of the relevant Training Package.</w:t>
      </w:r>
    </w:p>
    <w:p w:rsidR="00000000" w:rsidRPr="006C6CCE" w:rsidP="006C6CCE">
      <w:pPr>
        <w:pStyle w:val="BodyText"/>
      </w:pPr>
      <w:r w:rsidRPr="006C6CCE">
        <w:rPr>
          <w:rStyle w:val="SpecialBold"/>
        </w:rPr>
        <w:t>Critical aspects of evidence required to demonstrate competency in this unit</w:t>
      </w:r>
    </w:p>
    <w:p w:rsidR="00000000" w:rsidRPr="006C6CCE" w:rsidP="006C6CCE">
      <w:pPr>
        <w:pStyle w:val="BodyText"/>
      </w:pPr>
      <w:r w:rsidRPr="006C6CCE">
        <w:t>The following evidence is critical to the judgement of competence in this unit:</w:t>
      </w:r>
    </w:p>
    <w:p w:rsidR="00000000" w:rsidRPr="006C6CCE" w:rsidP="006C6CCE">
      <w:pPr>
        <w:pStyle w:val="BodyText"/>
      </w:pPr>
      <w:r w:rsidRPr="006C6CCE">
        <w:t xml:space="preserve">  accurate completion of records using established procedures</w:t>
      </w:r>
    </w:p>
    <w:p w:rsidR="00000000" w:rsidRPr="006C6CCE" w:rsidP="006C6CCE">
      <w:pPr>
        <w:pStyle w:val="BodyText"/>
      </w:pPr>
      <w:r w:rsidRPr="006C6CCE">
        <w:t xml:space="preserve">  knowledge of sources to access information on cultural material</w:t>
      </w:r>
    </w:p>
    <w:p w:rsidR="00000000" w:rsidRPr="006C6CCE" w:rsidP="006C6CCE">
      <w:pPr>
        <w:pStyle w:val="BodyText"/>
      </w:pPr>
      <w:r w:rsidRPr="006C6CCE">
        <w:t xml:space="preserve">  ability to interpret and distill information for record keeping purposes</w:t>
      </w:r>
    </w:p>
    <w:p w:rsidR="00000000" w:rsidRPr="006C6CCE" w:rsidP="006C6CCE">
      <w:pPr>
        <w:pStyle w:val="BodyText"/>
      </w:pPr>
      <w:r w:rsidRPr="006C6CCE">
        <w:t xml:space="preserve">  knowledge of common collection record keeping formats and protocols</w:t>
      </w:r>
    </w:p>
    <w:p w:rsidR="00000000" w:rsidRPr="006C6CCE" w:rsidP="006C6CCE">
      <w:pPr>
        <w:pStyle w:val="BodyText"/>
      </w:pPr>
      <w:r w:rsidRPr="006C6CCE">
        <w:rPr>
          <w:rStyle w:val="SpecialBold"/>
        </w:rPr>
        <w:t>Context of assessment and consistency of perf</w:t>
      </w:r>
      <w:r w:rsidRPr="006C6CCE">
        <w:rPr>
          <w:rStyle w:val="SpecialBold"/>
        </w:rPr>
        <w:t>ormance</w:t>
      </w:r>
    </w:p>
    <w:p w:rsidR="00000000" w:rsidRPr="006C6CCE" w:rsidP="006C6CCE">
      <w:pPr>
        <w:pStyle w:val="BodyText"/>
      </w:pPr>
      <w:r w:rsidRPr="006C6CCE">
        <w:t>The assessment context must provide for:</w:t>
      </w:r>
    </w:p>
    <w:p w:rsidR="00000000" w:rsidRPr="006C6CCE" w:rsidP="006C6CCE">
      <w:pPr>
        <w:pStyle w:val="BodyText"/>
      </w:pPr>
      <w:r w:rsidRPr="006C6CCE">
        <w:t xml:space="preserve">  practical demonstration of skills using industry-current recording systems for a range of cultural material</w:t>
      </w:r>
    </w:p>
    <w:p w:rsidR="00000000" w:rsidRPr="006C6CCE" w:rsidP="006C6CCE">
      <w:pPr>
        <w:pStyle w:val="BodyText"/>
      </w:pPr>
      <w:r w:rsidRPr="006C6CCE">
        <w:t xml:space="preserve">  presence of time constraints to reflect realistic workplace practice</w:t>
      </w:r>
    </w:p>
    <w:p w:rsidR="00000000" w:rsidRPr="006C6CCE" w:rsidP="006C6CCE">
      <w:pPr>
        <w:pStyle w:val="BodyText"/>
      </w:pPr>
      <w:r w:rsidRPr="006C6CCE">
        <w:rPr>
          <w:rStyle w:val="SpecialBold"/>
        </w:rPr>
        <w:t>Relationships to other uni</w:t>
      </w:r>
      <w:r w:rsidRPr="006C6CCE">
        <w:rPr>
          <w:rStyle w:val="SpecialBold"/>
        </w:rPr>
        <w:t>ts</w:t>
      </w:r>
    </w:p>
    <w:p w:rsidR="00000000" w:rsidRPr="006C6CCE" w:rsidP="006C6CCE">
      <w:pPr>
        <w:pStyle w:val="BodyText"/>
      </w:pPr>
      <w:r w:rsidRPr="006C6CCE">
        <w:t>It is highly recommended that this unit be assessed with or after an information technology unit such as:</w:t>
      </w:r>
    </w:p>
    <w:p w:rsidR="00000000" w:rsidRPr="006C6CCE" w:rsidP="006C6CCE">
      <w:pPr>
        <w:pStyle w:val="BodyText"/>
      </w:pPr>
      <w:r w:rsidRPr="006C6CCE">
        <w:t xml:space="preserve">  BSBCMN205A - Use business technology</w:t>
      </w:r>
    </w:p>
    <w:p w:rsidR="00000000" w:rsidRPr="006C6CCE" w:rsidP="006C6CCE">
      <w:pPr>
        <w:pStyle w:val="BodyText"/>
      </w:pPr>
      <w:r w:rsidRPr="006C6CCE">
        <w:t>This unit also has linkage</w:t>
      </w:r>
      <w:r w:rsidRPr="006C6CCE">
        <w:t>s to a range of other general and museum-specific units, and combined assessment and/or training with those units may be appropriate.</w:t>
      </w:r>
    </w:p>
    <w:p w:rsidR="00000000" w:rsidRPr="006C6CCE" w:rsidP="006C6CCE">
      <w:pPr>
        <w:pStyle w:val="BodyText"/>
      </w:pPr>
      <w:r w:rsidRPr="006C6CCE">
        <w:rPr>
          <w:rStyle w:val="SpecialBold"/>
        </w:rPr>
        <w:t>Method of assessment</w:t>
      </w:r>
    </w:p>
    <w:p w:rsidR="00000000" w:rsidRPr="006C6CCE" w:rsidP="006C6CCE">
      <w:pPr>
        <w:pStyle w:val="BodyText"/>
      </w:pPr>
      <w:r w:rsidRPr="006C6CCE">
        <w:t xml:space="preserve">Assessment may incorporate a range of methods to assess performance and the application of essential </w:t>
      </w:r>
      <w:r w:rsidRPr="006C6CCE">
        <w:t>underpinning knowledge, and might include:</w:t>
      </w:r>
    </w:p>
    <w:p w:rsidR="00000000" w:rsidRPr="006C6CCE" w:rsidP="006C6CCE">
      <w:pPr>
        <w:pStyle w:val="BodyText"/>
      </w:pPr>
      <w:r w:rsidRPr="006C6CCE">
        <w:t xml:space="preserve">  review of records completed by the candidate</w:t>
      </w:r>
    </w:p>
    <w:p w:rsidR="00000000" w:rsidRPr="006C6CCE" w:rsidP="006C6CCE">
      <w:pPr>
        <w:pStyle w:val="BodyText"/>
      </w:pPr>
      <w:r w:rsidRPr="006C6CCE">
        <w:t xml:space="preserve">  oral or written questioning to assess knowledge of procedures, handling requirements or information sources</w:t>
      </w:r>
    </w:p>
    <w:p w:rsidR="00000000" w:rsidRPr="006C6CCE" w:rsidP="006C6CCE">
      <w:pPr>
        <w:pStyle w:val="BodyText"/>
      </w:pPr>
      <w:r w:rsidRPr="006C6CCE">
        <w:t xml:space="preserve">  review of portfolios of evidence and third party workp</w:t>
      </w:r>
      <w:r w:rsidRPr="006C6CCE">
        <w:t>lace reports of on-the-job performance by the candidate</w:t>
      </w:r>
    </w:p>
    <w:p w:rsidR="00000000" w:rsidRPr="006C6CCE" w:rsidP="006C6CCE">
      <w:pPr>
        <w:pStyle w:val="BodyText"/>
      </w:pPr>
      <w:r w:rsidRPr="006C6CCE">
        <w:t>Assessment methods should closely reflect workplace demands and the needs of particular groups [e.g. people with disabilities, and people who may have literacy or numeracy difficulties such as speaker</w:t>
      </w:r>
      <w:r w:rsidRPr="006C6CCE">
        <w:t>s of languages other than English, remote communities and those with interrupted schooling].</w:t>
      </w:r>
    </w:p>
    <w:p w:rsidR="00000000" w:rsidRPr="006C6CCE" w:rsidP="006C6CCE">
      <w:pPr>
        <w:pStyle w:val="BodyText"/>
      </w:pPr>
      <w:r w:rsidRPr="006C6CCE">
        <w:rPr>
          <w:rStyle w:val="SpecialBold"/>
        </w:rPr>
        <w:t>Essential skills and knowledge</w:t>
      </w:r>
    </w:p>
    <w:p w:rsidR="00000000" w:rsidRPr="006C6CCE" w:rsidP="006C6CCE">
      <w:pPr>
        <w:pStyle w:val="BodyText"/>
      </w:pPr>
      <w:r w:rsidRPr="006C6CCE">
        <w:t>Assessment must include evidence of the following knowledge and skills:</w:t>
      </w:r>
    </w:p>
    <w:p w:rsidR="00000000" w:rsidRPr="006C6CCE" w:rsidP="006C6CCE">
      <w:pPr>
        <w:pStyle w:val="BodyText"/>
      </w:pPr>
      <w:r w:rsidRPr="006C6CCE">
        <w:t xml:space="preserve">  information sources relevant to the collection </w:t>
      </w:r>
    </w:p>
    <w:p w:rsidR="00000000" w:rsidRPr="006C6CCE" w:rsidP="006C6CCE">
      <w:pPr>
        <w:pStyle w:val="BodyText"/>
      </w:pPr>
      <w:r w:rsidRPr="006C6CCE">
        <w:t xml:space="preserve">  handling</w:t>
      </w:r>
      <w:r w:rsidRPr="006C6CCE">
        <w:t xml:space="preserve"> procedures and identification techniques for cultural material in the relevant work context</w:t>
      </w:r>
    </w:p>
    <w:p w:rsidR="00000000" w:rsidRPr="006C6CCE" w:rsidP="006C6CCE">
      <w:pPr>
        <w:pStyle w:val="BodyText"/>
      </w:pPr>
      <w:r w:rsidRPr="006C6CCE">
        <w:t xml:space="preserve">  sources of curatorial and conservation advice in the relevant work context</w:t>
      </w:r>
    </w:p>
    <w:p w:rsidR="00000000" w:rsidRPr="006C6CCE" w:rsidP="006C6CCE">
      <w:pPr>
        <w:pStyle w:val="BodyText"/>
      </w:pPr>
      <w:r w:rsidRPr="006C6CCE">
        <w:t xml:space="preserve">  typical policies and procedures for collection record keeping</w:t>
      </w:r>
    </w:p>
    <w:p w:rsidR="00000000" w:rsidRPr="006C6CCE" w:rsidP="006C6CCE">
      <w:pPr>
        <w:pStyle w:val="BodyText"/>
      </w:pPr>
      <w:r w:rsidRPr="006C6CCE">
        <w:t xml:space="preserve">  the principles of ac</w:t>
      </w:r>
      <w:r w:rsidRPr="006C6CCE">
        <w:t>cess and accountability in collection record keeping</w:t>
      </w:r>
    </w:p>
    <w:p w:rsidR="00000000" w:rsidRPr="006C6CCE" w:rsidP="006C6CCE">
      <w:pPr>
        <w:pStyle w:val="BodyText"/>
      </w:pPr>
      <w:r w:rsidRPr="006C6CCE">
        <w:t xml:space="preserve">  ethical and cultural issues that impact on collection record keeping, including those for Aboriginal or Torres Strait Islander material</w:t>
      </w:r>
    </w:p>
    <w:p w:rsidR="00000000" w:rsidRPr="006C6CCE" w:rsidP="006C6CCE">
      <w:pPr>
        <w:pStyle w:val="BodyText"/>
      </w:pPr>
      <w:r w:rsidRPr="006C6CCE">
        <w:t xml:space="preserve">  copyright, moral rights and intellectual property issues and le</w:t>
      </w:r>
      <w:r w:rsidRPr="006C6CCE">
        <w:t>gislation that impact on collection record keeping</w:t>
      </w:r>
    </w:p>
    <w:p w:rsidR="00000000" w:rsidRPr="006C6CCE" w:rsidP="006C6CCE">
      <w:pPr>
        <w:pStyle w:val="BodyText"/>
      </w:pPr>
      <w:r w:rsidRPr="006C6CCE">
        <w:t xml:space="preserve">  literacy skills sufficient to interpret reference sources and documentation relating to specific objects and the collection</w:t>
      </w:r>
    </w:p>
    <w:p w:rsidR="00000000" w:rsidRPr="006C6CCE" w:rsidP="006C6CCE">
      <w:pPr>
        <w:pStyle w:val="BodyText"/>
      </w:pPr>
      <w:r w:rsidRPr="006C6CCE">
        <w:t xml:space="preserve">  numeracy skills sufficient to work with numerical record keeping systems</w:t>
      </w:r>
    </w:p>
    <w:p w:rsidR="00000000" w:rsidRPr="006C6CCE" w:rsidP="006C6CCE">
      <w:pPr>
        <w:pStyle w:val="BodyText"/>
      </w:pPr>
      <w:r w:rsidRPr="006C6CCE">
        <w:rPr>
          <w:rStyle w:val="SpecialBold"/>
        </w:rPr>
        <w:t>Spec</w:t>
      </w:r>
      <w:r w:rsidRPr="006C6CCE">
        <w:rPr>
          <w:rStyle w:val="SpecialBold"/>
        </w:rPr>
        <w:t>ific resource requirements</w:t>
      </w:r>
    </w:p>
    <w:p w:rsidR="00000000" w:rsidRPr="006C6CCE" w:rsidP="006C6CCE">
      <w:pPr>
        <w:pStyle w:val="BodyText"/>
      </w:pPr>
      <w:r w:rsidRPr="006C6CCE">
        <w:t>Assessment of this unit requires access to:</w:t>
      </w:r>
    </w:p>
    <w:p w:rsidR="00000000" w:rsidRPr="006C6CCE" w:rsidP="006C6CCE">
      <w:pPr>
        <w:pStyle w:val="BodyText"/>
      </w:pPr>
      <w:r w:rsidRPr="006C6CCE">
        <w:t xml:space="preserve">  relevant policies and procedures manuals</w:t>
      </w:r>
    </w:p>
    <w:p w:rsidR="00000000" w:rsidRPr="006C6CCE" w:rsidP="006C6CCE">
      <w:pPr>
        <w:pStyle w:val="BodyText"/>
      </w:pPr>
      <w:r w:rsidRPr="006C6CCE">
        <w:t xml:space="preserve">  collection items to be recorded</w:t>
      </w:r>
    </w:p>
    <w:p w:rsidR="00000000" w:rsidRPr="006C6CCE" w:rsidP="006C6CCE">
      <w:pPr>
        <w:pStyle w:val="BodyText"/>
      </w:pPr>
      <w:r w:rsidRPr="006C6CCE">
        <w:rPr>
          <w:rStyle w:val="SpecialBold"/>
        </w:rPr>
        <w:t>Generic employability skills</w:t>
      </w:r>
    </w:p>
    <w:p w:rsidR="00000000" w:rsidRPr="006C6CCE" w:rsidP="006C6CCE">
      <w:pPr>
        <w:pStyle w:val="BodyText"/>
      </w:pPr>
      <w:r w:rsidRPr="006C6CCE">
        <w:t>The seven Key Competencies represent generic skills considered for effective wo</w:t>
      </w:r>
      <w:r w:rsidRPr="006C6CCE">
        <w:t>rk participation.  The bracketed numbering against each of the Key Competencies indicates the performance level required in this unit.</w:t>
      </w:r>
    </w:p>
    <w:p w:rsidR="00000000" w:rsidRPr="006C6CCE" w:rsidP="006C6CCE">
      <w:pPr>
        <w:pStyle w:val="BodyText"/>
      </w:pPr>
      <w:r w:rsidRPr="006C6CCE">
        <w:t>Level (1) represents the competence to undertake tasks effectively</w:t>
      </w:r>
    </w:p>
    <w:p w:rsidR="00000000" w:rsidRPr="006C6CCE" w:rsidP="006C6CCE">
      <w:pPr>
        <w:pStyle w:val="BodyText"/>
      </w:pPr>
      <w:r w:rsidRPr="006C6CCE">
        <w:t>Level (2) represents the competence to manage tasks</w:t>
      </w:r>
    </w:p>
    <w:p w:rsidR="00000000" w:rsidRPr="006C6CCE" w:rsidP="006C6CCE">
      <w:pPr>
        <w:pStyle w:val="BodyText"/>
      </w:pPr>
      <w:r w:rsidRPr="006C6CCE">
        <w:t>Le</w:t>
      </w:r>
      <w:r w:rsidRPr="006C6CCE">
        <w:t>vel (3) represents the competence to use concepts for evaluating and reshaping tasks.</w:t>
      </w:r>
    </w:p>
    <w:p w:rsidR="00000000" w:rsidRPr="006C6CCE" w:rsidP="006C6CCE">
      <w:pPr>
        <w:pStyle w:val="BodyText"/>
      </w:pPr>
      <w:r w:rsidRPr="006C6CCE">
        <w:rPr>
          <w:rStyle w:val="SpecialBold"/>
        </w:rPr>
        <w:t>How can communication of ideas and information be applied</w:t>
      </w:r>
      <w:r w:rsidRPr="006C6CCE">
        <w:t>? - (</w:t>
      </w:r>
      <w:r w:rsidRPr="006C6CCE">
        <w:rPr>
          <w:rStyle w:val="SpecialBold"/>
        </w:rPr>
        <w:t>1</w:t>
      </w:r>
      <w:r w:rsidRPr="006C6CCE">
        <w:t>)</w:t>
      </w:r>
    </w:p>
    <w:p w:rsidR="00000000" w:rsidRPr="006C6CCE" w:rsidP="006C6CCE">
      <w:pPr>
        <w:pStyle w:val="BodyText"/>
      </w:pPr>
      <w:r w:rsidRPr="006C6CCE">
        <w:t xml:space="preserve">  Completing accurate records</w:t>
      </w:r>
    </w:p>
    <w:p w:rsidR="00000000" w:rsidRPr="006C6CCE" w:rsidP="006C6CCE">
      <w:pPr>
        <w:pStyle w:val="BodyText"/>
      </w:pPr>
      <w:r w:rsidRPr="006C6CCE">
        <w:rPr>
          <w:rStyle w:val="SpecialBold"/>
        </w:rPr>
        <w:t>How can information be collected</w:t>
      </w:r>
      <w:r w:rsidRPr="006C6CCE">
        <w:t xml:space="preserve">, </w:t>
      </w:r>
      <w:r w:rsidRPr="006C6CCE">
        <w:rPr>
          <w:rStyle w:val="SpecialBold"/>
        </w:rPr>
        <w:t>analysed and organise</w:t>
      </w:r>
      <w:r w:rsidRPr="006C6CCE">
        <w:t xml:space="preserve"> - (</w:t>
      </w:r>
      <w:r w:rsidRPr="006C6CCE">
        <w:rPr>
          <w:rStyle w:val="SpecialBold"/>
        </w:rPr>
        <w:t>2</w:t>
      </w:r>
      <w:r w:rsidRPr="006C6CCE">
        <w:t>)</w:t>
      </w:r>
    </w:p>
    <w:p w:rsidR="00000000" w:rsidRPr="006C6CCE" w:rsidP="006C6CCE">
      <w:pPr>
        <w:pStyle w:val="BodyText"/>
      </w:pPr>
      <w:r w:rsidRPr="006C6CCE">
        <w:t xml:space="preserve">  Researching information</w:t>
      </w:r>
    </w:p>
    <w:p w:rsidR="00000000" w:rsidRPr="006C6CCE" w:rsidP="006C6CCE">
      <w:pPr>
        <w:pStyle w:val="BodyText"/>
      </w:pPr>
      <w:r w:rsidRPr="006C6CCE">
        <w:rPr>
          <w:rStyle w:val="SpecialBold"/>
        </w:rPr>
        <w:t>How are activities planned and organised</w:t>
      </w:r>
      <w:r w:rsidRPr="006C6CCE">
        <w:t xml:space="preserve"> - (</w:t>
      </w:r>
      <w:r w:rsidRPr="006C6CCE">
        <w:rPr>
          <w:rStyle w:val="SpecialBold"/>
        </w:rPr>
        <w:t>1</w:t>
      </w:r>
      <w:r w:rsidRPr="006C6CCE">
        <w:t>)</w:t>
      </w:r>
    </w:p>
    <w:p w:rsidR="00000000" w:rsidRPr="006C6CCE" w:rsidP="006C6CCE">
      <w:pPr>
        <w:pStyle w:val="BodyText"/>
      </w:pPr>
      <w:r w:rsidRPr="006C6CCE">
        <w:t xml:space="preserve">  Prioritising tasks</w:t>
      </w:r>
    </w:p>
    <w:p w:rsidR="00000000" w:rsidRPr="006C6CCE" w:rsidP="006C6CCE">
      <w:pPr>
        <w:pStyle w:val="BodyText"/>
      </w:pPr>
      <w:r w:rsidRPr="006C6CCE">
        <w:rPr>
          <w:rStyle w:val="SpecialBold"/>
        </w:rPr>
        <w:t>How can team work be applied</w:t>
      </w:r>
      <w:r w:rsidRPr="006C6CCE">
        <w:t xml:space="preserve"> - (</w:t>
      </w:r>
      <w:r w:rsidRPr="006C6CCE">
        <w:rPr>
          <w:rStyle w:val="SpecialBold"/>
        </w:rPr>
        <w:t>2</w:t>
      </w:r>
      <w:r w:rsidRPr="006C6CCE">
        <w:t>)</w:t>
      </w:r>
    </w:p>
    <w:p w:rsidR="00000000" w:rsidRPr="006C6CCE" w:rsidP="006C6CCE">
      <w:pPr>
        <w:pStyle w:val="BodyText"/>
      </w:pPr>
      <w:r w:rsidRPr="006C6CCE">
        <w:t xml:space="preserve">  Discussing aspects of cultural material with colleagues</w:t>
      </w:r>
    </w:p>
    <w:p w:rsidR="00000000" w:rsidRPr="006C6CCE" w:rsidP="006C6CCE">
      <w:pPr>
        <w:pStyle w:val="BodyText"/>
      </w:pPr>
      <w:r w:rsidRPr="006C6CCE">
        <w:rPr>
          <w:rStyle w:val="SpecialBold"/>
        </w:rPr>
        <w:t>How can the use of mathematical ideas and techniques be applied</w:t>
      </w:r>
      <w:r w:rsidRPr="006C6CCE">
        <w:t xml:space="preserve"> - (</w:t>
      </w:r>
      <w:r w:rsidRPr="006C6CCE">
        <w:rPr>
          <w:rStyle w:val="SpecialBold"/>
        </w:rPr>
        <w:t>1</w:t>
      </w:r>
      <w:r w:rsidRPr="006C6CCE">
        <w:t>)</w:t>
      </w:r>
    </w:p>
    <w:p w:rsidR="00000000" w:rsidRPr="006C6CCE" w:rsidP="006C6CCE">
      <w:pPr>
        <w:pStyle w:val="BodyText"/>
      </w:pPr>
      <w:r w:rsidRPr="006C6CCE">
        <w:t xml:space="preserve">  Using numerical features of information systems</w:t>
      </w:r>
    </w:p>
    <w:p w:rsidR="00000000" w:rsidRPr="006C6CCE" w:rsidP="006C6CCE">
      <w:pPr>
        <w:pStyle w:val="BodyText"/>
      </w:pPr>
      <w:r w:rsidRPr="006C6CCE">
        <w:rPr>
          <w:rStyle w:val="SpecialBold"/>
        </w:rPr>
        <w:t>How can problem solving skills be applied</w:t>
      </w:r>
      <w:r w:rsidRPr="006C6CCE">
        <w:t xml:space="preserve"> - (</w:t>
      </w:r>
      <w:r w:rsidRPr="006C6CCE">
        <w:rPr>
          <w:rStyle w:val="SpecialBold"/>
        </w:rPr>
        <w:t>2</w:t>
      </w:r>
      <w:r w:rsidRPr="006C6CCE">
        <w:t>)</w:t>
      </w:r>
    </w:p>
    <w:p w:rsidR="00000000" w:rsidRPr="006C6CCE" w:rsidP="006C6CCE">
      <w:pPr>
        <w:pStyle w:val="BodyText"/>
      </w:pPr>
      <w:r w:rsidRPr="006C6CCE">
        <w:t xml:space="preserve">  Sourcing information on an object of unknown provenance</w:t>
      </w:r>
    </w:p>
    <w:p w:rsidR="00000000" w:rsidRPr="006C6CCE" w:rsidP="006C6CCE">
      <w:pPr>
        <w:pStyle w:val="BodyText"/>
      </w:pPr>
      <w:r w:rsidRPr="006C6CCE">
        <w:rPr>
          <w:rStyle w:val="SpecialBold"/>
        </w:rPr>
        <w:t>How can the use of technology be applied</w:t>
      </w:r>
      <w:r w:rsidRPr="006C6CCE">
        <w:t xml:space="preserve"> - (</w:t>
      </w:r>
      <w:r w:rsidRPr="006C6CCE">
        <w:rPr>
          <w:rStyle w:val="SpecialBold"/>
        </w:rPr>
        <w:t>1</w:t>
      </w:r>
      <w:r w:rsidRPr="006C6CCE">
        <w:t>)</w:t>
      </w:r>
    </w:p>
    <w:p w:rsidR="00000000" w:rsidRPr="006C6CCE" w:rsidP="006C6CCE">
      <w:pPr>
        <w:pStyle w:val="BodyText"/>
      </w:pPr>
      <w:r w:rsidRPr="006C6CCE">
        <w:t xml:space="preserve">  Using the Internet for research</w:t>
      </w:r>
    </w:p>
    <w:p w:rsidR="00000000" w:rsidRPr="006C6CCE" w:rsidP="006C6CCE">
      <w:pPr>
        <w:pStyle w:val="BodyText"/>
      </w:pPr>
      <w:r w:rsidRPr="006C6CCE">
        <w:t>The Evidence Guide</w:t>
      </w:r>
      <w:r w:rsidRPr="006C6CCE">
        <w:t xml:space="preserve"> describes the underpinning knowledge and skills that must be demonstrated to prove competence.  It is essential for assessment and must be read in conjunction with the Performance Criteria, the Range Statement and the Assessment Guidelines of the relevant</w:t>
      </w:r>
      <w:r w:rsidRPr="006C6CCE">
        <w:t xml:space="preserve"> Training Package.</w:t>
      </w:r>
    </w:p>
    <w:p w:rsidR="00000000" w:rsidRPr="006C6CCE" w:rsidP="006C6CCE">
      <w:pPr>
        <w:pStyle w:val="BodyText"/>
      </w:pPr>
      <w:r w:rsidRPr="006C6CCE">
        <w:rPr>
          <w:rStyle w:val="SpecialBold"/>
        </w:rPr>
        <w:t>Critical aspects of evidence required to demonstrate competency in this unit</w:t>
      </w:r>
    </w:p>
    <w:p w:rsidR="00000000" w:rsidRPr="006C6CCE" w:rsidP="006C6CCE">
      <w:pPr>
        <w:pStyle w:val="BodyText"/>
      </w:pPr>
      <w:r w:rsidRPr="006C6CCE">
        <w:t>The following evidence is critical to the judgement of competence in this unit:</w:t>
      </w:r>
    </w:p>
    <w:p w:rsidR="00000000" w:rsidRPr="006C6CCE" w:rsidP="006C6CCE">
      <w:pPr>
        <w:pStyle w:val="BodyText"/>
      </w:pPr>
      <w:r w:rsidRPr="006C6CCE">
        <w:t xml:space="preserve">  accurate completion of records using established procedures</w:t>
      </w:r>
    </w:p>
    <w:p w:rsidR="00000000" w:rsidRPr="006C6CCE" w:rsidP="006C6CCE">
      <w:pPr>
        <w:pStyle w:val="BodyText"/>
      </w:pPr>
      <w:r w:rsidRPr="006C6CCE">
        <w:t xml:space="preserve">  knowledge of sou</w:t>
      </w:r>
      <w:r w:rsidRPr="006C6CCE">
        <w:t>rces to access information on cultural material</w:t>
      </w:r>
    </w:p>
    <w:p w:rsidR="00000000" w:rsidRPr="006C6CCE" w:rsidP="006C6CCE">
      <w:pPr>
        <w:pStyle w:val="BodyText"/>
      </w:pPr>
      <w:r w:rsidRPr="006C6CCE">
        <w:t xml:space="preserve">  ability to interpret and distill information for record keeping purposes</w:t>
      </w:r>
    </w:p>
    <w:p w:rsidR="00000000" w:rsidRPr="006C6CCE" w:rsidP="006C6CCE">
      <w:pPr>
        <w:pStyle w:val="BodyText"/>
      </w:pPr>
      <w:r w:rsidRPr="006C6CCE">
        <w:t xml:space="preserve">  knowledge of common collection record keeping formats and protocols</w:t>
      </w:r>
    </w:p>
    <w:p w:rsidR="00000000" w:rsidRPr="006C6CCE" w:rsidP="006C6CCE">
      <w:pPr>
        <w:pStyle w:val="BodyText"/>
      </w:pPr>
      <w:r w:rsidRPr="006C6CCE">
        <w:rPr>
          <w:rStyle w:val="SpecialBold"/>
        </w:rPr>
        <w:t>Context of assessment and consistency of performance</w:t>
      </w:r>
    </w:p>
    <w:p w:rsidR="00000000" w:rsidRPr="006C6CCE" w:rsidP="006C6CCE">
      <w:pPr>
        <w:pStyle w:val="BodyText"/>
      </w:pPr>
      <w:r w:rsidRPr="006C6CCE">
        <w:t>The assess</w:t>
      </w:r>
      <w:r w:rsidRPr="006C6CCE">
        <w:t>ment context must provide for:</w:t>
      </w:r>
    </w:p>
    <w:p w:rsidR="00000000" w:rsidRPr="006C6CCE" w:rsidP="006C6CCE">
      <w:pPr>
        <w:pStyle w:val="BodyText"/>
      </w:pPr>
      <w:r w:rsidRPr="006C6CCE">
        <w:t xml:space="preserve">  practical demonstration of skills using industry-current recording systems for a range of cultural material</w:t>
      </w:r>
    </w:p>
    <w:p w:rsidR="00000000" w:rsidRPr="006C6CCE" w:rsidP="006C6CCE">
      <w:pPr>
        <w:pStyle w:val="BodyText"/>
      </w:pPr>
      <w:r w:rsidRPr="006C6CCE">
        <w:t xml:space="preserve">  presence of time constraints to reflect realistic workplace practice</w:t>
      </w:r>
    </w:p>
    <w:p w:rsidR="00000000" w:rsidRPr="006C6CCE" w:rsidP="006C6CCE">
      <w:pPr>
        <w:pStyle w:val="BodyText"/>
      </w:pPr>
      <w:r w:rsidRPr="006C6CCE">
        <w:rPr>
          <w:rStyle w:val="SpecialBold"/>
        </w:rPr>
        <w:t>Relationships to other units</w:t>
      </w:r>
    </w:p>
    <w:p w:rsidR="00000000" w:rsidRPr="006C6CCE" w:rsidP="006C6CCE">
      <w:pPr>
        <w:pStyle w:val="BodyText"/>
      </w:pPr>
      <w:r w:rsidRPr="006C6CCE">
        <w:t>It is highly recommended that this unit be assessed with or after an information technology unit such as:</w:t>
      </w:r>
    </w:p>
    <w:p w:rsidR="00000000" w:rsidRPr="006C6CCE" w:rsidP="006C6CCE">
      <w:pPr>
        <w:pStyle w:val="BodyText"/>
      </w:pPr>
      <w:r w:rsidRPr="006C6CCE">
        <w:t xml:space="preserve">  BSBCMN205A - Use business technology</w:t>
      </w:r>
    </w:p>
    <w:p w:rsidR="00000000" w:rsidRPr="006C6CCE" w:rsidP="006C6CCE">
      <w:pPr>
        <w:pStyle w:val="BodyText"/>
      </w:pPr>
      <w:r w:rsidRPr="006C6CCE">
        <w:t>This unit also has linkages to a range of other general and museum-specific units, and combined assessment and/</w:t>
      </w:r>
      <w:r w:rsidRPr="006C6CCE">
        <w:t>or training with those units may be appropriate.</w:t>
      </w:r>
    </w:p>
    <w:p w:rsidR="00000000" w:rsidRPr="006C6CCE" w:rsidP="006C6CCE">
      <w:pPr>
        <w:pStyle w:val="BodyText"/>
      </w:pPr>
      <w:r w:rsidRPr="006C6CCE">
        <w:rPr>
          <w:rStyle w:val="SpecialBold"/>
        </w:rPr>
        <w:t>Method of assessment</w:t>
      </w:r>
    </w:p>
    <w:p w:rsidR="00000000" w:rsidRPr="006C6CCE" w:rsidP="006C6CCE">
      <w:pPr>
        <w:pStyle w:val="BodyText"/>
      </w:pPr>
      <w:r w:rsidRPr="006C6CCE">
        <w:t>Assessment may incorporate a range of methods to assess performance and the application of essential underpinning knowledge, and might include:</w:t>
      </w:r>
    </w:p>
    <w:p w:rsidR="00000000" w:rsidRPr="006C6CCE" w:rsidP="006C6CCE">
      <w:pPr>
        <w:pStyle w:val="BodyText"/>
      </w:pPr>
      <w:r w:rsidRPr="006C6CCE">
        <w:t xml:space="preserve">  review of records completed by the candidate</w:t>
      </w:r>
    </w:p>
    <w:p w:rsidR="00000000" w:rsidRPr="006C6CCE" w:rsidP="006C6CCE">
      <w:pPr>
        <w:pStyle w:val="BodyText"/>
      </w:pPr>
      <w:r w:rsidRPr="006C6CCE">
        <w:t xml:space="preserve">  oral or written questioning to assess knowledge of procedures, handling requirements or information sources</w:t>
      </w:r>
    </w:p>
    <w:p w:rsidR="00000000" w:rsidRPr="006C6CCE" w:rsidP="006C6CCE">
      <w:pPr>
        <w:pStyle w:val="BodyText"/>
      </w:pPr>
      <w:r w:rsidRPr="006C6CCE">
        <w:t xml:space="preserve">  review of portfolios of evidence and third party workplace reports of on-the-job performance by t</w:t>
      </w:r>
      <w:r w:rsidRPr="006C6CCE">
        <w:t>he candidate</w:t>
      </w:r>
    </w:p>
    <w:p w:rsidR="00000000" w:rsidRPr="006C6CCE" w:rsidP="006C6CCE">
      <w:pPr>
        <w:pStyle w:val="BodyText"/>
      </w:pPr>
      <w:r w:rsidRPr="006C6CCE">
        <w:t>Assessment methods should closely reflect workplace demands and the needs of particular groups [e.g. people with disabilities, and people who may have literacy or numeracy difficulties such as speakers of languages other than English, remote c</w:t>
      </w:r>
      <w:r w:rsidRPr="006C6CCE">
        <w:t>ommunities and those with interrupted schooling].</w:t>
      </w:r>
    </w:p>
    <w:p w:rsidR="00000000" w:rsidRPr="006C6CCE" w:rsidP="006C6CCE">
      <w:pPr>
        <w:pStyle w:val="BodyText"/>
      </w:pPr>
      <w:r w:rsidRPr="006C6CCE">
        <w:rPr>
          <w:rStyle w:val="SpecialBold"/>
        </w:rPr>
        <w:t>Essential skills and knowledge</w:t>
      </w:r>
    </w:p>
    <w:p w:rsidR="00000000" w:rsidRPr="006C6CCE" w:rsidP="006C6CCE">
      <w:pPr>
        <w:pStyle w:val="BodyText"/>
      </w:pPr>
      <w:r w:rsidRPr="006C6CCE">
        <w:t>Assessment must include evidence of the following knowledge and skills:</w:t>
      </w:r>
    </w:p>
    <w:p w:rsidR="00000000" w:rsidRPr="006C6CCE" w:rsidP="006C6CCE">
      <w:pPr>
        <w:pStyle w:val="BodyText"/>
      </w:pPr>
      <w:r w:rsidRPr="006C6CCE">
        <w:t xml:space="preserve">  information sources relevant to the collection </w:t>
      </w:r>
    </w:p>
    <w:p w:rsidR="00000000" w:rsidRPr="006C6CCE" w:rsidP="006C6CCE">
      <w:pPr>
        <w:pStyle w:val="BodyText"/>
      </w:pPr>
      <w:r w:rsidRPr="006C6CCE">
        <w:t xml:space="preserve">  handling procedures and identification techniques f</w:t>
      </w:r>
      <w:r w:rsidRPr="006C6CCE">
        <w:t>or cultural material in the relevant work context</w:t>
      </w:r>
    </w:p>
    <w:p w:rsidR="00000000" w:rsidRPr="006C6CCE" w:rsidP="006C6CCE">
      <w:pPr>
        <w:pStyle w:val="BodyText"/>
      </w:pPr>
      <w:r w:rsidRPr="006C6CCE">
        <w:t xml:space="preserve">  sources of curatorial and conservation advice in the relevant work context</w:t>
      </w:r>
    </w:p>
    <w:p w:rsidR="00000000" w:rsidRPr="006C6CCE" w:rsidP="006C6CCE">
      <w:pPr>
        <w:pStyle w:val="BodyText"/>
      </w:pPr>
      <w:r w:rsidRPr="006C6CCE">
        <w:t xml:space="preserve">  typical policies and procedures for collection record keeping</w:t>
      </w:r>
    </w:p>
    <w:p w:rsidR="00000000" w:rsidRPr="006C6CCE" w:rsidP="006C6CCE">
      <w:pPr>
        <w:pStyle w:val="BodyText"/>
      </w:pPr>
      <w:r w:rsidRPr="006C6CCE">
        <w:t xml:space="preserve">  the principles of access and accountability in collection recor</w:t>
      </w:r>
      <w:r w:rsidRPr="006C6CCE">
        <w:t>d keeping</w:t>
      </w:r>
    </w:p>
    <w:p w:rsidR="00000000" w:rsidRPr="006C6CCE" w:rsidP="006C6CCE">
      <w:pPr>
        <w:pStyle w:val="BodyText"/>
      </w:pPr>
      <w:r w:rsidRPr="006C6CCE">
        <w:t xml:space="preserve">  ethical and cultural issues that impact on collection record keeping, including those for Aboriginal or Torres Strait Islander material</w:t>
      </w:r>
    </w:p>
    <w:p w:rsidR="00000000" w:rsidRPr="006C6CCE" w:rsidP="006C6CCE">
      <w:pPr>
        <w:pStyle w:val="BodyText"/>
      </w:pPr>
      <w:r w:rsidRPr="006C6CCE">
        <w:t xml:space="preserve">  copyright, moral rights and intellectual property issues and legislation that impact on collection record </w:t>
      </w:r>
      <w:r w:rsidRPr="006C6CCE">
        <w:t>keeping</w:t>
      </w:r>
    </w:p>
    <w:p w:rsidR="00000000" w:rsidRPr="006C6CCE" w:rsidP="006C6CCE">
      <w:pPr>
        <w:pStyle w:val="BodyText"/>
      </w:pPr>
      <w:r w:rsidRPr="006C6CCE">
        <w:t xml:space="preserve">  literacy skills sufficient to interpret reference sources and documentation relating to specific objects and the collection</w:t>
      </w:r>
    </w:p>
    <w:p w:rsidR="00000000" w:rsidRPr="006C6CCE" w:rsidP="006C6CCE">
      <w:pPr>
        <w:pStyle w:val="BodyText"/>
      </w:pPr>
      <w:r w:rsidRPr="006C6CCE">
        <w:t xml:space="preserve">  numeracy skills sufficient to work with numerical record keeping systems</w:t>
      </w:r>
    </w:p>
    <w:p w:rsidR="00000000" w:rsidRPr="006C6CCE" w:rsidP="006C6CCE">
      <w:pPr>
        <w:pStyle w:val="BodyText"/>
      </w:pPr>
      <w:r w:rsidRPr="006C6CCE">
        <w:rPr>
          <w:rStyle w:val="SpecialBold"/>
        </w:rPr>
        <w:t>Specific resource requirements</w:t>
      </w:r>
    </w:p>
    <w:p w:rsidR="00000000" w:rsidRPr="006C6CCE" w:rsidP="006C6CCE">
      <w:pPr>
        <w:pStyle w:val="BodyText"/>
      </w:pPr>
      <w:r w:rsidRPr="006C6CCE">
        <w:t>Assessment of th</w:t>
      </w:r>
      <w:r w:rsidRPr="006C6CCE">
        <w:t>is unit requires access to:</w:t>
      </w:r>
    </w:p>
    <w:p w:rsidR="00000000" w:rsidRPr="006C6CCE" w:rsidP="006C6CCE">
      <w:pPr>
        <w:pStyle w:val="BodyText"/>
      </w:pPr>
      <w:r w:rsidRPr="006C6CCE">
        <w:t xml:space="preserve">  relevant policies and procedures manuals</w:t>
      </w:r>
    </w:p>
    <w:p w:rsidR="00000000" w:rsidRPr="006C6CCE" w:rsidP="006C6CCE">
      <w:pPr>
        <w:pStyle w:val="BodyText"/>
      </w:pPr>
      <w:r w:rsidRPr="006C6CCE">
        <w:t xml:space="preserve">  collection items to be recorded</w:t>
      </w:r>
    </w:p>
    <w:p w:rsidR="00000000" w:rsidRPr="006C6CCE" w:rsidP="006C6CCE">
      <w:pPr>
        <w:pStyle w:val="BodyText"/>
      </w:pPr>
      <w:r w:rsidRPr="006C6CCE">
        <w:rPr>
          <w:rStyle w:val="SpecialBold"/>
        </w:rPr>
        <w:t>Generic employability skills</w:t>
      </w:r>
    </w:p>
    <w:p w:rsidR="00000000" w:rsidRPr="006C6CCE" w:rsidP="006C6CCE">
      <w:pPr>
        <w:pStyle w:val="BodyText"/>
      </w:pPr>
      <w:r w:rsidRPr="006C6CCE">
        <w:t xml:space="preserve">The seven Key Competencies represent generic skills considered for effective work participation.  The bracketed numbering </w:t>
      </w:r>
      <w:r w:rsidRPr="006C6CCE">
        <w:t>against each of the Key Competencies indicates the performance level required in this unit.</w:t>
      </w:r>
    </w:p>
    <w:p w:rsidR="00000000" w:rsidRPr="006C6CCE" w:rsidP="006C6CCE">
      <w:pPr>
        <w:pStyle w:val="BodyText"/>
      </w:pPr>
      <w:r w:rsidRPr="006C6CCE">
        <w:t>Level (1) represents the competence to undertake tasks effectively</w:t>
      </w:r>
    </w:p>
    <w:p w:rsidR="00000000" w:rsidRPr="006C6CCE" w:rsidP="006C6CCE">
      <w:pPr>
        <w:pStyle w:val="BodyText"/>
      </w:pPr>
      <w:r w:rsidRPr="006C6CCE">
        <w:t>Level (2) represents the competence to manage tasks</w:t>
      </w:r>
    </w:p>
    <w:p w:rsidR="00000000" w:rsidRPr="006C6CCE" w:rsidP="006C6CCE">
      <w:pPr>
        <w:pStyle w:val="BodyText"/>
      </w:pPr>
      <w:r w:rsidRPr="006C6CCE">
        <w:t>Level (3) represents the competence to use co</w:t>
      </w:r>
      <w:r w:rsidRPr="006C6CCE">
        <w:t>ncepts for evaluating and reshaping tasks.</w:t>
      </w:r>
    </w:p>
    <w:p w:rsidR="00000000" w:rsidRPr="006C6CCE" w:rsidP="006C6CCE">
      <w:pPr>
        <w:pStyle w:val="BodyText"/>
      </w:pPr>
      <w:r w:rsidRPr="006C6CCE">
        <w:rPr>
          <w:rStyle w:val="SpecialBold"/>
        </w:rPr>
        <w:t>How can communication of ideas and information be applied</w:t>
      </w:r>
      <w:r w:rsidRPr="006C6CCE">
        <w:t>? - (</w:t>
      </w:r>
      <w:r w:rsidRPr="006C6CCE">
        <w:rPr>
          <w:rStyle w:val="SpecialBold"/>
        </w:rPr>
        <w:t>1</w:t>
      </w:r>
      <w:r w:rsidRPr="006C6CCE">
        <w:t>)</w:t>
      </w:r>
    </w:p>
    <w:p w:rsidR="00000000" w:rsidRPr="006C6CCE" w:rsidP="006C6CCE">
      <w:pPr>
        <w:pStyle w:val="BodyText"/>
      </w:pPr>
      <w:r w:rsidRPr="006C6CCE">
        <w:t xml:space="preserve">  Completing accurate records</w:t>
      </w:r>
    </w:p>
    <w:p w:rsidR="00000000" w:rsidRPr="006C6CCE" w:rsidP="006C6CCE">
      <w:pPr>
        <w:pStyle w:val="BodyText"/>
      </w:pPr>
      <w:r w:rsidRPr="006C6CCE">
        <w:rPr>
          <w:rStyle w:val="SpecialBold"/>
        </w:rPr>
        <w:t>How can information be collected</w:t>
      </w:r>
      <w:r w:rsidRPr="006C6CCE">
        <w:t xml:space="preserve">, </w:t>
      </w:r>
      <w:r w:rsidRPr="006C6CCE">
        <w:rPr>
          <w:rStyle w:val="SpecialBold"/>
        </w:rPr>
        <w:t>analysed and organise</w:t>
      </w:r>
      <w:r w:rsidRPr="006C6CCE">
        <w:t xml:space="preserve"> - (</w:t>
      </w:r>
      <w:r w:rsidRPr="006C6CCE">
        <w:rPr>
          <w:rStyle w:val="SpecialBold"/>
        </w:rPr>
        <w:t>2</w:t>
      </w:r>
      <w:r w:rsidRPr="006C6CCE">
        <w:t>)</w:t>
      </w:r>
    </w:p>
    <w:p w:rsidR="00000000" w:rsidRPr="006C6CCE" w:rsidP="006C6CCE">
      <w:pPr>
        <w:pStyle w:val="BodyText"/>
      </w:pPr>
      <w:r w:rsidRPr="006C6CCE">
        <w:t xml:space="preserve">  Researching information</w:t>
      </w:r>
    </w:p>
    <w:p w:rsidR="00000000" w:rsidRPr="006C6CCE" w:rsidP="006C6CCE">
      <w:pPr>
        <w:pStyle w:val="BodyText"/>
      </w:pPr>
      <w:r w:rsidRPr="006C6CCE">
        <w:rPr>
          <w:rStyle w:val="SpecialBold"/>
        </w:rPr>
        <w:t>How are activities planned and organised</w:t>
      </w:r>
      <w:r w:rsidRPr="006C6CCE">
        <w:t xml:space="preserve"> - (</w:t>
      </w:r>
      <w:r w:rsidRPr="006C6CCE">
        <w:rPr>
          <w:rStyle w:val="SpecialBold"/>
        </w:rPr>
        <w:t>1</w:t>
      </w:r>
      <w:r w:rsidRPr="006C6CCE">
        <w:t>)</w:t>
      </w:r>
    </w:p>
    <w:p w:rsidR="00000000" w:rsidRPr="006C6CCE" w:rsidP="006C6CCE">
      <w:pPr>
        <w:pStyle w:val="BodyText"/>
      </w:pPr>
      <w:r w:rsidRPr="006C6CCE">
        <w:t xml:space="preserve">  Prioritising tasks</w:t>
      </w:r>
    </w:p>
    <w:p w:rsidR="00000000" w:rsidRPr="006C6CCE" w:rsidP="006C6CCE">
      <w:pPr>
        <w:pStyle w:val="BodyText"/>
      </w:pPr>
      <w:r w:rsidRPr="006C6CCE">
        <w:rPr>
          <w:rStyle w:val="SpecialBold"/>
        </w:rPr>
        <w:t>How can team work be applied</w:t>
      </w:r>
      <w:r w:rsidRPr="006C6CCE">
        <w:t xml:space="preserve"> - (</w:t>
      </w:r>
      <w:r w:rsidRPr="006C6CCE">
        <w:rPr>
          <w:rStyle w:val="SpecialBold"/>
        </w:rPr>
        <w:t>2</w:t>
      </w:r>
      <w:r w:rsidRPr="006C6CCE">
        <w:t>)</w:t>
      </w:r>
    </w:p>
    <w:p w:rsidR="00000000" w:rsidRPr="006C6CCE" w:rsidP="006C6CCE">
      <w:pPr>
        <w:pStyle w:val="BodyText"/>
      </w:pPr>
      <w:r w:rsidRPr="006C6CCE">
        <w:t xml:space="preserve">  Discussing aspects of cultural material with colleagues</w:t>
      </w:r>
    </w:p>
    <w:p w:rsidR="00000000" w:rsidRPr="006C6CCE" w:rsidP="006C6CCE">
      <w:pPr>
        <w:pStyle w:val="BodyText"/>
      </w:pPr>
      <w:r w:rsidRPr="006C6CCE">
        <w:rPr>
          <w:rStyle w:val="SpecialBold"/>
        </w:rPr>
        <w:t>How can the use of mathematical ideas and techniques be applied</w:t>
      </w:r>
      <w:r w:rsidRPr="006C6CCE">
        <w:t xml:space="preserve"> - (</w:t>
      </w:r>
      <w:r w:rsidRPr="006C6CCE">
        <w:rPr>
          <w:rStyle w:val="SpecialBold"/>
        </w:rPr>
        <w:t>1</w:t>
      </w:r>
      <w:r w:rsidRPr="006C6CCE">
        <w:t>)</w:t>
      </w:r>
    </w:p>
    <w:p w:rsidR="00000000" w:rsidRPr="006C6CCE" w:rsidP="006C6CCE">
      <w:pPr>
        <w:pStyle w:val="BodyText"/>
      </w:pPr>
      <w:r w:rsidRPr="006C6CCE">
        <w:t xml:space="preserve">  Using numerical feature</w:t>
      </w:r>
      <w:r w:rsidRPr="006C6CCE">
        <w:t>s of information systems</w:t>
      </w:r>
    </w:p>
    <w:p w:rsidR="00000000" w:rsidRPr="006C6CCE" w:rsidP="006C6CCE">
      <w:pPr>
        <w:pStyle w:val="BodyText"/>
      </w:pPr>
      <w:r w:rsidRPr="006C6CCE">
        <w:rPr>
          <w:rStyle w:val="SpecialBold"/>
        </w:rPr>
        <w:t>How can problem solving skills be applied</w:t>
      </w:r>
      <w:r w:rsidRPr="006C6CCE">
        <w:t xml:space="preserve"> - (</w:t>
      </w:r>
      <w:r w:rsidRPr="006C6CCE">
        <w:rPr>
          <w:rStyle w:val="SpecialBold"/>
        </w:rPr>
        <w:t>2</w:t>
      </w:r>
      <w:r w:rsidRPr="006C6CCE">
        <w:t>)</w:t>
      </w:r>
    </w:p>
    <w:p w:rsidR="00000000" w:rsidRPr="006C6CCE" w:rsidP="006C6CCE">
      <w:pPr>
        <w:pStyle w:val="BodyText"/>
      </w:pPr>
      <w:r w:rsidRPr="006C6CCE">
        <w:t xml:space="preserve">  Sourcing information on an object of unknown provenance</w:t>
      </w:r>
    </w:p>
    <w:p w:rsidR="00000000" w:rsidRPr="006C6CCE" w:rsidP="006C6CCE">
      <w:pPr>
        <w:pStyle w:val="BodyText"/>
      </w:pPr>
      <w:r w:rsidRPr="006C6CCE">
        <w:rPr>
          <w:rStyle w:val="SpecialBold"/>
        </w:rPr>
        <w:t>How can the use of technology be applied</w:t>
      </w:r>
      <w:r w:rsidRPr="006C6CCE">
        <w:t xml:space="preserve"> - (</w:t>
      </w:r>
      <w:r w:rsidRPr="006C6CCE">
        <w:rPr>
          <w:rStyle w:val="SpecialBold"/>
        </w:rPr>
        <w:t>1</w:t>
      </w:r>
      <w:r w:rsidRPr="006C6CCE">
        <w:t>)</w:t>
      </w:r>
    </w:p>
    <w:p w:rsidR="00000000" w:rsidRPr="006C6CCE" w:rsidP="006C6CCE">
      <w:pPr>
        <w:pStyle w:val="BodyText"/>
      </w:pPr>
      <w:r w:rsidRPr="006C6CCE">
        <w:t xml:space="preserve">  Using the Internet for research</w:t>
      </w:r>
    </w:p>
    <w:p w:rsidR="00000000" w:rsidRPr="006C6CCE" w:rsidP="006C6CCE">
      <w:pPr>
        <w:pStyle w:val="AllowPageBreak"/>
      </w:pPr>
    </w:p>
    <w:p w:rsidR="00000000" w:rsidRPr="006C6CCE" w:rsidP="006C6CCE">
      <w:pPr>
        <w:pStyle w:val="Heading1"/>
      </w:pPr>
      <w:bookmarkStart w:id="11" w:name="O_324631"/>
      <w:bookmarkEnd w:id="11"/>
      <w:r w:rsidRPr="006C6CCE">
        <w:t>Range Statement</w:t>
      </w:r>
    </w:p>
    <w:p w:rsidR="00000000" w:rsidRPr="006C6CCE" w:rsidP="006C6CCE">
      <w:pPr>
        <w:pStyle w:val="BodyText"/>
      </w:pPr>
      <w:r w:rsidRPr="006C6CCE">
        <w:t>The Range S</w:t>
      </w:r>
      <w:r w:rsidRPr="006C6CCE">
        <w:t>tatement relates to the Unit of Competency as a whole.  It allows for different work environments and situations that will affect performance.</w:t>
      </w:r>
    </w:p>
    <w:p w:rsidR="00000000" w:rsidRPr="006C6CCE" w:rsidP="006C6CCE">
      <w:pPr>
        <w:pStyle w:val="BodyText"/>
      </w:pPr>
      <w:r w:rsidRPr="006C6CCE">
        <w:t>The following variables may be present with training and assessment depending on the work situation, needs of the</w:t>
      </w:r>
      <w:r w:rsidRPr="006C6CCE">
        <w:t xml:space="preserve"> trainee, accessibility of the item, and local industry and regional contexts.  If bold italicised text is shown in Performance Criteria, details of the text are provided in the Range Statement.</w:t>
      </w:r>
    </w:p>
    <w:p w:rsidR="00000000" w:rsidRPr="006C6CCE" w:rsidP="006C6CCE">
      <w:pPr>
        <w:pStyle w:val="BodyText"/>
      </w:pPr>
      <w:r w:rsidRPr="006C6CCE">
        <w:rPr>
          <w:rStyle w:val="SpecialBold"/>
        </w:rPr>
        <w:t>A museum collection is defined very broadly and may relate to</w:t>
      </w:r>
      <w:r w:rsidRPr="006C6CCE">
        <w:t xml:space="preserve">: </w:t>
      </w:r>
    </w:p>
    <w:p w:rsidR="00000000" w:rsidRPr="006C6CCE" w:rsidP="006C6CCE">
      <w:pPr>
        <w:pStyle w:val="BodyText"/>
      </w:pPr>
      <w:r w:rsidRPr="006C6CCE">
        <w:t xml:space="preserve">  cultural heritage</w:t>
      </w:r>
    </w:p>
    <w:p w:rsidR="00000000" w:rsidRPr="006C6CCE" w:rsidP="006C6CCE">
      <w:pPr>
        <w:pStyle w:val="BodyText"/>
      </w:pPr>
      <w:r w:rsidRPr="006C6CCE">
        <w:t xml:space="preserve">  history</w:t>
      </w:r>
    </w:p>
    <w:p w:rsidR="00000000" w:rsidRPr="006C6CCE" w:rsidP="006C6CCE">
      <w:pPr>
        <w:pStyle w:val="BodyText"/>
      </w:pPr>
      <w:r w:rsidRPr="006C6CCE">
        <w:t xml:space="preserve">  art</w:t>
      </w:r>
    </w:p>
    <w:p w:rsidR="00000000" w:rsidRPr="006C6CCE" w:rsidP="006C6CCE">
      <w:pPr>
        <w:pStyle w:val="BodyText"/>
      </w:pPr>
      <w:r w:rsidRPr="006C6CCE">
        <w:t xml:space="preserve">  science</w:t>
      </w:r>
    </w:p>
    <w:p w:rsidR="00000000" w:rsidRPr="006C6CCE" w:rsidP="006C6CCE">
      <w:pPr>
        <w:pStyle w:val="BodyText"/>
      </w:pPr>
      <w:r w:rsidRPr="006C6CCE">
        <w:t xml:space="preserve">  plants and animals</w:t>
      </w:r>
    </w:p>
    <w:p w:rsidR="00000000" w:rsidRPr="006C6CCE" w:rsidP="006C6CCE">
      <w:pPr>
        <w:pStyle w:val="BodyText"/>
      </w:pPr>
      <w:r w:rsidRPr="006C6CCE">
        <w:t xml:space="preserve">  other aspects of the natural environment</w:t>
      </w:r>
    </w:p>
    <w:p w:rsidR="00000000" w:rsidRPr="006C6CCE" w:rsidP="006C6CCE">
      <w:pPr>
        <w:pStyle w:val="BodyText"/>
      </w:pPr>
      <w:r w:rsidRPr="006C6CCE">
        <w:t xml:space="preserve">  materials with a cultural/spiritual significance</w:t>
      </w:r>
    </w:p>
    <w:p w:rsidR="00000000" w:rsidRPr="006C6CCE" w:rsidP="006C6CCE">
      <w:pPr>
        <w:pStyle w:val="BodyText"/>
      </w:pPr>
      <w:r w:rsidRPr="006C6CCE">
        <w:t xml:space="preserve">  living styles</w:t>
      </w:r>
    </w:p>
    <w:p w:rsidR="00000000" w:rsidRPr="006C6CCE" w:rsidP="006C6CCE">
      <w:pPr>
        <w:pStyle w:val="BodyText"/>
      </w:pPr>
      <w:r w:rsidRPr="006C6CCE">
        <w:t xml:space="preserve">  ceremony, e.g. dance, music</w:t>
      </w:r>
    </w:p>
    <w:p w:rsidR="00000000" w:rsidRPr="006C6CCE" w:rsidP="006C6CCE">
      <w:pPr>
        <w:pStyle w:val="BodyText"/>
      </w:pPr>
      <w:r w:rsidRPr="006C6CCE">
        <w:t xml:space="preserve">  any other heritage resource</w:t>
      </w:r>
    </w:p>
    <w:p w:rsidR="00000000" w:rsidRPr="006C6CCE" w:rsidP="006C6CCE">
      <w:pPr>
        <w:pStyle w:val="BodyText"/>
      </w:pPr>
      <w:r w:rsidRPr="006C6CCE">
        <w:rPr>
          <w:rStyle w:val="SpecialBold"/>
        </w:rPr>
        <w:t>Collection infor</w:t>
      </w:r>
      <w:r w:rsidRPr="006C6CCE">
        <w:rPr>
          <w:rStyle w:val="SpecialBold"/>
        </w:rPr>
        <w:t>mation may be required for</w:t>
      </w:r>
      <w:r w:rsidRPr="006C6CCE">
        <w:t>:</w:t>
      </w:r>
    </w:p>
    <w:p w:rsidR="00000000" w:rsidRPr="006C6CCE" w:rsidP="006C6CCE">
      <w:pPr>
        <w:pStyle w:val="BodyText"/>
      </w:pPr>
      <w:r w:rsidRPr="006C6CCE">
        <w:t xml:space="preserve">  numbering, location and movement control</w:t>
      </w:r>
    </w:p>
    <w:p w:rsidR="00000000" w:rsidRPr="006C6CCE" w:rsidP="006C6CCE">
      <w:pPr>
        <w:pStyle w:val="BodyText"/>
      </w:pPr>
      <w:r w:rsidRPr="006C6CCE">
        <w:t xml:space="preserve">  indexing and retrieval</w:t>
      </w:r>
    </w:p>
    <w:p w:rsidR="00000000" w:rsidRPr="006C6CCE" w:rsidP="006C6CCE">
      <w:pPr>
        <w:pStyle w:val="BodyText"/>
      </w:pPr>
      <w:r w:rsidRPr="006C6CCE">
        <w:t xml:space="preserve">  acquisition and disposal</w:t>
      </w:r>
    </w:p>
    <w:p w:rsidR="00000000" w:rsidRPr="006C6CCE" w:rsidP="006C6CCE">
      <w:pPr>
        <w:pStyle w:val="BodyText"/>
      </w:pPr>
      <w:r w:rsidRPr="006C6CCE">
        <w:t xml:space="preserve">  loans</w:t>
      </w:r>
    </w:p>
    <w:p w:rsidR="00000000" w:rsidRPr="006C6CCE" w:rsidP="006C6CCE">
      <w:pPr>
        <w:pStyle w:val="BodyText"/>
      </w:pPr>
      <w:r w:rsidRPr="006C6CCE">
        <w:t xml:space="preserve">  cataloguing</w:t>
      </w:r>
    </w:p>
    <w:p w:rsidR="00000000" w:rsidRPr="006C6CCE" w:rsidP="006C6CCE">
      <w:pPr>
        <w:pStyle w:val="BodyText"/>
      </w:pPr>
      <w:r w:rsidRPr="006C6CCE">
        <w:t xml:space="preserve">  research </w:t>
      </w:r>
    </w:p>
    <w:p w:rsidR="00000000" w:rsidRPr="006C6CCE" w:rsidP="006C6CCE">
      <w:pPr>
        <w:pStyle w:val="BodyText"/>
      </w:pPr>
      <w:r w:rsidRPr="006C6CCE">
        <w:t xml:space="preserve">  exhibitions</w:t>
      </w:r>
    </w:p>
    <w:p w:rsidR="00000000" w:rsidRPr="006C6CCE" w:rsidP="006C6CCE">
      <w:pPr>
        <w:pStyle w:val="BodyText"/>
      </w:pPr>
      <w:r w:rsidRPr="006C6CCE">
        <w:t xml:space="preserve">  reproduction conditions</w:t>
      </w:r>
    </w:p>
    <w:p w:rsidR="00000000" w:rsidRPr="006C6CCE" w:rsidP="006C6CCE">
      <w:pPr>
        <w:pStyle w:val="BodyText"/>
      </w:pPr>
      <w:r w:rsidRPr="006C6CCE">
        <w:t xml:space="preserve">  copyright issues</w:t>
      </w:r>
    </w:p>
    <w:p w:rsidR="00000000" w:rsidRPr="006C6CCE" w:rsidP="006C6CCE">
      <w:pPr>
        <w:pStyle w:val="BodyText"/>
      </w:pPr>
      <w:r w:rsidRPr="006C6CCE">
        <w:t xml:space="preserve">  conservation specifications</w:t>
      </w:r>
    </w:p>
    <w:p w:rsidR="00000000" w:rsidRPr="006C6CCE" w:rsidP="006C6CCE">
      <w:pPr>
        <w:pStyle w:val="BodyText"/>
      </w:pPr>
      <w:r w:rsidRPr="006C6CCE">
        <w:t xml:space="preserve">  assessing significance</w:t>
      </w:r>
    </w:p>
    <w:p w:rsidR="00000000" w:rsidRPr="006C6CCE" w:rsidP="006C6CCE">
      <w:pPr>
        <w:pStyle w:val="BodyText"/>
      </w:pPr>
      <w:r w:rsidRPr="006C6CCE">
        <w:t xml:space="preserve">  condition monitoring</w:t>
      </w:r>
    </w:p>
    <w:p w:rsidR="00000000" w:rsidRPr="006C6CCE" w:rsidP="006C6CCE">
      <w:pPr>
        <w:pStyle w:val="BodyText"/>
      </w:pPr>
      <w:r w:rsidRPr="006C6CCE">
        <w:rPr>
          <w:rStyle w:val="SpecialBold"/>
        </w:rPr>
        <w:t>Sourcing of information may include use of</w:t>
      </w:r>
      <w:r w:rsidRPr="006C6CCE">
        <w:t>:</w:t>
      </w:r>
    </w:p>
    <w:p w:rsidR="00000000" w:rsidRPr="006C6CCE" w:rsidP="006C6CCE">
      <w:pPr>
        <w:pStyle w:val="BodyText"/>
      </w:pPr>
      <w:r w:rsidRPr="006C6CCE">
        <w:t xml:space="preserve">  texts and references</w:t>
      </w:r>
    </w:p>
    <w:p w:rsidR="00000000" w:rsidRPr="006C6CCE" w:rsidP="006C6CCE">
      <w:pPr>
        <w:pStyle w:val="BodyText"/>
      </w:pPr>
      <w:r w:rsidRPr="006C6CCE">
        <w:t xml:space="preserve">  print or electronic media</w:t>
      </w:r>
    </w:p>
    <w:p w:rsidR="00000000" w:rsidRPr="006C6CCE" w:rsidP="006C6CCE">
      <w:pPr>
        <w:pStyle w:val="BodyText"/>
      </w:pPr>
      <w:r w:rsidRPr="006C6CCE">
        <w:t xml:space="preserve">  Internet</w:t>
      </w:r>
    </w:p>
    <w:p w:rsidR="00000000" w:rsidRPr="006C6CCE" w:rsidP="006C6CCE">
      <w:pPr>
        <w:pStyle w:val="BodyText"/>
      </w:pPr>
      <w:r w:rsidRPr="006C6CCE">
        <w:t xml:space="preserve">  libraries</w:t>
      </w:r>
    </w:p>
    <w:p w:rsidR="00000000" w:rsidRPr="006C6CCE" w:rsidP="006C6CCE">
      <w:pPr>
        <w:pStyle w:val="BodyText"/>
      </w:pPr>
      <w:r w:rsidRPr="006C6CCE">
        <w:t xml:space="preserve">  local community members</w:t>
      </w:r>
    </w:p>
    <w:p w:rsidR="00000000" w:rsidRPr="006C6CCE" w:rsidP="006C6CCE">
      <w:pPr>
        <w:pStyle w:val="BodyText"/>
      </w:pPr>
      <w:r w:rsidRPr="006C6CCE">
        <w:t xml:space="preserve">  internal sources</w:t>
      </w:r>
    </w:p>
    <w:p w:rsidR="00000000" w:rsidRPr="006C6CCE" w:rsidP="006C6CCE">
      <w:pPr>
        <w:pStyle w:val="BodyText"/>
      </w:pPr>
      <w:r w:rsidRPr="006C6CCE">
        <w:t xml:space="preserve">  subject matter experts</w:t>
      </w:r>
    </w:p>
    <w:p w:rsidR="00000000" w:rsidRPr="006C6CCE" w:rsidP="006C6CCE">
      <w:pPr>
        <w:pStyle w:val="BodyText"/>
      </w:pPr>
      <w:r w:rsidRPr="006C6CCE">
        <w:rPr>
          <w:rStyle w:val="SpecialBold"/>
        </w:rPr>
        <w:t>Fields of informatio</w:t>
      </w:r>
      <w:r w:rsidRPr="006C6CCE">
        <w:rPr>
          <w:rStyle w:val="SpecialBold"/>
        </w:rPr>
        <w:t>n may include</w:t>
      </w:r>
      <w:r w:rsidRPr="006C6CCE">
        <w:t>:</w:t>
      </w:r>
    </w:p>
    <w:p w:rsidR="00000000" w:rsidRPr="006C6CCE" w:rsidP="006C6CCE">
      <w:pPr>
        <w:pStyle w:val="BodyText"/>
      </w:pPr>
      <w:r w:rsidRPr="006C6CCE">
        <w:t xml:space="preserve">  physical description</w:t>
      </w:r>
    </w:p>
    <w:p w:rsidR="00000000" w:rsidRPr="006C6CCE" w:rsidP="006C6CCE">
      <w:pPr>
        <w:pStyle w:val="BodyText"/>
      </w:pPr>
      <w:r w:rsidRPr="006C6CCE">
        <w:t xml:space="preserve">  condition</w:t>
      </w:r>
    </w:p>
    <w:p w:rsidR="00000000" w:rsidRPr="006C6CCE" w:rsidP="006C6CCE">
      <w:pPr>
        <w:pStyle w:val="BodyText"/>
      </w:pPr>
      <w:r w:rsidRPr="006C6CCE">
        <w:t xml:space="preserve">  history and provenances</w:t>
      </w:r>
    </w:p>
    <w:p w:rsidR="00000000" w:rsidRPr="006C6CCE" w:rsidP="006C6CCE">
      <w:pPr>
        <w:pStyle w:val="BodyText"/>
      </w:pPr>
      <w:r w:rsidRPr="006C6CCE">
        <w:t xml:space="preserve">  significance (cultural, technical, scientific, historical or social)</w:t>
      </w:r>
    </w:p>
    <w:p w:rsidR="00000000" w:rsidRPr="006C6CCE" w:rsidP="006C6CCE">
      <w:pPr>
        <w:pStyle w:val="BodyText"/>
      </w:pPr>
      <w:r w:rsidRPr="006C6CCE">
        <w:t xml:space="preserve">  source details (original location, donor, dealer, artist, maker, collector)</w:t>
      </w:r>
    </w:p>
    <w:p w:rsidR="00000000" w:rsidRPr="006C6CCE" w:rsidP="006C6CCE">
      <w:pPr>
        <w:pStyle w:val="BodyText"/>
      </w:pPr>
      <w:r w:rsidRPr="006C6CCE">
        <w:t xml:space="preserve">  loan information</w:t>
      </w:r>
    </w:p>
    <w:p w:rsidR="00000000" w:rsidRPr="006C6CCE" w:rsidP="006C6CCE">
      <w:pPr>
        <w:pStyle w:val="BodyText"/>
      </w:pPr>
      <w:r w:rsidRPr="006C6CCE">
        <w:t xml:space="preserve">  insurance </w:t>
      </w:r>
      <w:r w:rsidRPr="006C6CCE">
        <w:t>details</w:t>
      </w:r>
    </w:p>
    <w:p w:rsidR="00000000" w:rsidRPr="006C6CCE" w:rsidP="006C6CCE">
      <w:pPr>
        <w:pStyle w:val="BodyText"/>
      </w:pPr>
      <w:r w:rsidRPr="006C6CCE">
        <w:t xml:space="preserve">  exhibition/display history</w:t>
      </w:r>
    </w:p>
    <w:p w:rsidR="00000000" w:rsidRPr="006C6CCE" w:rsidP="006C6CCE">
      <w:pPr>
        <w:pStyle w:val="BodyText"/>
      </w:pPr>
      <w:r w:rsidRPr="006C6CCE">
        <w:t xml:space="preserve">  conservation requirements</w:t>
      </w:r>
    </w:p>
    <w:p w:rsidR="00000000" w:rsidRPr="006C6CCE" w:rsidP="006C6CCE">
      <w:pPr>
        <w:pStyle w:val="BodyText"/>
      </w:pPr>
      <w:r w:rsidRPr="006C6CCE">
        <w:t xml:space="preserve">  reproduction history</w:t>
      </w:r>
    </w:p>
    <w:p w:rsidR="00000000" w:rsidRPr="006C6CCE" w:rsidP="006C6CCE">
      <w:pPr>
        <w:pStyle w:val="BodyText"/>
      </w:pPr>
      <w:r w:rsidRPr="006C6CCE">
        <w:t xml:space="preserve">  storage location</w:t>
      </w:r>
    </w:p>
    <w:p w:rsidR="00000000" w:rsidRPr="006C6CCE" w:rsidP="006C6CCE">
      <w:pPr>
        <w:pStyle w:val="BodyText"/>
      </w:pPr>
      <w:r w:rsidRPr="006C6CCE">
        <w:t xml:space="preserve">  references relevant to the material</w:t>
      </w:r>
    </w:p>
    <w:p w:rsidR="00000000" w:rsidRPr="006C6CCE" w:rsidP="006C6CCE">
      <w:pPr>
        <w:pStyle w:val="BodyText"/>
      </w:pPr>
      <w:r w:rsidRPr="006C6CCE">
        <w:t xml:space="preserve">  copyright holder</w:t>
      </w:r>
    </w:p>
    <w:p w:rsidR="00000000" w:rsidRPr="006C6CCE" w:rsidP="006C6CCE">
      <w:pPr>
        <w:pStyle w:val="BodyText"/>
      </w:pPr>
      <w:r w:rsidRPr="006C6CCE">
        <w:t xml:space="preserve">  unique number</w:t>
      </w:r>
    </w:p>
    <w:p w:rsidR="00000000" w:rsidRPr="006C6CCE" w:rsidP="006C6CCE">
      <w:pPr>
        <w:pStyle w:val="BodyText"/>
      </w:pPr>
      <w:r w:rsidRPr="006C6CCE">
        <w:rPr>
          <w:rStyle w:val="SpecialBold"/>
        </w:rPr>
        <w:t>Legal constraints and cultural protocols may relate to</w:t>
      </w:r>
      <w:r w:rsidRPr="006C6CCE">
        <w:t>:</w:t>
      </w:r>
    </w:p>
    <w:p w:rsidR="00000000" w:rsidRPr="006C6CCE" w:rsidP="006C6CCE">
      <w:pPr>
        <w:pStyle w:val="BodyText"/>
      </w:pPr>
      <w:r w:rsidRPr="006C6CCE">
        <w:t xml:space="preserve">  copyright</w:t>
      </w:r>
    </w:p>
    <w:p w:rsidR="00000000" w:rsidRPr="006C6CCE" w:rsidP="006C6CCE">
      <w:pPr>
        <w:pStyle w:val="BodyText"/>
      </w:pPr>
      <w:r w:rsidRPr="006C6CCE">
        <w:t xml:space="preserve">  moral rights</w:t>
      </w:r>
    </w:p>
    <w:p w:rsidR="00000000" w:rsidRPr="006C6CCE" w:rsidP="006C6CCE">
      <w:pPr>
        <w:pStyle w:val="BodyText"/>
      </w:pPr>
      <w:r w:rsidRPr="006C6CCE">
        <w:t xml:space="preserve">  intellectual property</w:t>
      </w:r>
    </w:p>
    <w:p w:rsidR="00000000" w:rsidRPr="006C6CCE" w:rsidP="006C6CCE">
      <w:pPr>
        <w:pStyle w:val="BodyText"/>
      </w:pPr>
      <w:r w:rsidRPr="006C6CCE">
        <w:t xml:space="preserve">  item-specific cultural protocols</w:t>
      </w:r>
    </w:p>
    <w:p w:rsidR="00000000" w:rsidRPr="006C6CCE" w:rsidP="006C6CCE">
      <w:pPr>
        <w:pStyle w:val="BodyText"/>
      </w:pPr>
      <w:r w:rsidRPr="006C6CCE">
        <w:t xml:space="preserve">  social/spiritual issues</w:t>
      </w:r>
    </w:p>
    <w:p w:rsidR="00000000" w:rsidRPr="006C6CCE" w:rsidP="006C6CCE">
      <w:pPr>
        <w:pStyle w:val="BodyText"/>
      </w:pPr>
      <w:r w:rsidRPr="006C6CCE">
        <w:rPr>
          <w:rStyle w:val="SpecialBold"/>
        </w:rPr>
        <w:t>Formats for records may be</w:t>
      </w:r>
      <w:r w:rsidRPr="006C6CCE">
        <w:t>:</w:t>
      </w:r>
    </w:p>
    <w:p w:rsidR="00000000" w:rsidRPr="006C6CCE" w:rsidP="006C6CCE">
      <w:pPr>
        <w:pStyle w:val="BodyText"/>
      </w:pPr>
      <w:r w:rsidRPr="006C6CCE">
        <w:t xml:space="preserve">  documentary</w:t>
      </w:r>
    </w:p>
    <w:p w:rsidR="00000000" w:rsidRPr="006C6CCE" w:rsidP="006C6CCE">
      <w:pPr>
        <w:pStyle w:val="BodyText"/>
      </w:pPr>
      <w:r w:rsidRPr="006C6CCE">
        <w:t xml:space="preserve">  photographic</w:t>
      </w:r>
    </w:p>
    <w:p w:rsidR="00000000" w:rsidRPr="006C6CCE" w:rsidP="006C6CCE">
      <w:pPr>
        <w:pStyle w:val="BodyText"/>
      </w:pPr>
      <w:r w:rsidRPr="006C6CCE">
        <w:t xml:space="preserve">  film and video</w:t>
      </w:r>
    </w:p>
    <w:p w:rsidR="00000000" w:rsidRPr="006C6CCE" w:rsidP="006C6CCE">
      <w:pPr>
        <w:pStyle w:val="BodyText"/>
      </w:pPr>
      <w:r w:rsidRPr="006C6CCE">
        <w:t xml:space="preserve">  sound recordings</w:t>
      </w:r>
    </w:p>
    <w:p w:rsidR="00000000" w:rsidRPr="006C6CCE" w:rsidP="006C6CCE">
      <w:pPr>
        <w:pStyle w:val="BodyText"/>
      </w:pPr>
      <w:r w:rsidRPr="006C6CCE">
        <w:t xml:space="preserve">  computer based</w:t>
      </w:r>
    </w:p>
    <w:p w:rsidR="00000000" w:rsidRPr="006C6CCE" w:rsidP="006C6CCE">
      <w:pPr>
        <w:pStyle w:val="BodyText"/>
      </w:pPr>
      <w:r w:rsidRPr="006C6CCE">
        <w:t>The Range Statement relates to the Unit of Com</w:t>
      </w:r>
      <w:r w:rsidRPr="006C6CCE">
        <w:t>petency as a whole.  It allows for different work environments and situations that will affect performance.</w:t>
      </w:r>
    </w:p>
    <w:p w:rsidR="00000000" w:rsidRPr="006C6CCE" w:rsidP="006C6CCE">
      <w:pPr>
        <w:pStyle w:val="BodyText"/>
      </w:pPr>
      <w:r w:rsidRPr="006C6CCE">
        <w:t>The following variables may be present with training and assessment depending on the work situation, needs of the trainee, accessibility of the item</w:t>
      </w:r>
      <w:r w:rsidRPr="006C6CCE">
        <w:t>, and local industry and regional contexts.  If bold italicised text is shown in Performance Criteria, details of the text are provided in the Range Statement.</w:t>
      </w:r>
    </w:p>
    <w:p w:rsidR="00000000" w:rsidRPr="006C6CCE" w:rsidP="006C6CCE">
      <w:pPr>
        <w:pStyle w:val="BodyText"/>
      </w:pPr>
      <w:r w:rsidRPr="006C6CCE">
        <w:rPr>
          <w:rStyle w:val="SpecialBold"/>
        </w:rPr>
        <w:t>A museum collection is defined very broadly and may relate to</w:t>
      </w:r>
      <w:r w:rsidRPr="006C6CCE">
        <w:t xml:space="preserve">: </w:t>
      </w:r>
    </w:p>
    <w:p w:rsidR="00000000" w:rsidRPr="006C6CCE" w:rsidP="006C6CCE">
      <w:pPr>
        <w:pStyle w:val="BodyText"/>
      </w:pPr>
      <w:r w:rsidRPr="006C6CCE">
        <w:t xml:space="preserve">  cultural heritage</w:t>
      </w:r>
    </w:p>
    <w:p w:rsidR="00000000" w:rsidRPr="006C6CCE" w:rsidP="006C6CCE">
      <w:pPr>
        <w:pStyle w:val="BodyText"/>
      </w:pPr>
      <w:r w:rsidRPr="006C6CCE">
        <w:t xml:space="preserve">  history</w:t>
      </w:r>
    </w:p>
    <w:p w:rsidR="00000000" w:rsidRPr="006C6CCE" w:rsidP="006C6CCE">
      <w:pPr>
        <w:pStyle w:val="BodyText"/>
      </w:pPr>
      <w:r w:rsidRPr="006C6CCE">
        <w:t xml:space="preserve">  </w:t>
      </w:r>
      <w:r w:rsidRPr="006C6CCE">
        <w:t>art</w:t>
      </w:r>
    </w:p>
    <w:p w:rsidR="00000000" w:rsidRPr="006C6CCE" w:rsidP="006C6CCE">
      <w:pPr>
        <w:pStyle w:val="BodyText"/>
      </w:pPr>
      <w:r w:rsidRPr="006C6CCE">
        <w:t xml:space="preserve">  science</w:t>
      </w:r>
    </w:p>
    <w:p w:rsidR="00000000" w:rsidRPr="006C6CCE" w:rsidP="006C6CCE">
      <w:pPr>
        <w:pStyle w:val="BodyText"/>
      </w:pPr>
      <w:r w:rsidRPr="006C6CCE">
        <w:t xml:space="preserve">  plants and animals</w:t>
      </w:r>
    </w:p>
    <w:p w:rsidR="00000000" w:rsidRPr="006C6CCE" w:rsidP="006C6CCE">
      <w:pPr>
        <w:pStyle w:val="BodyText"/>
      </w:pPr>
      <w:r w:rsidRPr="006C6CCE">
        <w:t xml:space="preserve">  other aspects of the natural environment</w:t>
      </w:r>
    </w:p>
    <w:p w:rsidR="00000000" w:rsidRPr="006C6CCE" w:rsidP="006C6CCE">
      <w:pPr>
        <w:pStyle w:val="BodyText"/>
      </w:pPr>
      <w:r w:rsidRPr="006C6CCE">
        <w:t xml:space="preserve">  materials with a cultural/spiritual significance</w:t>
      </w:r>
    </w:p>
    <w:p w:rsidR="00000000" w:rsidRPr="006C6CCE" w:rsidP="006C6CCE">
      <w:pPr>
        <w:pStyle w:val="BodyText"/>
      </w:pPr>
      <w:r w:rsidRPr="006C6CCE">
        <w:t xml:space="preserve">  living styles</w:t>
      </w:r>
    </w:p>
    <w:p w:rsidR="00000000" w:rsidRPr="006C6CCE" w:rsidP="006C6CCE">
      <w:pPr>
        <w:pStyle w:val="BodyText"/>
      </w:pPr>
      <w:r w:rsidRPr="006C6CCE">
        <w:t xml:space="preserve">  ceremony, e.g. dance, music</w:t>
      </w:r>
    </w:p>
    <w:p w:rsidR="00000000" w:rsidRPr="006C6CCE" w:rsidP="006C6CCE">
      <w:pPr>
        <w:pStyle w:val="BodyText"/>
      </w:pPr>
      <w:r w:rsidRPr="006C6CCE">
        <w:t xml:space="preserve">  any other heritage resource</w:t>
      </w:r>
    </w:p>
    <w:p w:rsidR="00000000" w:rsidRPr="006C6CCE" w:rsidP="006C6CCE">
      <w:pPr>
        <w:pStyle w:val="BodyText"/>
      </w:pPr>
      <w:r w:rsidRPr="006C6CCE">
        <w:rPr>
          <w:rStyle w:val="SpecialBold"/>
        </w:rPr>
        <w:t>Collection information may be required for</w:t>
      </w:r>
      <w:r w:rsidRPr="006C6CCE">
        <w:t>:</w:t>
      </w:r>
    </w:p>
    <w:p w:rsidR="00000000" w:rsidRPr="006C6CCE" w:rsidP="006C6CCE">
      <w:pPr>
        <w:pStyle w:val="BodyText"/>
      </w:pPr>
      <w:r w:rsidRPr="006C6CCE">
        <w:t xml:space="preserve">  numbering, location and movement control</w:t>
      </w:r>
    </w:p>
    <w:p w:rsidR="00000000" w:rsidRPr="006C6CCE" w:rsidP="006C6CCE">
      <w:pPr>
        <w:pStyle w:val="BodyText"/>
      </w:pPr>
      <w:r w:rsidRPr="006C6CCE">
        <w:t xml:space="preserve">  indexing and retrieval</w:t>
      </w:r>
    </w:p>
    <w:p w:rsidR="00000000" w:rsidRPr="006C6CCE" w:rsidP="006C6CCE">
      <w:pPr>
        <w:pStyle w:val="BodyText"/>
      </w:pPr>
      <w:r w:rsidRPr="006C6CCE">
        <w:t xml:space="preserve">  acquisition and disposal</w:t>
      </w:r>
    </w:p>
    <w:p w:rsidR="00000000" w:rsidRPr="006C6CCE" w:rsidP="006C6CCE">
      <w:pPr>
        <w:pStyle w:val="BodyText"/>
      </w:pPr>
      <w:r w:rsidRPr="006C6CCE">
        <w:t xml:space="preserve">  loans</w:t>
      </w:r>
    </w:p>
    <w:p w:rsidR="00000000" w:rsidRPr="006C6CCE" w:rsidP="006C6CCE">
      <w:pPr>
        <w:pStyle w:val="BodyText"/>
      </w:pPr>
      <w:r w:rsidRPr="006C6CCE">
        <w:t xml:space="preserve">  cataloguing</w:t>
      </w:r>
    </w:p>
    <w:p w:rsidR="00000000" w:rsidRPr="006C6CCE" w:rsidP="006C6CCE">
      <w:pPr>
        <w:pStyle w:val="BodyText"/>
      </w:pPr>
      <w:r w:rsidRPr="006C6CCE">
        <w:t xml:space="preserve">  research </w:t>
      </w:r>
    </w:p>
    <w:p w:rsidR="00000000" w:rsidRPr="006C6CCE" w:rsidP="006C6CCE">
      <w:pPr>
        <w:pStyle w:val="BodyText"/>
      </w:pPr>
      <w:r w:rsidRPr="006C6CCE">
        <w:t xml:space="preserve">  exhibitions</w:t>
      </w:r>
    </w:p>
    <w:p w:rsidR="00000000" w:rsidRPr="006C6CCE" w:rsidP="006C6CCE">
      <w:pPr>
        <w:pStyle w:val="BodyText"/>
      </w:pPr>
      <w:r w:rsidRPr="006C6CCE">
        <w:t xml:space="preserve">  reproduction conditions</w:t>
      </w:r>
    </w:p>
    <w:p w:rsidR="00000000" w:rsidRPr="006C6CCE" w:rsidP="006C6CCE">
      <w:pPr>
        <w:pStyle w:val="BodyText"/>
      </w:pPr>
      <w:r w:rsidRPr="006C6CCE">
        <w:t xml:space="preserve">  copyright issues</w:t>
      </w:r>
    </w:p>
    <w:p w:rsidR="00000000" w:rsidRPr="006C6CCE" w:rsidP="006C6CCE">
      <w:pPr>
        <w:pStyle w:val="BodyText"/>
      </w:pPr>
      <w:r w:rsidRPr="006C6CCE">
        <w:t xml:space="preserve">  conservation specifications</w:t>
      </w:r>
    </w:p>
    <w:p w:rsidR="00000000" w:rsidRPr="006C6CCE" w:rsidP="006C6CCE">
      <w:pPr>
        <w:pStyle w:val="BodyText"/>
      </w:pPr>
      <w:r w:rsidRPr="006C6CCE">
        <w:t xml:space="preserve">  assessing significance</w:t>
      </w:r>
    </w:p>
    <w:p w:rsidR="00000000" w:rsidRPr="006C6CCE" w:rsidP="006C6CCE">
      <w:pPr>
        <w:pStyle w:val="BodyText"/>
      </w:pPr>
      <w:r w:rsidRPr="006C6CCE">
        <w:t xml:space="preserve">  condition m</w:t>
      </w:r>
      <w:r w:rsidRPr="006C6CCE">
        <w:t>onitoring</w:t>
      </w:r>
    </w:p>
    <w:p w:rsidR="00000000" w:rsidRPr="006C6CCE" w:rsidP="006C6CCE">
      <w:pPr>
        <w:pStyle w:val="BodyText"/>
      </w:pPr>
      <w:r w:rsidRPr="006C6CCE">
        <w:rPr>
          <w:rStyle w:val="SpecialBold"/>
        </w:rPr>
        <w:t>Sourcing of information may include use of</w:t>
      </w:r>
      <w:r w:rsidRPr="006C6CCE">
        <w:t>:</w:t>
      </w:r>
    </w:p>
    <w:p w:rsidR="00000000" w:rsidRPr="006C6CCE" w:rsidP="006C6CCE">
      <w:pPr>
        <w:pStyle w:val="BodyText"/>
      </w:pPr>
      <w:r w:rsidRPr="006C6CCE">
        <w:t xml:space="preserve">  texts and references</w:t>
      </w:r>
    </w:p>
    <w:p w:rsidR="00000000" w:rsidRPr="006C6CCE" w:rsidP="006C6CCE">
      <w:pPr>
        <w:pStyle w:val="BodyText"/>
      </w:pPr>
      <w:r w:rsidRPr="006C6CCE">
        <w:t xml:space="preserve">  print or electronic media</w:t>
      </w:r>
    </w:p>
    <w:p w:rsidR="00000000" w:rsidRPr="006C6CCE" w:rsidP="006C6CCE">
      <w:pPr>
        <w:pStyle w:val="BodyText"/>
      </w:pPr>
      <w:r w:rsidRPr="006C6CCE">
        <w:t xml:space="preserve">  Internet</w:t>
      </w:r>
    </w:p>
    <w:p w:rsidR="00000000" w:rsidRPr="006C6CCE" w:rsidP="006C6CCE">
      <w:pPr>
        <w:pStyle w:val="BodyText"/>
      </w:pPr>
      <w:r w:rsidRPr="006C6CCE">
        <w:t xml:space="preserve">  libraries</w:t>
      </w:r>
    </w:p>
    <w:p w:rsidR="00000000" w:rsidRPr="006C6CCE" w:rsidP="006C6CCE">
      <w:pPr>
        <w:pStyle w:val="BodyText"/>
      </w:pPr>
      <w:r w:rsidRPr="006C6CCE">
        <w:t xml:space="preserve">  local community members</w:t>
      </w:r>
    </w:p>
    <w:p w:rsidR="00000000" w:rsidRPr="006C6CCE" w:rsidP="006C6CCE">
      <w:pPr>
        <w:pStyle w:val="BodyText"/>
      </w:pPr>
      <w:r w:rsidRPr="006C6CCE">
        <w:t xml:space="preserve">  internal sources</w:t>
      </w:r>
    </w:p>
    <w:p w:rsidR="00000000" w:rsidRPr="006C6CCE" w:rsidP="006C6CCE">
      <w:pPr>
        <w:pStyle w:val="BodyText"/>
      </w:pPr>
      <w:r w:rsidRPr="006C6CCE">
        <w:t xml:space="preserve">  subject matter experts</w:t>
      </w:r>
    </w:p>
    <w:p w:rsidR="00000000" w:rsidRPr="006C6CCE" w:rsidP="006C6CCE">
      <w:pPr>
        <w:pStyle w:val="BodyText"/>
      </w:pPr>
      <w:r w:rsidRPr="006C6CCE">
        <w:rPr>
          <w:rStyle w:val="SpecialBold"/>
        </w:rPr>
        <w:t>Fields of information may include</w:t>
      </w:r>
      <w:r w:rsidRPr="006C6CCE">
        <w:t>:</w:t>
      </w:r>
    </w:p>
    <w:p w:rsidR="00000000" w:rsidRPr="006C6CCE" w:rsidP="006C6CCE">
      <w:pPr>
        <w:pStyle w:val="BodyText"/>
      </w:pPr>
      <w:r w:rsidRPr="006C6CCE">
        <w:t xml:space="preserve">  physical description</w:t>
      </w:r>
    </w:p>
    <w:p w:rsidR="00000000" w:rsidRPr="006C6CCE" w:rsidP="006C6CCE">
      <w:pPr>
        <w:pStyle w:val="BodyText"/>
      </w:pPr>
      <w:r w:rsidRPr="006C6CCE">
        <w:t xml:space="preserve">  condition</w:t>
      </w:r>
    </w:p>
    <w:p w:rsidR="00000000" w:rsidRPr="006C6CCE" w:rsidP="006C6CCE">
      <w:pPr>
        <w:pStyle w:val="BodyText"/>
      </w:pPr>
      <w:r w:rsidRPr="006C6CCE">
        <w:t xml:space="preserve">  history and provenances</w:t>
      </w:r>
    </w:p>
    <w:p w:rsidR="00000000" w:rsidRPr="006C6CCE" w:rsidP="006C6CCE">
      <w:pPr>
        <w:pStyle w:val="BodyText"/>
      </w:pPr>
      <w:r w:rsidRPr="006C6CCE">
        <w:t xml:space="preserve">  significance (cultural, technical, scientific, historical or social)</w:t>
      </w:r>
    </w:p>
    <w:p w:rsidR="00000000" w:rsidRPr="006C6CCE" w:rsidP="006C6CCE">
      <w:pPr>
        <w:pStyle w:val="BodyText"/>
      </w:pPr>
      <w:r w:rsidRPr="006C6CCE">
        <w:t xml:space="preserve">  source details (original location, donor, dealer, artist, maker, collector)</w:t>
      </w:r>
    </w:p>
    <w:p w:rsidR="00000000" w:rsidRPr="006C6CCE" w:rsidP="006C6CCE">
      <w:pPr>
        <w:pStyle w:val="BodyText"/>
      </w:pPr>
      <w:r w:rsidRPr="006C6CCE">
        <w:t xml:space="preserve">  loan information</w:t>
      </w:r>
    </w:p>
    <w:p w:rsidR="00000000" w:rsidRPr="006C6CCE" w:rsidP="006C6CCE">
      <w:pPr>
        <w:pStyle w:val="BodyText"/>
      </w:pPr>
      <w:r w:rsidRPr="006C6CCE">
        <w:t xml:space="preserve">  insurance details</w:t>
      </w:r>
    </w:p>
    <w:p w:rsidR="00000000" w:rsidRPr="006C6CCE" w:rsidP="006C6CCE">
      <w:pPr>
        <w:pStyle w:val="BodyText"/>
      </w:pPr>
      <w:r w:rsidRPr="006C6CCE">
        <w:t xml:space="preserve">  exhibition/display history</w:t>
      </w:r>
    </w:p>
    <w:p w:rsidR="00000000" w:rsidRPr="006C6CCE" w:rsidP="006C6CCE">
      <w:pPr>
        <w:pStyle w:val="BodyText"/>
      </w:pPr>
      <w:r w:rsidRPr="006C6CCE">
        <w:t xml:space="preserve">  conservation requirements</w:t>
      </w:r>
    </w:p>
    <w:p w:rsidR="00000000" w:rsidRPr="006C6CCE" w:rsidP="006C6CCE">
      <w:pPr>
        <w:pStyle w:val="BodyText"/>
      </w:pPr>
      <w:r w:rsidRPr="006C6CCE">
        <w:t xml:space="preserve">  reproduction history</w:t>
      </w:r>
    </w:p>
    <w:p w:rsidR="00000000" w:rsidRPr="006C6CCE" w:rsidP="006C6CCE">
      <w:pPr>
        <w:pStyle w:val="BodyText"/>
      </w:pPr>
      <w:r w:rsidRPr="006C6CCE">
        <w:t xml:space="preserve">  storage location</w:t>
      </w:r>
    </w:p>
    <w:p w:rsidR="00000000" w:rsidRPr="006C6CCE" w:rsidP="006C6CCE">
      <w:pPr>
        <w:pStyle w:val="BodyText"/>
      </w:pPr>
      <w:r w:rsidRPr="006C6CCE">
        <w:t xml:space="preserve">  references relevant to the material</w:t>
      </w:r>
    </w:p>
    <w:p w:rsidR="00000000" w:rsidRPr="006C6CCE" w:rsidP="006C6CCE">
      <w:pPr>
        <w:pStyle w:val="BodyText"/>
      </w:pPr>
      <w:r w:rsidRPr="006C6CCE">
        <w:t xml:space="preserve">  copyright holder</w:t>
      </w:r>
    </w:p>
    <w:p w:rsidR="00000000" w:rsidRPr="006C6CCE" w:rsidP="006C6CCE">
      <w:pPr>
        <w:pStyle w:val="BodyText"/>
      </w:pPr>
      <w:r w:rsidRPr="006C6CCE">
        <w:t xml:space="preserve">  unique number</w:t>
      </w:r>
    </w:p>
    <w:p w:rsidR="00000000" w:rsidRPr="006C6CCE" w:rsidP="006C6CCE">
      <w:pPr>
        <w:pStyle w:val="BodyText"/>
      </w:pPr>
      <w:r w:rsidRPr="006C6CCE">
        <w:rPr>
          <w:rStyle w:val="SpecialBold"/>
        </w:rPr>
        <w:t>Legal constraints and cultural protocols may relate to</w:t>
      </w:r>
      <w:r w:rsidRPr="006C6CCE">
        <w:t>:</w:t>
      </w:r>
    </w:p>
    <w:p w:rsidR="00000000" w:rsidRPr="006C6CCE" w:rsidP="006C6CCE">
      <w:pPr>
        <w:pStyle w:val="BodyText"/>
      </w:pPr>
      <w:r w:rsidRPr="006C6CCE">
        <w:t xml:space="preserve">  copyright</w:t>
      </w:r>
    </w:p>
    <w:p w:rsidR="00000000" w:rsidRPr="006C6CCE" w:rsidP="006C6CCE">
      <w:pPr>
        <w:pStyle w:val="BodyText"/>
      </w:pPr>
      <w:r w:rsidRPr="006C6CCE">
        <w:t xml:space="preserve">  moral rights</w:t>
      </w:r>
    </w:p>
    <w:p w:rsidR="00000000" w:rsidRPr="006C6CCE" w:rsidP="006C6CCE">
      <w:pPr>
        <w:pStyle w:val="BodyText"/>
      </w:pPr>
      <w:r w:rsidRPr="006C6CCE">
        <w:t xml:space="preserve">  intellectual property</w:t>
      </w:r>
    </w:p>
    <w:p w:rsidR="00000000" w:rsidRPr="006C6CCE" w:rsidP="006C6CCE">
      <w:pPr>
        <w:pStyle w:val="BodyText"/>
      </w:pPr>
      <w:r w:rsidRPr="006C6CCE">
        <w:t xml:space="preserve">  item</w:t>
      </w:r>
      <w:r w:rsidRPr="006C6CCE">
        <w:t>-specific cultural protocols</w:t>
      </w:r>
    </w:p>
    <w:p w:rsidR="00000000" w:rsidRPr="006C6CCE" w:rsidP="006C6CCE">
      <w:pPr>
        <w:pStyle w:val="BodyText"/>
      </w:pPr>
      <w:r w:rsidRPr="006C6CCE">
        <w:t xml:space="preserve">  social/spiritual issues</w:t>
      </w:r>
    </w:p>
    <w:p w:rsidR="00000000" w:rsidRPr="006C6CCE" w:rsidP="006C6CCE">
      <w:pPr>
        <w:pStyle w:val="BodyText"/>
      </w:pPr>
      <w:r w:rsidRPr="006C6CCE">
        <w:rPr>
          <w:rStyle w:val="SpecialBold"/>
        </w:rPr>
        <w:t>Formats for records may be</w:t>
      </w:r>
      <w:r w:rsidRPr="006C6CCE">
        <w:t>:</w:t>
      </w:r>
    </w:p>
    <w:p w:rsidR="00000000" w:rsidRPr="006C6CCE" w:rsidP="006C6CCE">
      <w:pPr>
        <w:pStyle w:val="BodyText"/>
      </w:pPr>
      <w:r w:rsidRPr="006C6CCE">
        <w:t xml:space="preserve">  documentary</w:t>
      </w:r>
    </w:p>
    <w:p w:rsidR="00000000" w:rsidRPr="006C6CCE" w:rsidP="006C6CCE">
      <w:pPr>
        <w:pStyle w:val="BodyText"/>
      </w:pPr>
      <w:r w:rsidRPr="006C6CCE">
        <w:t xml:space="preserve">  photographic</w:t>
      </w:r>
    </w:p>
    <w:p w:rsidR="00000000" w:rsidRPr="006C6CCE" w:rsidP="006C6CCE">
      <w:pPr>
        <w:pStyle w:val="BodyText"/>
      </w:pPr>
      <w:r w:rsidRPr="006C6CCE">
        <w:t xml:space="preserve">  film and video</w:t>
      </w:r>
    </w:p>
    <w:p w:rsidR="00000000" w:rsidRPr="006C6CCE" w:rsidP="006C6CCE">
      <w:pPr>
        <w:pStyle w:val="BodyText"/>
      </w:pPr>
      <w:r w:rsidRPr="006C6CCE">
        <w:t xml:space="preserve">  sound recordings</w:t>
      </w:r>
    </w:p>
    <w:p w:rsidR="00000000" w:rsidRPr="006C6CCE" w:rsidP="006C6CCE">
      <w:pPr>
        <w:pStyle w:val="BodyText"/>
      </w:pPr>
      <w:r w:rsidRPr="006C6CCE">
        <w:t xml:space="preserve">  computer based</w:t>
      </w:r>
    </w:p>
    <w:p w:rsidR="00000000" w:rsidRPr="006C6CCE" w:rsidP="006C6CCE">
      <w:pPr>
        <w:pStyle w:val="AllowPageBreak"/>
      </w:pPr>
    </w:p>
    <w:p w:rsidR="00000000" w:rsidRPr="006C6CCE" w:rsidP="006C6CCE">
      <w:pPr>
        <w:pStyle w:val="Heading1"/>
      </w:pPr>
      <w:bookmarkStart w:id="12" w:name="O_324634"/>
      <w:bookmarkEnd w:id="12"/>
      <w:r w:rsidRPr="006C6CCE">
        <w:t>Unit Sector(s)</w:t>
      </w:r>
    </w:p>
    <w:p w:rsidR="00000000" w:rsidRPr="006C6CCE" w:rsidP="006C6CCE">
      <w:pPr>
        <w:pStyle w:val="BodyText"/>
      </w:pPr>
      <w:r w:rsidRPr="006C6CCE">
        <w:t>Not applicable.</w:t>
      </w:r>
    </w:p>
    <w:p w:rsidR="00000000" w:rsidRPr="006C6CCE" w:rsidP="006C6CCE"/>
    <w:sectPr w:rsidSect="006C6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9DB" w:rsidP="001E7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DB" w:rsidP="006C6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79DB" w:rsidP="006C6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9DB" w:rsidP="006C6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9DB" w:rsidP="001E79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DB" w:rsidP="006C6CCE">
    <w:pPr>
      <w:pStyle w:val="Header"/>
      <w:framePr w:wrap="around"/>
    </w:pPr>
    <w:r>
      <w:fldChar w:fldCharType="begin"/>
    </w:r>
    <w:r>
      <w:instrText xml:space="preserve"> TITLE   \* MERGEFORMAT </w:instrText>
    </w:r>
    <w:r>
      <w:fldChar w:fldCharType="separate"/>
    </w:r>
    <w:r>
      <w:t>CULMS412B Record and maintain collection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9DB" w:rsidP="006C6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CCE"/>
    <w:pPr>
      <w:spacing w:before="360" w:after="60"/>
      <w:outlineLvl w:val="0"/>
    </w:pPr>
    <w:rPr>
      <w:sz w:val="32"/>
    </w:rPr>
  </w:style>
  <w:style w:type="paragraph" w:styleId="Heading2">
    <w:name w:val="heading 2"/>
    <w:basedOn w:val="HeadingBase"/>
    <w:next w:val="BodyText"/>
    <w:link w:val="Heading2Char"/>
    <w:qFormat/>
    <w:rsid w:val="006C6CCE"/>
    <w:pPr>
      <w:keepLines/>
      <w:spacing w:before="240" w:after="120"/>
      <w:outlineLvl w:val="1"/>
    </w:pPr>
    <w:rPr>
      <w:sz w:val="28"/>
      <w:szCs w:val="40"/>
    </w:rPr>
  </w:style>
  <w:style w:type="paragraph" w:styleId="Heading3">
    <w:name w:val="heading 3"/>
    <w:basedOn w:val="HeadingBase"/>
    <w:next w:val="BodyText"/>
    <w:link w:val="Heading3Char"/>
    <w:qFormat/>
    <w:rsid w:val="006C6CCE"/>
    <w:pPr>
      <w:spacing w:before="180" w:after="120"/>
      <w:outlineLvl w:val="2"/>
    </w:pPr>
    <w:rPr>
      <w:spacing w:val="-10"/>
      <w:kern w:val="32"/>
    </w:rPr>
  </w:style>
  <w:style w:type="paragraph" w:styleId="Heading4">
    <w:name w:val="heading 4"/>
    <w:basedOn w:val="HeadingBase"/>
    <w:next w:val="BodyText"/>
    <w:link w:val="Heading4Char"/>
    <w:qFormat/>
    <w:rsid w:val="006C6CCE"/>
    <w:pPr>
      <w:spacing w:before="160" w:after="120"/>
      <w:outlineLvl w:val="3"/>
    </w:pPr>
    <w:rPr>
      <w:sz w:val="22"/>
    </w:rPr>
  </w:style>
  <w:style w:type="paragraph" w:styleId="Heading5">
    <w:name w:val="heading 5"/>
    <w:basedOn w:val="HeadingBase"/>
    <w:next w:val="Normal"/>
    <w:link w:val="Heading5Char"/>
    <w:qFormat/>
    <w:rsid w:val="006C6CCE"/>
    <w:pPr>
      <w:spacing w:before="80"/>
      <w:outlineLvl w:val="4"/>
    </w:pPr>
    <w:rPr>
      <w:color w:val="918585"/>
      <w:sz w:val="20"/>
    </w:rPr>
  </w:style>
  <w:style w:type="paragraph" w:styleId="Heading6">
    <w:name w:val="heading 6"/>
    <w:basedOn w:val="HeadingBase"/>
    <w:next w:val="Normal"/>
    <w:link w:val="Heading6Char"/>
    <w:qFormat/>
    <w:rsid w:val="006C6CCE"/>
    <w:pPr>
      <w:spacing w:before="60"/>
      <w:outlineLvl w:val="5"/>
    </w:pPr>
    <w:rPr>
      <w:color w:val="918585"/>
      <w:sz w:val="20"/>
    </w:rPr>
  </w:style>
  <w:style w:type="paragraph" w:styleId="Heading7">
    <w:name w:val="heading 7"/>
    <w:basedOn w:val="Normal"/>
    <w:next w:val="Normal"/>
    <w:link w:val="Heading7Char"/>
    <w:qFormat/>
    <w:rsid w:val="006C6CCE"/>
    <w:pPr>
      <w:ind w:left="720"/>
      <w:outlineLvl w:val="6"/>
    </w:pPr>
    <w:rPr>
      <w:i/>
    </w:rPr>
  </w:style>
  <w:style w:type="paragraph" w:styleId="Heading8">
    <w:name w:val="heading 8"/>
    <w:basedOn w:val="Normal"/>
    <w:next w:val="Normal"/>
    <w:link w:val="Heading8Char"/>
    <w:qFormat/>
    <w:rsid w:val="006C6CCE"/>
    <w:pPr>
      <w:ind w:left="720"/>
      <w:outlineLvl w:val="7"/>
    </w:pPr>
    <w:rPr>
      <w:i/>
    </w:rPr>
  </w:style>
  <w:style w:type="paragraph" w:styleId="Heading9">
    <w:name w:val="heading 9"/>
    <w:basedOn w:val="Normal"/>
    <w:next w:val="Normal"/>
    <w:link w:val="Heading9Char"/>
    <w:qFormat/>
    <w:rsid w:val="006C6CCE"/>
    <w:pPr>
      <w:ind w:left="720"/>
      <w:outlineLvl w:val="8"/>
    </w:pPr>
    <w:rPr>
      <w:i/>
    </w:rPr>
  </w:style>
  <w:style w:type="character" w:default="1" w:styleId="DefaultParagraphFont">
    <w:name w:val="Default Paragraph Font"/>
    <w:uiPriority w:val="1"/>
    <w:unhideWhenUsed/>
    <w:rsid w:val="006C6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CCE"/>
  </w:style>
  <w:style w:type="character" w:customStyle="1" w:styleId="Heading1Char">
    <w:name w:val="Heading 1 Char"/>
    <w:link w:val="Heading1"/>
    <w:rsid w:val="006C6CCE"/>
    <w:rPr>
      <w:rFonts w:ascii="Times New Roman" w:eastAsia="Times New Roman" w:hAnsi="Times New Roman" w:cs="Times New Roman"/>
      <w:b/>
      <w:sz w:val="32"/>
      <w:szCs w:val="20"/>
      <w:lang w:eastAsia="en-US"/>
    </w:rPr>
  </w:style>
  <w:style w:type="paragraph" w:styleId="BodyText">
    <w:name w:val="Body Text"/>
    <w:basedOn w:val="Normal"/>
    <w:link w:val="BodyTextChar"/>
    <w:rsid w:val="006C6CCE"/>
    <w:pPr>
      <w:spacing w:before="120" w:after="120"/>
      <w:contextualSpacing/>
    </w:pPr>
    <w:rPr>
      <w:rFonts w:ascii="Times New Roman" w:hAnsi="Times New Roman"/>
      <w:sz w:val="24"/>
      <w:szCs w:val="22"/>
    </w:rPr>
  </w:style>
  <w:style w:type="character" w:customStyle="1" w:styleId="BodyTextChar">
    <w:name w:val="Body Text Char"/>
    <w:link w:val="BodyText"/>
    <w:rsid w:val="006C6CCE"/>
    <w:rPr>
      <w:rFonts w:ascii="Times New Roman" w:eastAsia="Times New Roman" w:hAnsi="Times New Roman" w:cs="Times New Roman"/>
      <w:sz w:val="24"/>
      <w:lang w:val="en-US" w:eastAsia="en-US"/>
    </w:rPr>
  </w:style>
  <w:style w:type="paragraph" w:styleId="Footer">
    <w:name w:val="footer"/>
    <w:basedOn w:val="Normal"/>
    <w:link w:val="FooterChar"/>
    <w:rsid w:val="006C6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6CCE"/>
    <w:rPr>
      <w:rFonts w:ascii="Times New Roman" w:eastAsia="Times New Roman" w:hAnsi="Times New Roman" w:cs="Times New Roman"/>
      <w:sz w:val="16"/>
      <w:lang w:val="en-US" w:eastAsia="en-US"/>
    </w:rPr>
  </w:style>
  <w:style w:type="character" w:customStyle="1" w:styleId="SpecialBold">
    <w:name w:val="Special Bold"/>
    <w:rsid w:val="006C6CCE"/>
    <w:rPr>
      <w:b/>
      <w:spacing w:val="0"/>
    </w:rPr>
  </w:style>
  <w:style w:type="paragraph" w:styleId="Header">
    <w:name w:val="header"/>
    <w:basedOn w:val="Normal"/>
    <w:link w:val="HeaderChar"/>
    <w:rsid w:val="006C6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6C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CCE"/>
    <w:pPr>
      <w:spacing w:before="240" w:after="120"/>
      <w:outlineLvl w:val="0"/>
    </w:pPr>
    <w:rPr>
      <w:rFonts w:ascii="Times New Roman" w:hAnsi="Times New Roman"/>
      <w:b/>
      <w:sz w:val="28"/>
    </w:rPr>
  </w:style>
  <w:style w:type="paragraph" w:customStyle="1" w:styleId="AllowPageBreak">
    <w:name w:val="AllowPageBreak"/>
    <w:rsid w:val="006C6C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C6CCE"/>
    <w:rPr>
      <w:rFonts w:ascii="Times New Roman" w:eastAsia="Times New Roman" w:hAnsi="Times New Roman" w:cs="Times New Roman"/>
      <w:b/>
      <w:sz w:val="28"/>
      <w:szCs w:val="40"/>
      <w:lang w:eastAsia="en-US"/>
    </w:rPr>
  </w:style>
  <w:style w:type="character" w:customStyle="1" w:styleId="Heading3Char">
    <w:name w:val="Heading 3 Char"/>
    <w:link w:val="Heading3"/>
    <w:rsid w:val="006C6C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6CCE"/>
    <w:rPr>
      <w:rFonts w:ascii="Times New Roman" w:eastAsia="Times New Roman" w:hAnsi="Times New Roman" w:cs="Times New Roman"/>
      <w:b/>
      <w:szCs w:val="20"/>
      <w:lang w:eastAsia="en-US"/>
    </w:rPr>
  </w:style>
  <w:style w:type="character" w:customStyle="1" w:styleId="Heading5Char">
    <w:name w:val="Heading 5 Char"/>
    <w:link w:val="Heading5"/>
    <w:rsid w:val="006C6C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6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CCE"/>
    <w:rPr>
      <w:rFonts w:ascii="Courier New" w:eastAsia="Times New Roman" w:hAnsi="Courier New" w:cs="Times New Roman"/>
      <w:i/>
      <w:szCs w:val="20"/>
      <w:lang w:val="en-US" w:eastAsia="en-US"/>
    </w:rPr>
  </w:style>
  <w:style w:type="paragraph" w:customStyle="1" w:styleId="HeadingBase">
    <w:name w:val="Heading Base"/>
    <w:rsid w:val="006C6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CCE"/>
    <w:pPr>
      <w:tabs>
        <w:tab w:val="right" w:leader="dot" w:pos="9072"/>
      </w:tabs>
      <w:ind w:left="567"/>
    </w:pPr>
    <w:rPr>
      <w:szCs w:val="22"/>
    </w:rPr>
  </w:style>
  <w:style w:type="paragraph" w:customStyle="1" w:styleId="TOCBase">
    <w:name w:val="TOC Base"/>
    <w:rsid w:val="006C6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CCE"/>
    <w:pPr>
      <w:tabs>
        <w:tab w:val="right" w:leader="dot" w:pos="9072"/>
      </w:tabs>
      <w:spacing w:before="40" w:after="40"/>
      <w:ind w:left="284"/>
    </w:pPr>
    <w:rPr>
      <w:rFonts w:ascii="Times New Roman" w:hAnsi="Times New Roman"/>
    </w:rPr>
  </w:style>
  <w:style w:type="paragraph" w:styleId="TOC1">
    <w:name w:val="toc 1"/>
    <w:basedOn w:val="TOCBase"/>
    <w:next w:val="Normal"/>
    <w:rsid w:val="006C6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CCE"/>
    <w:pPr>
      <w:spacing w:before="5040"/>
      <w:jc w:val="center"/>
    </w:pPr>
    <w:rPr>
      <w:sz w:val="48"/>
      <w:szCs w:val="72"/>
      <w:lang w:val="en-US"/>
    </w:rPr>
  </w:style>
  <w:style w:type="character" w:customStyle="1" w:styleId="TitleChar">
    <w:name w:val="Title Char"/>
    <w:link w:val="Title"/>
    <w:rsid w:val="006C6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CCE"/>
    <w:pPr>
      <w:tabs>
        <w:tab w:val="left" w:pos="3600"/>
        <w:tab w:val="left" w:pos="3958"/>
      </w:tabs>
    </w:pPr>
  </w:style>
  <w:style w:type="paragraph" w:styleId="List">
    <w:name w:val="List"/>
    <w:basedOn w:val="BodyText"/>
    <w:next w:val="BodyText"/>
    <w:rsid w:val="006C6CCE"/>
    <w:pPr>
      <w:tabs>
        <w:tab w:val="left" w:pos="340"/>
      </w:tabs>
      <w:spacing w:before="60" w:after="60"/>
      <w:ind w:left="340" w:hanging="340"/>
    </w:pPr>
  </w:style>
  <w:style w:type="paragraph" w:styleId="ListBullet">
    <w:name w:val="List Bullet"/>
    <w:basedOn w:val="List"/>
    <w:rsid w:val="006C6CCE"/>
    <w:pPr>
      <w:numPr>
        <w:numId w:val="11"/>
      </w:numPr>
      <w:tabs>
        <w:tab w:val="clear" w:pos="340"/>
      </w:tabs>
      <w:spacing w:before="40" w:after="40"/>
    </w:pPr>
  </w:style>
  <w:style w:type="paragraph" w:customStyle="1" w:styleId="Note">
    <w:name w:val="Note"/>
    <w:basedOn w:val="BodyText"/>
    <w:rsid w:val="006C6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CCE"/>
    <w:pPr>
      <w:framePr w:wrap="auto" w:hAnchor="text" w:y="6049"/>
    </w:pPr>
    <w:rPr>
      <w:color w:val="000000"/>
      <w:sz w:val="40"/>
    </w:rPr>
  </w:style>
  <w:style w:type="paragraph" w:customStyle="1" w:styleId="TOCTitle">
    <w:name w:val="TOCTitle"/>
    <w:basedOn w:val="Heading1"/>
    <w:rsid w:val="006C6CCE"/>
    <w:pPr>
      <w:spacing w:after="240"/>
      <w:jc w:val="center"/>
      <w:outlineLvl w:val="9"/>
    </w:pPr>
    <w:rPr>
      <w:caps/>
    </w:rPr>
  </w:style>
  <w:style w:type="paragraph" w:customStyle="1" w:styleId="Version">
    <w:name w:val="Version"/>
    <w:rsid w:val="006C6C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CCE"/>
    <w:pPr>
      <w:numPr>
        <w:numId w:val="12"/>
      </w:numPr>
      <w:tabs>
        <w:tab w:val="clear" w:pos="680"/>
      </w:tabs>
    </w:pPr>
  </w:style>
  <w:style w:type="paragraph" w:styleId="Index1">
    <w:name w:val="index 1"/>
    <w:basedOn w:val="Normal"/>
    <w:next w:val="Normal"/>
    <w:semiHidden/>
    <w:rsid w:val="006C6CCE"/>
    <w:pPr>
      <w:keepNext w:val="0"/>
      <w:tabs>
        <w:tab w:val="right" w:pos="4176"/>
      </w:tabs>
      <w:ind w:left="198" w:hanging="198"/>
    </w:pPr>
    <w:rPr>
      <w:rFonts w:ascii="Garamond" w:hAnsi="Garamond"/>
    </w:rPr>
  </w:style>
  <w:style w:type="paragraph" w:styleId="IndexHeading">
    <w:name w:val="index heading"/>
    <w:basedOn w:val="Normal"/>
    <w:next w:val="Index1"/>
    <w:semiHidden/>
    <w:rsid w:val="006C6CCE"/>
    <w:pPr>
      <w:spacing w:before="120" w:after="120"/>
    </w:pPr>
    <w:rPr>
      <w:rFonts w:ascii="Arial" w:hAnsi="Arial"/>
      <w:b/>
      <w:color w:val="918585"/>
      <w:sz w:val="24"/>
    </w:rPr>
  </w:style>
  <w:style w:type="paragraph" w:customStyle="1" w:styleId="Chapter">
    <w:name w:val="Chapter"/>
    <w:basedOn w:val="Normal"/>
    <w:rsid w:val="006C6CCE"/>
    <w:pPr>
      <w:spacing w:before="240"/>
    </w:pPr>
    <w:rPr>
      <w:rFonts w:ascii="Times New Roman" w:hAnsi="Times New Roman"/>
      <w:smallCaps/>
      <w:spacing w:val="80"/>
      <w:sz w:val="28"/>
    </w:rPr>
  </w:style>
  <w:style w:type="paragraph" w:customStyle="1" w:styleId="InChapter">
    <w:name w:val="InChapter"/>
    <w:basedOn w:val="Heading3"/>
    <w:rsid w:val="006C6CCE"/>
    <w:pPr>
      <w:spacing w:after="240"/>
      <w:outlineLvl w:val="9"/>
    </w:pPr>
    <w:rPr>
      <w:noProof/>
    </w:rPr>
  </w:style>
  <w:style w:type="paragraph" w:styleId="Index2">
    <w:name w:val="index 2"/>
    <w:basedOn w:val="Normal"/>
    <w:next w:val="Normal"/>
    <w:semiHidden/>
    <w:rsid w:val="006C6CCE"/>
    <w:pPr>
      <w:tabs>
        <w:tab w:val="right" w:pos="4176"/>
      </w:tabs>
      <w:ind w:left="568" w:hanging="284"/>
    </w:pPr>
    <w:rPr>
      <w:rFonts w:ascii="Garamond" w:hAnsi="Garamond"/>
    </w:rPr>
  </w:style>
  <w:style w:type="paragraph" w:customStyle="1" w:styleId="Byline">
    <w:name w:val="Byline"/>
    <w:rsid w:val="006C6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CCE"/>
    <w:pPr>
      <w:tabs>
        <w:tab w:val="clear" w:pos="3600"/>
        <w:tab w:val="clear" w:pos="3958"/>
      </w:tabs>
      <w:jc w:val="right"/>
    </w:pPr>
  </w:style>
  <w:style w:type="character" w:styleId="Emphasis">
    <w:name w:val="Emphasis"/>
    <w:qFormat/>
    <w:rsid w:val="006C6CCE"/>
    <w:rPr>
      <w:i/>
    </w:rPr>
  </w:style>
  <w:style w:type="paragraph" w:styleId="Caption">
    <w:name w:val="caption"/>
    <w:basedOn w:val="BodyText"/>
    <w:next w:val="Normal"/>
    <w:qFormat/>
    <w:rsid w:val="006C6CCE"/>
    <w:pPr>
      <w:framePr w:w="2268" w:hSpace="181" w:vSpace="181" w:wrap="around" w:vAnchor="text" w:hAnchor="page" w:x="1135" w:y="285" w:anchorLock="1"/>
    </w:pPr>
    <w:rPr>
      <w:i/>
    </w:rPr>
  </w:style>
  <w:style w:type="paragraph" w:customStyle="1" w:styleId="MiniTOCTitle">
    <w:name w:val="MiniTOCTitle"/>
    <w:basedOn w:val="Heading4"/>
    <w:rsid w:val="006C6CCE"/>
    <w:pPr>
      <w:spacing w:before="240"/>
      <w:outlineLvl w:val="9"/>
    </w:pPr>
    <w:rPr>
      <w:noProof/>
      <w:sz w:val="24"/>
    </w:rPr>
  </w:style>
  <w:style w:type="paragraph" w:customStyle="1" w:styleId="MiniTOCItem">
    <w:name w:val="MiniTOCItem"/>
    <w:basedOn w:val="ListBullet"/>
    <w:rsid w:val="006C6CCE"/>
    <w:pPr>
      <w:numPr>
        <w:numId w:val="0"/>
      </w:numPr>
      <w:tabs>
        <w:tab w:val="right" w:leader="dot" w:pos="6521"/>
      </w:tabs>
      <w:spacing w:before="0" w:after="0"/>
    </w:pPr>
  </w:style>
  <w:style w:type="paragraph" w:customStyle="1" w:styleId="TOFTitle">
    <w:name w:val="TOFTitle"/>
    <w:basedOn w:val="TOCTitle"/>
    <w:rsid w:val="006C6CCE"/>
  </w:style>
  <w:style w:type="paragraph" w:styleId="TableofFigures">
    <w:name w:val="table of figures"/>
    <w:basedOn w:val="Normal"/>
    <w:next w:val="Normal"/>
    <w:semiHidden/>
    <w:rsid w:val="006C6CCE"/>
    <w:pPr>
      <w:tabs>
        <w:tab w:val="right" w:leader="dot" w:pos="9072"/>
      </w:tabs>
      <w:ind w:left="970" w:hanging="403"/>
    </w:pPr>
    <w:rPr>
      <w:rFonts w:ascii="Times New Roman" w:hAnsi="Times New Roman"/>
      <w:b/>
    </w:rPr>
  </w:style>
  <w:style w:type="paragraph" w:styleId="ListNumber">
    <w:name w:val="List Number"/>
    <w:basedOn w:val="List"/>
    <w:rsid w:val="006C6CCE"/>
    <w:pPr>
      <w:numPr>
        <w:numId w:val="9"/>
      </w:numPr>
    </w:pPr>
  </w:style>
  <w:style w:type="character" w:customStyle="1" w:styleId="WingdingSymbols">
    <w:name w:val="Wingding Symbols"/>
    <w:rsid w:val="006C6CCE"/>
    <w:rPr>
      <w:rFonts w:ascii="Wingdings" w:hAnsi="Wingdings"/>
    </w:rPr>
  </w:style>
  <w:style w:type="paragraph" w:customStyle="1" w:styleId="TableHeading">
    <w:name w:val="Table Heading"/>
    <w:basedOn w:val="HeadingBase"/>
    <w:rsid w:val="006C6CCE"/>
    <w:pPr>
      <w:keepLines/>
      <w:pBdr>
        <w:bottom w:val="single" w:sz="6" w:space="1" w:color="918585"/>
      </w:pBdr>
      <w:spacing w:before="240"/>
    </w:pPr>
  </w:style>
  <w:style w:type="character" w:customStyle="1" w:styleId="HotSpot">
    <w:name w:val="HotSpot"/>
    <w:rsid w:val="006C6CCE"/>
    <w:rPr>
      <w:color w:val="0033CC"/>
      <w:u w:val="none"/>
    </w:rPr>
  </w:style>
  <w:style w:type="paragraph" w:customStyle="1" w:styleId="BodyTextRight">
    <w:name w:val="Body Text Right"/>
    <w:basedOn w:val="BodyText"/>
    <w:rsid w:val="006C6CCE"/>
    <w:pPr>
      <w:spacing w:before="0" w:after="0"/>
      <w:jc w:val="right"/>
    </w:pPr>
  </w:style>
  <w:style w:type="paragraph" w:styleId="Index3">
    <w:name w:val="index 3"/>
    <w:basedOn w:val="ListNumber2"/>
    <w:next w:val="Normal"/>
    <w:semiHidden/>
    <w:rsid w:val="006C6CCE"/>
    <w:pPr>
      <w:numPr>
        <w:numId w:val="0"/>
      </w:numPr>
      <w:tabs>
        <w:tab w:val="right" w:leader="dot" w:pos="4176"/>
      </w:tabs>
    </w:pPr>
  </w:style>
  <w:style w:type="paragraph" w:styleId="ListNumber2">
    <w:name w:val="List Number 2"/>
    <w:basedOn w:val="List2"/>
    <w:rsid w:val="006C6CCE"/>
    <w:pPr>
      <w:numPr>
        <w:numId w:val="8"/>
      </w:numPr>
      <w:tabs>
        <w:tab w:val="clear" w:pos="1060"/>
      </w:tabs>
    </w:pPr>
  </w:style>
  <w:style w:type="paragraph" w:customStyle="1" w:styleId="MarginNote">
    <w:name w:val="Margin Note"/>
    <w:basedOn w:val="BodyText"/>
    <w:rsid w:val="006C6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6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CCE"/>
    <w:rPr>
      <w:sz w:val="32"/>
    </w:rPr>
  </w:style>
  <w:style w:type="paragraph" w:customStyle="1" w:styleId="HeadingProcedure">
    <w:name w:val="Heading Procedure"/>
    <w:basedOn w:val="HeadingBase"/>
    <w:next w:val="Normal"/>
    <w:rsid w:val="006C6CCE"/>
    <w:pPr>
      <w:tabs>
        <w:tab w:val="left" w:pos="0"/>
      </w:tabs>
      <w:spacing w:before="120" w:after="60"/>
    </w:pPr>
    <w:rPr>
      <w:i/>
      <w:color w:val="918585"/>
      <w:sz w:val="22"/>
    </w:rPr>
  </w:style>
  <w:style w:type="paragraph" w:customStyle="1" w:styleId="TableBodyText">
    <w:name w:val="Table Body Text"/>
    <w:basedOn w:val="BodyText"/>
    <w:rsid w:val="006C6CCE"/>
    <w:pPr>
      <w:spacing w:before="60" w:after="60"/>
    </w:pPr>
  </w:style>
  <w:style w:type="paragraph" w:styleId="ListContinue">
    <w:name w:val="List Continue"/>
    <w:basedOn w:val="List"/>
    <w:rsid w:val="006C6CCE"/>
    <w:pPr>
      <w:ind w:firstLine="0"/>
    </w:pPr>
  </w:style>
  <w:style w:type="paragraph" w:customStyle="1" w:styleId="ListNote">
    <w:name w:val="List Note"/>
    <w:basedOn w:val="List"/>
    <w:rsid w:val="006C6CCE"/>
    <w:pPr>
      <w:pBdr>
        <w:top w:val="single" w:sz="6" w:space="2" w:color="918585"/>
        <w:bottom w:val="single" w:sz="6" w:space="2" w:color="918585"/>
      </w:pBdr>
      <w:tabs>
        <w:tab w:val="left" w:pos="1021"/>
      </w:tabs>
      <w:ind w:firstLine="0"/>
    </w:pPr>
  </w:style>
  <w:style w:type="paragraph" w:customStyle="1" w:styleId="Warning">
    <w:name w:val="Warning"/>
    <w:basedOn w:val="BodyText"/>
    <w:rsid w:val="006C6CCE"/>
    <w:pPr>
      <w:shd w:val="clear" w:color="auto" w:fill="D9D9D9"/>
      <w:tabs>
        <w:tab w:val="left" w:pos="992"/>
      </w:tabs>
      <w:ind w:left="119" w:right="119"/>
    </w:pPr>
    <w:rPr>
      <w:sz w:val="20"/>
    </w:rPr>
  </w:style>
  <w:style w:type="paragraph" w:customStyle="1" w:styleId="MarginIcons">
    <w:name w:val="Margin Icons"/>
    <w:basedOn w:val="BodyText"/>
    <w:rsid w:val="006C6C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6CCE"/>
    <w:rPr>
      <w:rFonts w:ascii="Courier New" w:hAnsi="Courier New"/>
    </w:rPr>
  </w:style>
  <w:style w:type="paragraph" w:customStyle="1" w:styleId="NoteBullet">
    <w:name w:val="Note Bullet"/>
    <w:basedOn w:val="Note"/>
    <w:rsid w:val="006C6CCE"/>
    <w:pPr>
      <w:tabs>
        <w:tab w:val="clear" w:pos="680"/>
      </w:tabs>
      <w:spacing w:before="60" w:after="60"/>
    </w:pPr>
  </w:style>
  <w:style w:type="paragraph" w:customStyle="1" w:styleId="SubHeading2">
    <w:name w:val="SubHeading2"/>
    <w:basedOn w:val="HeadingBase"/>
    <w:rsid w:val="006C6CCE"/>
    <w:pPr>
      <w:spacing w:before="240" w:after="60"/>
    </w:pPr>
    <w:rPr>
      <w:sz w:val="20"/>
    </w:rPr>
  </w:style>
  <w:style w:type="paragraph" w:customStyle="1" w:styleId="SubHeading1">
    <w:name w:val="SubHeading1"/>
    <w:basedOn w:val="HeadingBase"/>
    <w:rsid w:val="006C6CCE"/>
    <w:pPr>
      <w:spacing w:before="240" w:after="60"/>
    </w:pPr>
    <w:rPr>
      <w:color w:val="918585"/>
      <w:sz w:val="22"/>
    </w:rPr>
  </w:style>
  <w:style w:type="paragraph" w:customStyle="1" w:styleId="SideHeading">
    <w:name w:val="Side Heading"/>
    <w:basedOn w:val="HeadingBase"/>
    <w:rsid w:val="006C6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CCE"/>
    <w:pPr>
      <w:numPr>
        <w:numId w:val="10"/>
      </w:numPr>
    </w:pPr>
  </w:style>
  <w:style w:type="paragraph" w:styleId="PlainText">
    <w:name w:val="Plain Text"/>
    <w:basedOn w:val="Normal"/>
    <w:link w:val="PlainTextChar"/>
    <w:rsid w:val="006C6CCE"/>
    <w:rPr>
      <w:sz w:val="20"/>
    </w:rPr>
  </w:style>
  <w:style w:type="character" w:customStyle="1" w:styleId="PlainTextChar">
    <w:name w:val="Plain Text Char"/>
    <w:basedOn w:val="DefaultParagraphFont"/>
    <w:link w:val="PlainText"/>
    <w:rsid w:val="006C6CCE"/>
    <w:rPr>
      <w:rFonts w:ascii="Courier New" w:eastAsia="Times New Roman" w:hAnsi="Courier New" w:cs="Times New Roman"/>
      <w:sz w:val="20"/>
      <w:szCs w:val="20"/>
      <w:lang w:val="en-US" w:eastAsia="en-US"/>
    </w:rPr>
  </w:style>
  <w:style w:type="character" w:customStyle="1" w:styleId="MenuOption">
    <w:name w:val="Menu Option"/>
    <w:rsid w:val="006C6CCE"/>
    <w:rPr>
      <w:b/>
      <w:smallCaps/>
    </w:rPr>
  </w:style>
  <w:style w:type="paragraph" w:customStyle="1" w:styleId="TableListNumber">
    <w:name w:val="Table List Number"/>
    <w:basedOn w:val="ListNumber"/>
    <w:rsid w:val="006C6CCE"/>
    <w:pPr>
      <w:numPr>
        <w:numId w:val="0"/>
      </w:numPr>
    </w:pPr>
  </w:style>
  <w:style w:type="paragraph" w:styleId="TOC4">
    <w:name w:val="toc 4"/>
    <w:basedOn w:val="TOCBase"/>
    <w:next w:val="Normal"/>
    <w:semiHidden/>
    <w:rsid w:val="006C6CCE"/>
    <w:pPr>
      <w:tabs>
        <w:tab w:val="right" w:leader="dot" w:pos="9071"/>
      </w:tabs>
      <w:ind w:left="1701"/>
    </w:pPr>
  </w:style>
  <w:style w:type="paragraph" w:customStyle="1" w:styleId="ListAlpha">
    <w:name w:val="List Alpha"/>
    <w:basedOn w:val="List"/>
    <w:rsid w:val="006C6CCE"/>
    <w:pPr>
      <w:numPr>
        <w:numId w:val="7"/>
      </w:numPr>
    </w:pPr>
  </w:style>
  <w:style w:type="paragraph" w:customStyle="1" w:styleId="ListAlpha2">
    <w:name w:val="List Alpha 2"/>
    <w:basedOn w:val="List2"/>
    <w:rsid w:val="006C6CCE"/>
    <w:pPr>
      <w:numPr>
        <w:numId w:val="6"/>
      </w:numPr>
    </w:pPr>
  </w:style>
  <w:style w:type="paragraph" w:styleId="List2">
    <w:name w:val="List 2"/>
    <w:basedOn w:val="BodyText"/>
    <w:rsid w:val="006C6CCE"/>
    <w:pPr>
      <w:tabs>
        <w:tab w:val="left" w:pos="680"/>
      </w:tabs>
      <w:spacing w:before="60" w:after="60"/>
      <w:ind w:left="680" w:hanging="340"/>
    </w:pPr>
  </w:style>
  <w:style w:type="paragraph" w:styleId="List3">
    <w:name w:val="List 3"/>
    <w:basedOn w:val="BodyText"/>
    <w:rsid w:val="006C6CCE"/>
    <w:pPr>
      <w:tabs>
        <w:tab w:val="left" w:pos="1021"/>
      </w:tabs>
      <w:spacing w:before="60" w:after="60"/>
      <w:ind w:left="1020" w:hanging="340"/>
    </w:pPr>
  </w:style>
  <w:style w:type="paragraph" w:styleId="List4">
    <w:name w:val="List 4"/>
    <w:basedOn w:val="BodyText"/>
    <w:rsid w:val="006C6CCE"/>
    <w:pPr>
      <w:tabs>
        <w:tab w:val="left" w:pos="1361"/>
      </w:tabs>
      <w:spacing w:before="60" w:after="60"/>
      <w:ind w:left="1361" w:hanging="340"/>
    </w:pPr>
  </w:style>
  <w:style w:type="paragraph" w:styleId="List5">
    <w:name w:val="List 5"/>
    <w:basedOn w:val="BodyText"/>
    <w:rsid w:val="006C6CCE"/>
    <w:pPr>
      <w:tabs>
        <w:tab w:val="left" w:pos="1701"/>
      </w:tabs>
      <w:spacing w:before="60" w:after="60"/>
      <w:ind w:left="1701" w:hanging="340"/>
    </w:pPr>
  </w:style>
  <w:style w:type="paragraph" w:styleId="ListBullet3">
    <w:name w:val="List Bullet 3"/>
    <w:basedOn w:val="List3"/>
    <w:rsid w:val="006C6CCE"/>
    <w:pPr>
      <w:numPr>
        <w:numId w:val="13"/>
      </w:numPr>
      <w:tabs>
        <w:tab w:val="clear" w:pos="1021"/>
      </w:tabs>
      <w:ind w:left="1037" w:hanging="357"/>
    </w:pPr>
  </w:style>
  <w:style w:type="paragraph" w:styleId="ListBullet4">
    <w:name w:val="List Bullet 4"/>
    <w:basedOn w:val="List4"/>
    <w:rsid w:val="006C6CCE"/>
    <w:pPr>
      <w:numPr>
        <w:numId w:val="1"/>
      </w:numPr>
    </w:pPr>
  </w:style>
  <w:style w:type="paragraph" w:styleId="ListBullet5">
    <w:name w:val="List Bullet 5"/>
    <w:basedOn w:val="List5"/>
    <w:rsid w:val="006C6CCE"/>
    <w:pPr>
      <w:numPr>
        <w:numId w:val="2"/>
      </w:numPr>
    </w:pPr>
  </w:style>
  <w:style w:type="paragraph" w:styleId="ListContinue2">
    <w:name w:val="List Continue 2"/>
    <w:basedOn w:val="List2"/>
    <w:rsid w:val="006C6CCE"/>
    <w:pPr>
      <w:ind w:firstLine="0"/>
    </w:pPr>
  </w:style>
  <w:style w:type="paragraph" w:styleId="ListContinue3">
    <w:name w:val="List Continue 3"/>
    <w:basedOn w:val="List3"/>
    <w:rsid w:val="006C6CCE"/>
    <w:pPr>
      <w:ind w:left="1021" w:firstLine="0"/>
    </w:pPr>
  </w:style>
  <w:style w:type="paragraph" w:styleId="ListContinue4">
    <w:name w:val="List Continue 4"/>
    <w:basedOn w:val="List4"/>
    <w:rsid w:val="006C6CCE"/>
    <w:pPr>
      <w:ind w:firstLine="0"/>
    </w:pPr>
  </w:style>
  <w:style w:type="paragraph" w:styleId="ListContinue5">
    <w:name w:val="List Continue 5"/>
    <w:basedOn w:val="List5"/>
    <w:rsid w:val="006C6CCE"/>
    <w:pPr>
      <w:ind w:firstLine="0"/>
    </w:pPr>
  </w:style>
  <w:style w:type="paragraph" w:styleId="ListNumber3">
    <w:name w:val="List Number 3"/>
    <w:basedOn w:val="List3"/>
    <w:rsid w:val="006C6CCE"/>
    <w:pPr>
      <w:numPr>
        <w:numId w:val="3"/>
      </w:numPr>
    </w:pPr>
  </w:style>
  <w:style w:type="paragraph" w:styleId="ListNumber4">
    <w:name w:val="List Number 4"/>
    <w:basedOn w:val="List4"/>
    <w:rsid w:val="006C6CCE"/>
    <w:pPr>
      <w:numPr>
        <w:numId w:val="4"/>
      </w:numPr>
    </w:pPr>
  </w:style>
  <w:style w:type="paragraph" w:styleId="ListNumber5">
    <w:name w:val="List Number 5"/>
    <w:basedOn w:val="List5"/>
    <w:rsid w:val="006C6CCE"/>
    <w:pPr>
      <w:numPr>
        <w:numId w:val="5"/>
      </w:numPr>
    </w:pPr>
  </w:style>
  <w:style w:type="paragraph" w:styleId="BlockText">
    <w:name w:val="Block Text"/>
    <w:basedOn w:val="Normal"/>
    <w:rsid w:val="006C6CCE"/>
    <w:pPr>
      <w:spacing w:after="120"/>
      <w:ind w:left="1440" w:right="1440"/>
    </w:pPr>
  </w:style>
  <w:style w:type="character" w:customStyle="1" w:styleId="Subscript">
    <w:name w:val="Subscript"/>
    <w:rsid w:val="006C6CCE"/>
    <w:rPr>
      <w:sz w:val="16"/>
      <w:vertAlign w:val="subscript"/>
    </w:rPr>
  </w:style>
  <w:style w:type="character" w:customStyle="1" w:styleId="Superscript">
    <w:name w:val="Superscript"/>
    <w:rsid w:val="006C6CCE"/>
    <w:rPr>
      <w:sz w:val="16"/>
      <w:vertAlign w:val="superscript"/>
    </w:rPr>
  </w:style>
  <w:style w:type="character" w:customStyle="1" w:styleId="Symbols">
    <w:name w:val="Symbols"/>
    <w:rsid w:val="006C6CCE"/>
    <w:rPr>
      <w:rFonts w:ascii="Symbol" w:hAnsi="Symbol"/>
    </w:rPr>
  </w:style>
  <w:style w:type="character" w:customStyle="1" w:styleId="MenuOptions">
    <w:name w:val="Menu Options"/>
    <w:rsid w:val="006C6CCE"/>
    <w:rPr>
      <w:rFonts w:ascii="Arial Narrow" w:hAnsi="Arial Narrow"/>
      <w:smallCaps/>
    </w:rPr>
  </w:style>
  <w:style w:type="character" w:customStyle="1" w:styleId="Buttons">
    <w:name w:val="Buttons"/>
    <w:rsid w:val="006C6CCE"/>
    <w:rPr>
      <w:b/>
    </w:rPr>
  </w:style>
  <w:style w:type="character" w:customStyle="1" w:styleId="Underlined">
    <w:name w:val="Underlined"/>
    <w:rsid w:val="006C6CCE"/>
    <w:rPr>
      <w:u w:val="single"/>
    </w:rPr>
  </w:style>
  <w:style w:type="paragraph" w:customStyle="1" w:styleId="TableBodyTextRight">
    <w:name w:val="Table Body Text Right"/>
    <w:basedOn w:val="TableBodyText"/>
    <w:rsid w:val="006C6CCE"/>
    <w:pPr>
      <w:widowControl w:val="0"/>
      <w:autoSpaceDE w:val="0"/>
      <w:autoSpaceDN w:val="0"/>
      <w:adjustRightInd w:val="0"/>
      <w:jc w:val="right"/>
    </w:pPr>
    <w:rPr>
      <w:rFonts w:cs="Arial"/>
      <w:szCs w:val="18"/>
    </w:rPr>
  </w:style>
  <w:style w:type="paragraph" w:customStyle="1" w:styleId="CopyrightText">
    <w:name w:val="Copyright Text"/>
    <w:basedOn w:val="BodyText"/>
    <w:rsid w:val="006C6CCE"/>
    <w:rPr>
      <w:sz w:val="18"/>
    </w:rPr>
  </w:style>
  <w:style w:type="paragraph" w:customStyle="1" w:styleId="BodySmallRight">
    <w:name w:val="Body Small Right"/>
    <w:basedOn w:val="BodyTextRight"/>
    <w:rsid w:val="006C6CCE"/>
    <w:rPr>
      <w:sz w:val="18"/>
      <w:szCs w:val="18"/>
    </w:rPr>
  </w:style>
  <w:style w:type="paragraph" w:customStyle="1" w:styleId="MarginEdition">
    <w:name w:val="Margin Edition"/>
    <w:basedOn w:val="MarginNote"/>
    <w:rsid w:val="006C6CCE"/>
    <w:pPr>
      <w:spacing w:before="0" w:after="0"/>
    </w:pPr>
    <w:rPr>
      <w:rFonts w:ascii="Times New Roman" w:hAnsi="Times New Roman"/>
      <w:color w:val="999999"/>
    </w:rPr>
  </w:style>
  <w:style w:type="paragraph" w:customStyle="1" w:styleId="Spacer">
    <w:name w:val="Spacer"/>
    <w:basedOn w:val="Normal"/>
    <w:rsid w:val="006C6CCE"/>
    <w:rPr>
      <w:sz w:val="2"/>
      <w:szCs w:val="2"/>
    </w:rPr>
  </w:style>
  <w:style w:type="character" w:customStyle="1" w:styleId="Small">
    <w:name w:val="Small"/>
    <w:rsid w:val="006C6CCE"/>
    <w:rPr>
      <w:sz w:val="16"/>
    </w:rPr>
  </w:style>
  <w:style w:type="paragraph" w:customStyle="1" w:styleId="WideTable">
    <w:name w:val="Wide Table"/>
    <w:basedOn w:val="Normal"/>
    <w:rsid w:val="006C6CCE"/>
    <w:pPr>
      <w:ind w:left="-1418"/>
    </w:pPr>
    <w:rPr>
      <w:sz w:val="2"/>
      <w:szCs w:val="2"/>
    </w:rPr>
  </w:style>
  <w:style w:type="character" w:styleId="PageNumber">
    <w:name w:val="page number"/>
    <w:rsid w:val="006C6CCE"/>
  </w:style>
  <w:style w:type="paragraph" w:styleId="Quote">
    <w:name w:val="Quote"/>
    <w:basedOn w:val="Heading1"/>
    <w:link w:val="QuoteChar"/>
    <w:qFormat/>
    <w:rsid w:val="006C6CCE"/>
    <w:rPr>
      <w:b w:val="0"/>
      <w:sz w:val="72"/>
      <w:szCs w:val="72"/>
      <w:lang w:val="en-NZ"/>
    </w:rPr>
  </w:style>
  <w:style w:type="character" w:customStyle="1" w:styleId="QuoteChar">
    <w:name w:val="Quote Char"/>
    <w:link w:val="Quote"/>
    <w:rsid w:val="006C6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CCE"/>
    <w:pPr>
      <w:pageBreakBefore/>
    </w:pPr>
  </w:style>
  <w:style w:type="paragraph" w:customStyle="1" w:styleId="Border">
    <w:name w:val="Border"/>
    <w:basedOn w:val="Normal"/>
    <w:qFormat/>
    <w:rsid w:val="006C6CCE"/>
    <w:pPr>
      <w:pBdr>
        <w:top w:val="single" w:sz="18" w:space="1" w:color="auto"/>
      </w:pBdr>
    </w:pPr>
    <w:rPr>
      <w:rFonts w:ascii="Times New Roman" w:hAnsi="Times New Roman"/>
      <w:color w:val="FFFFFF"/>
      <w:sz w:val="2"/>
    </w:rPr>
  </w:style>
  <w:style w:type="character" w:styleId="IntenseEmphasis">
    <w:name w:val="Intense Emphasis"/>
    <w:uiPriority w:val="21"/>
    <w:qFormat/>
    <w:rsid w:val="006C6CCE"/>
    <w:rPr>
      <w:b/>
      <w:bCs/>
      <w:i/>
      <w:iCs/>
      <w:color w:val="auto"/>
    </w:rPr>
  </w:style>
  <w:style w:type="paragraph" w:styleId="IntenseQuote">
    <w:name w:val="Intense Quote"/>
    <w:basedOn w:val="Normal"/>
    <w:next w:val="Normal"/>
    <w:link w:val="IntenseQuoteChar"/>
    <w:uiPriority w:val="30"/>
    <w:qFormat/>
    <w:rsid w:val="006C6C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6CCE"/>
    <w:rPr>
      <w:rFonts w:ascii="Courier New" w:eastAsia="Times New Roman" w:hAnsi="Courier New" w:cs="Times New Roman"/>
      <w:b/>
      <w:bCs/>
      <w:i/>
      <w:iCs/>
      <w:szCs w:val="20"/>
      <w:lang w:val="en-US" w:eastAsia="en-US"/>
    </w:rPr>
  </w:style>
  <w:style w:type="character" w:styleId="SubtleReference">
    <w:name w:val="Subtle Reference"/>
    <w:uiPriority w:val="31"/>
    <w:qFormat/>
    <w:rsid w:val="006C6CCE"/>
    <w:rPr>
      <w:smallCaps/>
      <w:color w:val="auto"/>
      <w:u w:val="single"/>
    </w:rPr>
  </w:style>
  <w:style w:type="character" w:styleId="IntenseReference">
    <w:name w:val="Intense Reference"/>
    <w:uiPriority w:val="32"/>
    <w:qFormat/>
    <w:rsid w:val="006C6CCE"/>
    <w:rPr>
      <w:b/>
      <w:bCs/>
      <w:smallCaps/>
      <w:color w:val="auto"/>
      <w:spacing w:val="5"/>
      <w:u w:val="single"/>
    </w:rPr>
  </w:style>
  <w:style w:type="paragraph" w:customStyle="1" w:styleId="2ColumnHeading">
    <w:name w:val="2Column Heading"/>
    <w:basedOn w:val="BodyText"/>
    <w:qFormat/>
    <w:rsid w:val="006C6CCE"/>
    <w:pPr>
      <w:spacing w:after="60"/>
      <w:ind w:left="-2268"/>
    </w:pPr>
    <w:rPr>
      <w:b/>
    </w:rPr>
  </w:style>
  <w:style w:type="paragraph" w:customStyle="1" w:styleId="Heading1TOC">
    <w:name w:val="Heading1 TOC"/>
    <w:basedOn w:val="Normal"/>
    <w:qFormat/>
    <w:rsid w:val="006C6CCE"/>
    <w:pPr>
      <w:spacing w:before="240" w:after="120"/>
    </w:pPr>
    <w:rPr>
      <w:rFonts w:ascii="Times New Roman" w:hAnsi="Times New Roman"/>
      <w:b/>
      <w:sz w:val="32"/>
    </w:rPr>
  </w:style>
  <w:style w:type="paragraph" w:customStyle="1" w:styleId="Heading2TOC">
    <w:name w:val="Heading2 TOC"/>
    <w:basedOn w:val="Normal"/>
    <w:qFormat/>
    <w:rsid w:val="006C6CCE"/>
    <w:pPr>
      <w:spacing w:before="240" w:after="60"/>
    </w:pPr>
    <w:rPr>
      <w:rFonts w:ascii="Times New Roman" w:hAnsi="Times New Roman"/>
      <w:b/>
      <w:sz w:val="28"/>
    </w:rPr>
  </w:style>
  <w:style w:type="character" w:customStyle="1" w:styleId="Underline">
    <w:name w:val="Underline"/>
    <w:qFormat/>
    <w:rsid w:val="006C6CCE"/>
    <w:rPr>
      <w:u w:val="single"/>
    </w:rPr>
  </w:style>
  <w:style w:type="character" w:customStyle="1" w:styleId="BoldandItalics">
    <w:name w:val="Bold and Italics"/>
    <w:qFormat/>
    <w:rsid w:val="006C6CCE"/>
    <w:rPr>
      <w:b/>
      <w:i/>
      <w:u w:val="none"/>
    </w:rPr>
  </w:style>
  <w:style w:type="paragraph" w:styleId="BalloonText">
    <w:name w:val="Balloon Text"/>
    <w:basedOn w:val="Normal"/>
    <w:link w:val="BalloonTextChar"/>
    <w:rsid w:val="006C6CCE"/>
    <w:rPr>
      <w:rFonts w:ascii="Tahoma" w:hAnsi="Tahoma" w:cs="Tahoma"/>
      <w:sz w:val="16"/>
      <w:szCs w:val="16"/>
    </w:rPr>
  </w:style>
  <w:style w:type="character" w:customStyle="1" w:styleId="BalloonTextChar">
    <w:name w:val="Balloon Text Char"/>
    <w:link w:val="BalloonText"/>
    <w:rsid w:val="006C6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C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6C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1938</Words>
  <Characters>12107</Characters>
  <Application>Microsoft Office Word</Application>
  <DocSecurity>0</DocSecurity>
  <Lines>370</Lines>
  <Paragraphs>282</Paragraphs>
  <ScaleCrop>false</ScaleCrop>
  <Company>Author-it Software Corporation Ltd.</Company>
  <LinksUpToDate>false</LinksUpToDate>
  <CharactersWithSpaces>14116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CULMS412B Record and maintain collection information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2012-05-26T23:26:00Z</dcterms:created>
  <dcterms:modified xsi:type="dcterms:W3CDTF">2012-05-26T23:26:00Z</dcterms:modified>
</cp:coreProperties>
</file>