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984" w:rsidP="00302984">
      <w:pPr>
        <w:pStyle w:val="Title"/>
      </w:pPr>
      <w:r>
        <w:fldChar w:fldCharType="begin"/>
      </w:r>
      <w:r>
        <w:instrText xml:space="preserve"> TITLE   \* MERGEFORMAT </w:instrText>
      </w:r>
      <w:r>
        <w:fldChar w:fldCharType="separate"/>
      </w:r>
      <w:r>
        <w:t>CULRSK501A Monitor compliance with copyright and licence requirements</w:t>
      </w:r>
      <w:r>
        <w:fldChar w:fldCharType="end"/>
      </w:r>
    </w:p>
    <w:p w:rsidR="00302984" w:rsidP="00302984">
      <w:pPr>
        <w:pStyle w:val="Version"/>
        <w:sectPr w:rsidSect="00940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C39" w:rsidP="00940C39">
      <w:pPr>
        <w:pStyle w:val="SuperHeading"/>
      </w:pPr>
      <w:r w:rsidRPr="00940C39">
        <w:t>CULRSK501A Monitor compliance with copyright and licence requirements</w:t>
      </w:r>
    </w:p>
    <w:p w:rsidR="00000000" w:rsidRPr="00940C39" w:rsidP="00940C39">
      <w:pPr>
        <w:pStyle w:val="Heading1"/>
      </w:pPr>
      <w:bookmarkStart w:id="1" w:name="O_387585"/>
      <w:bookmarkEnd w:id="1"/>
      <w:r w:rsidRPr="00940C39">
        <w:t>Modification History</w:t>
      </w:r>
    </w:p>
    <w:tbl>
      <w:tblPr>
        <w:tblW w:w="0" w:type="auto"/>
        <w:tblLayout w:type="fixed"/>
        <w:tblCellMar>
          <w:left w:w="62" w:type="dxa"/>
          <w:right w:w="62" w:type="dxa"/>
        </w:tblCellMar>
        <w:tblLook w:val="0000"/>
      </w:tblPr>
      <w:tblGrid>
        <w:gridCol w:w="3149"/>
        <w:gridCol w:w="5866"/>
      </w:tblGrid>
      <w:tr w:rsidTr="00940C3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Comments</w:t>
            </w:r>
          </w:p>
        </w:tc>
      </w:tr>
      <w:tr w:rsidTr="00940C3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 xml:space="preserve">This unit of competency first released with </w:t>
            </w:r>
            <w:r w:rsidRPr="00940C39">
              <w:rPr>
                <w:rStyle w:val="Emphasis"/>
              </w:rPr>
              <w:t>CUL11 Library, Information and Cultural Services Training Package version 1.0</w:t>
            </w:r>
          </w:p>
        </w:tc>
      </w:tr>
    </w:tbl>
    <w:p w:rsidR="00000000" w:rsidRPr="00940C39" w:rsidP="00940C39">
      <w:pPr>
        <w:pStyle w:val="BodyText"/>
      </w:pPr>
    </w:p>
    <w:p w:rsidR="00000000" w:rsidRPr="00940C39" w:rsidP="00940C39">
      <w:pPr>
        <w:pStyle w:val="AllowPageBreak"/>
      </w:pPr>
    </w:p>
    <w:p w:rsidR="00000000" w:rsidRPr="00940C39" w:rsidP="00940C39">
      <w:pPr>
        <w:pStyle w:val="Heading1"/>
      </w:pPr>
      <w:bookmarkStart w:id="2" w:name="O_387586"/>
      <w:bookmarkEnd w:id="2"/>
      <w:r w:rsidRPr="00940C39">
        <w:t>Unit Descriptor</w:t>
      </w:r>
    </w:p>
    <w:p w:rsidR="00000000" w:rsidRPr="00940C39" w:rsidP="00940C39">
      <w:pPr>
        <w:pStyle w:val="BodyText"/>
      </w:pPr>
      <w:r w:rsidRPr="00940C39">
        <w:t>This unit describes the performance outcomes, skills and knowledge required to monitor compliance with copyright and licence requirements in re</w:t>
      </w:r>
      <w:r w:rsidRPr="00940C39">
        <w:t>lation to collections held by Australian archives, galleries, libraries and museums.</w:t>
      </w:r>
    </w:p>
    <w:p w:rsidR="00000000" w:rsidRPr="00940C39" w:rsidP="00940C39">
      <w:pPr>
        <w:pStyle w:val="AllowPageBreak"/>
      </w:pPr>
    </w:p>
    <w:p w:rsidR="00000000" w:rsidRPr="00940C39" w:rsidP="00940C39">
      <w:pPr>
        <w:pStyle w:val="Heading1"/>
      </w:pPr>
      <w:bookmarkStart w:id="3" w:name="O_387587"/>
      <w:bookmarkEnd w:id="3"/>
      <w:r w:rsidRPr="00940C39">
        <w:t>Application of the Unit</w:t>
      </w:r>
    </w:p>
    <w:p w:rsidR="00000000" w:rsidRPr="00940C39" w:rsidP="00940C39">
      <w:pPr>
        <w:pStyle w:val="BodyText"/>
      </w:pPr>
      <w:r w:rsidRPr="00940C39">
        <w:t>This unit applies to individuals responsible for monitoring the organisation’</w:t>
      </w:r>
      <w:r w:rsidRPr="00940C39">
        <w:t>s compliance with copyright and licence requirements regarding collections held in Australian archives, galleries, libraries and museums.</w:t>
      </w:r>
    </w:p>
    <w:p w:rsidR="00000000" w:rsidRPr="00940C39" w:rsidP="00940C39">
      <w:pPr>
        <w:pStyle w:val="BodyText"/>
      </w:pPr>
      <w:r w:rsidRPr="00940C39">
        <w:t>Work is undertaken autonomously but in consultation with other colleagues and wider stakeholders.</w:t>
      </w:r>
    </w:p>
    <w:p w:rsidR="00000000" w:rsidRPr="00940C39" w:rsidP="00940C39">
      <w:pPr>
        <w:pStyle w:val="AllowPageBreak"/>
      </w:pPr>
    </w:p>
    <w:p w:rsidR="00000000" w:rsidRPr="00940C39" w:rsidP="00940C39">
      <w:pPr>
        <w:pStyle w:val="Heading1"/>
      </w:pPr>
      <w:bookmarkStart w:id="4" w:name="O_387588"/>
      <w:bookmarkEnd w:id="4"/>
      <w:r w:rsidRPr="00940C39">
        <w:t>Lic</w:t>
      </w:r>
      <w:r w:rsidRPr="00940C39">
        <w:t>ensing/Regulatory Information</w:t>
      </w:r>
    </w:p>
    <w:p w:rsidR="00000000" w:rsidRPr="00940C39" w:rsidP="00940C39">
      <w:pPr>
        <w:pStyle w:val="BodyText"/>
      </w:pPr>
      <w:r w:rsidRPr="00940C39">
        <w:t>No licensing, legislative, regulatory or certification requirements apply to this unit at the time of endorsement.</w:t>
      </w:r>
    </w:p>
    <w:p w:rsidR="00000000" w:rsidRPr="00940C39" w:rsidP="00940C39">
      <w:pPr>
        <w:pStyle w:val="AllowPageBreak"/>
      </w:pPr>
    </w:p>
    <w:p w:rsidR="00000000" w:rsidRPr="00940C39" w:rsidP="00940C39">
      <w:pPr>
        <w:pStyle w:val="Heading1"/>
      </w:pPr>
      <w:bookmarkStart w:id="5" w:name="O_387589"/>
      <w:bookmarkEnd w:id="5"/>
      <w:r w:rsidRPr="00940C39">
        <w:t>Pre-Requisites</w:t>
      </w:r>
    </w:p>
    <w:p w:rsidR="00000000" w:rsidRPr="00940C39" w:rsidP="00940C39">
      <w:pPr>
        <w:pStyle w:val="BodyText"/>
      </w:pPr>
      <w:r w:rsidRPr="00940C39">
        <w:t>Not applicable.</w:t>
      </w:r>
    </w:p>
    <w:p w:rsidR="00000000" w:rsidRPr="00940C39" w:rsidP="00940C39">
      <w:pPr>
        <w:pStyle w:val="AllowPageBreak"/>
      </w:pPr>
    </w:p>
    <w:p w:rsidR="00000000" w:rsidRPr="00940C39" w:rsidP="00940C39">
      <w:pPr>
        <w:pStyle w:val="Heading1"/>
      </w:pPr>
      <w:bookmarkStart w:id="6" w:name="O_387590"/>
      <w:bookmarkEnd w:id="6"/>
      <w:r w:rsidRPr="00940C39">
        <w:t>Employability Skills Information</w:t>
      </w:r>
    </w:p>
    <w:p w:rsidR="00000000" w:rsidRPr="00940C39" w:rsidP="00940C39">
      <w:pPr>
        <w:pStyle w:val="BodyText"/>
      </w:pPr>
      <w:r w:rsidRPr="00940C39">
        <w:t>This unit con</w:t>
      </w:r>
      <w:r w:rsidRPr="00940C39">
        <w:t>tains employability skills.</w:t>
      </w:r>
    </w:p>
    <w:p w:rsidR="00000000" w:rsidRPr="00940C39" w:rsidP="00940C39">
      <w:pPr>
        <w:pStyle w:val="AllowPageBreak"/>
      </w:pPr>
    </w:p>
    <w:p w:rsidR="00000000" w:rsidRPr="00940C39" w:rsidP="00940C39">
      <w:pPr>
        <w:pStyle w:val="Heading1"/>
      </w:pPr>
      <w:bookmarkStart w:id="7" w:name="O_387591"/>
      <w:bookmarkEnd w:id="7"/>
      <w:r w:rsidRPr="00940C39">
        <w:t>Elements and Performance Criteria Pre-Content</w:t>
      </w:r>
    </w:p>
    <w:tbl>
      <w:tblPr>
        <w:tblW w:w="9354" w:type="dxa"/>
        <w:tblLayout w:type="fixed"/>
        <w:tblCellMar>
          <w:left w:w="62" w:type="dxa"/>
          <w:right w:w="62" w:type="dxa"/>
        </w:tblCellMar>
        <w:tblLook w:val="0000"/>
      </w:tblPr>
      <w:tblGrid>
        <w:gridCol w:w="2592"/>
        <w:gridCol w:w="6762"/>
      </w:tblGrid>
      <w:tr w:rsidTr="00940C39">
        <w:tblPrEx>
          <w:tblW w:w="9354" w:type="dxa"/>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40C39" w:rsidP="00940C39">
            <w:pPr>
              <w:pStyle w:val="BodyText"/>
            </w:pPr>
            <w:r w:rsidRPr="00940C39">
              <w:rPr>
                <w:rStyle w:val="SpecialBold"/>
              </w:rPr>
              <w:t>Element</w:t>
            </w:r>
          </w:p>
        </w:tc>
        <w:tc>
          <w:tcPr>
            <w:tcW w:w="67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40C39">
            <w:pPr>
              <w:pStyle w:val="BodyText"/>
              <w:rPr>
                <w:lang w:val="en-NZ"/>
              </w:rPr>
            </w:pPr>
            <w:r w:rsidRPr="00940C39">
              <w:rPr>
                <w:rStyle w:val="SpecialBold"/>
              </w:rPr>
              <w:t>Performance Criteria</w:t>
            </w:r>
          </w:p>
        </w:tc>
      </w:tr>
      <w:tr w:rsidTr="00940C39">
        <w:tblPrEx>
          <w:tblW w:w="9354" w:type="dxa"/>
          <w:tblLayout w:type="fixed"/>
          <w:tblCellMar>
            <w:left w:w="62" w:type="dxa"/>
            <w:right w:w="62" w:type="dxa"/>
          </w:tblCellMar>
          <w:tblLook w:val="0000"/>
        </w:tblPrEx>
        <w:tc>
          <w:tcPr>
            <w:tcW w:w="25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0C39" w:rsidP="00940C39">
            <w:pPr>
              <w:pStyle w:val="BodyText"/>
            </w:pPr>
            <w:r w:rsidRPr="00940C39">
              <w:rPr>
                <w:rStyle w:val="Emphasis"/>
              </w:rPr>
              <w:t>Elements describe the essential outcomes of a unit of competency.</w:t>
            </w:r>
          </w:p>
        </w:tc>
        <w:tc>
          <w:tcPr>
            <w:tcW w:w="67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0C39" w:rsidP="00940C39">
            <w:pPr>
              <w:pStyle w:val="BodyText"/>
            </w:pPr>
            <w:r w:rsidRPr="00940C3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40C39">
              <w:rPr>
                <w:rStyle w:val="Emphasis"/>
              </w:rPr>
              <w:t>nce is to be consistent with the evidence guide.</w:t>
            </w:r>
          </w:p>
        </w:tc>
      </w:tr>
    </w:tbl>
    <w:p w:rsidR="00000000" w:rsidRPr="00940C39" w:rsidP="00940C39">
      <w:pPr>
        <w:pStyle w:val="BodyText"/>
      </w:pPr>
    </w:p>
    <w:p w:rsidR="00000000" w:rsidRPr="00940C39" w:rsidP="00940C39">
      <w:pPr>
        <w:pStyle w:val="AllowPageBreak"/>
      </w:pPr>
    </w:p>
    <w:p w:rsidR="00000000" w:rsidRPr="00940C39" w:rsidP="00940C39">
      <w:pPr>
        <w:pStyle w:val="Heading1"/>
      </w:pPr>
      <w:bookmarkStart w:id="8" w:name="O_387592"/>
      <w:bookmarkEnd w:id="8"/>
      <w:r w:rsidRPr="00940C39">
        <w:t>Elements and Performance Criteria</w:t>
      </w:r>
    </w:p>
    <w:tbl>
      <w:tblPr>
        <w:tblW w:w="0" w:type="auto"/>
        <w:tblLayout w:type="fixed"/>
        <w:tblCellMar>
          <w:left w:w="62" w:type="dxa"/>
          <w:right w:w="62" w:type="dxa"/>
        </w:tblCellMar>
        <w:tblLook w:val="0000"/>
      </w:tblPr>
      <w:tblGrid>
        <w:gridCol w:w="2551"/>
        <w:gridCol w:w="6464"/>
      </w:tblGrid>
      <w:tr w:rsidTr="00940C39">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t>1. Ensure compliance with copyright legislation</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 xml:space="preserve">1.1 Research </w:t>
            </w:r>
            <w:r w:rsidRPr="00940C39">
              <w:rPr>
                <w:rStyle w:val="BoldandItalics"/>
              </w:rPr>
              <w:t>information sources</w:t>
            </w:r>
            <w:r w:rsidRPr="00940C39">
              <w:t xml:space="preserve"> to keep abreast of </w:t>
            </w:r>
            <w:r w:rsidRPr="00940C39">
              <w:rPr>
                <w:rStyle w:val="BoldandItalics"/>
              </w:rPr>
              <w:t>information about copyright</w:t>
            </w:r>
            <w:r w:rsidRPr="00940C39">
              <w:t xml:space="preserve"> relevant to libraries and </w:t>
            </w:r>
            <w:r w:rsidRPr="00940C39">
              <w:t>cultural institutions</w:t>
            </w:r>
          </w:p>
          <w:p w:rsidR="00000000" w:rsidRPr="00940C39" w:rsidP="00940C39">
            <w:pPr>
              <w:pStyle w:val="BodyText"/>
            </w:pPr>
            <w:r w:rsidRPr="00940C39">
              <w:t xml:space="preserve">1.2 Review </w:t>
            </w:r>
            <w:r w:rsidRPr="00940C39">
              <w:rPr>
                <w:rStyle w:val="BoldandItalics"/>
              </w:rPr>
              <w:t>organisational procedures</w:t>
            </w:r>
            <w:r w:rsidRPr="00940C39">
              <w:t xml:space="preserve"> to ensure consistency with copyright obligations and organisational policy</w:t>
            </w:r>
          </w:p>
          <w:p w:rsidR="00000000" w:rsidRPr="00940C39" w:rsidP="00940C39">
            <w:pPr>
              <w:pStyle w:val="BodyText"/>
            </w:pPr>
            <w:r w:rsidRPr="00940C39">
              <w:t>1.3 Identify gaps in procedures that need to be addressed and take action accordingly</w:t>
            </w:r>
          </w:p>
          <w:p w:rsidR="00000000" w:rsidRPr="00940C39" w:rsidP="00940C39">
            <w:pPr>
              <w:pStyle w:val="BodyText"/>
            </w:pPr>
            <w:r w:rsidRPr="00940C39">
              <w:t>1.4 Seek specialist advice as requir</w:t>
            </w:r>
            <w:r w:rsidRPr="00940C39">
              <w:t>ed</w:t>
            </w:r>
          </w:p>
          <w:p w:rsidR="00000000" w:rsidP="00940C39">
            <w:pPr>
              <w:pStyle w:val="BodyText"/>
              <w:rPr>
                <w:lang w:val="en-NZ"/>
              </w:rPr>
            </w:pPr>
            <w:r w:rsidRPr="00940C39">
              <w:t xml:space="preserve">1.5 Advise relevant personnel about the legal and economic implications of </w:t>
            </w:r>
            <w:r w:rsidRPr="00940C39">
              <w:rPr>
                <w:rStyle w:val="BoldandItalics"/>
              </w:rPr>
              <w:t>copyright infringement</w:t>
            </w:r>
            <w:r w:rsidRPr="00940C39">
              <w:t xml:space="preserve"> and other legislative obligations</w:t>
            </w:r>
          </w:p>
        </w:tc>
      </w:tr>
      <w:tr w:rsidTr="00940C39">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t xml:space="preserve">2. Monitor licences for digital rights management </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 xml:space="preserve">2.1 Identify materials within organisations that require </w:t>
            </w:r>
            <w:r w:rsidRPr="00940C39">
              <w:rPr>
                <w:rStyle w:val="BoldandItalics"/>
              </w:rPr>
              <w:t>licences</w:t>
            </w:r>
          </w:p>
          <w:p w:rsidR="00000000" w:rsidRPr="00940C39" w:rsidP="00940C39">
            <w:pPr>
              <w:pStyle w:val="BodyText"/>
            </w:pPr>
            <w:r w:rsidRPr="00940C39">
              <w:t xml:space="preserve">2.2 Research organisational protocols regarding licences and implications for </w:t>
            </w:r>
            <w:r w:rsidRPr="00940C39">
              <w:rPr>
                <w:rStyle w:val="BoldandItalics"/>
              </w:rPr>
              <w:t>digital rights management</w:t>
            </w:r>
          </w:p>
          <w:p w:rsidR="00000000" w:rsidRPr="00940C39" w:rsidP="00940C39">
            <w:pPr>
              <w:pStyle w:val="BodyText"/>
            </w:pPr>
            <w:r w:rsidRPr="00940C39">
              <w:t>2.3 Source information regarding licence agreements between own organisation and vendors of electronic resources</w:t>
            </w:r>
          </w:p>
          <w:p w:rsidR="00000000" w:rsidP="00940C39">
            <w:pPr>
              <w:pStyle w:val="BodyText"/>
              <w:rPr>
                <w:lang w:val="en-NZ"/>
              </w:rPr>
            </w:pPr>
            <w:r w:rsidRPr="00940C39">
              <w:t>2.4 Explain to customers responsibiliti</w:t>
            </w:r>
            <w:r w:rsidRPr="00940C39">
              <w:t>es in relation to licence and digital rights management</w:t>
            </w:r>
          </w:p>
        </w:tc>
      </w:tr>
      <w:tr w:rsidTr="00940C39">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t>3. Assess risks associated with private support by sponsors and donors</w:t>
            </w:r>
          </w:p>
        </w:tc>
        <w:tc>
          <w:tcPr>
            <w:tcW w:w="6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 xml:space="preserve">3.1 Review organisational procedures for accepting </w:t>
            </w:r>
            <w:r w:rsidRPr="00940C39">
              <w:rPr>
                <w:rStyle w:val="BoldandItalics"/>
              </w:rPr>
              <w:t>donations and sponsorship</w:t>
            </w:r>
            <w:r w:rsidRPr="00940C39">
              <w:t xml:space="preserve"> and culturally sensitive material to ensure consist</w:t>
            </w:r>
            <w:r w:rsidRPr="00940C39">
              <w:t>ency with organisational policy</w:t>
            </w:r>
          </w:p>
          <w:p w:rsidR="00000000" w:rsidRPr="00940C39" w:rsidP="00940C39">
            <w:pPr>
              <w:pStyle w:val="BodyText"/>
            </w:pPr>
            <w:r w:rsidRPr="00940C39">
              <w:t>3.2 Identify copyright and licence risks associated with these practices</w:t>
            </w:r>
          </w:p>
          <w:p w:rsidR="00000000" w:rsidRPr="00940C39" w:rsidP="00940C39">
            <w:pPr>
              <w:pStyle w:val="BodyText"/>
            </w:pPr>
            <w:r w:rsidRPr="00940C39">
              <w:t xml:space="preserve">3.3 Provide advice about identified risks to relevant personnel </w:t>
            </w:r>
          </w:p>
        </w:tc>
      </w:tr>
    </w:tbl>
    <w:p w:rsidR="00000000" w:rsidRPr="00940C39" w:rsidP="00940C39">
      <w:pPr>
        <w:pStyle w:val="BodyText"/>
      </w:pPr>
    </w:p>
    <w:p w:rsidR="00000000" w:rsidRPr="00940C39" w:rsidP="00940C39">
      <w:pPr>
        <w:pStyle w:val="AllowPageBreak"/>
      </w:pPr>
    </w:p>
    <w:p w:rsidR="00000000" w:rsidRPr="00940C39" w:rsidP="00940C39">
      <w:pPr>
        <w:pStyle w:val="Heading1"/>
      </w:pPr>
      <w:bookmarkStart w:id="9" w:name="O_387593"/>
      <w:bookmarkEnd w:id="9"/>
      <w:r w:rsidRPr="00940C39">
        <w:t>Required Skills and Knowledge</w:t>
      </w:r>
    </w:p>
    <w:p w:rsidR="00000000" w:rsidRPr="00940C39" w:rsidP="00940C39">
      <w:pPr>
        <w:pStyle w:val="BodyText"/>
      </w:pPr>
      <w:r w:rsidRPr="00940C39">
        <w:rPr>
          <w:rStyle w:val="Emphasis"/>
        </w:rPr>
        <w:t>This section describes the skills and knowledge required for this unit.</w:t>
      </w:r>
    </w:p>
    <w:p w:rsidR="00000000" w:rsidRPr="00940C39" w:rsidP="00940C39">
      <w:pPr>
        <w:pStyle w:val="BodyText"/>
      </w:pPr>
    </w:p>
    <w:p w:rsidR="00000000" w:rsidRPr="00940C39" w:rsidP="00940C39">
      <w:pPr>
        <w:pStyle w:val="BodyText"/>
      </w:pPr>
      <w:r w:rsidRPr="00940C39">
        <w:rPr>
          <w:rStyle w:val="SpecialBold"/>
        </w:rPr>
        <w:t>Required skills</w:t>
      </w:r>
    </w:p>
    <w:p w:rsidR="00000000" w:rsidRPr="00940C39" w:rsidP="00940C39">
      <w:pPr>
        <w:pStyle w:val="ListBullet"/>
      </w:pPr>
      <w:r w:rsidRPr="00940C39">
        <w:t>communication and teamwork skills to:</w:t>
      </w:r>
    </w:p>
    <w:p w:rsidR="00000000" w:rsidRPr="00940C39" w:rsidP="00940C39">
      <w:pPr>
        <w:pStyle w:val="ListBullet2"/>
      </w:pPr>
      <w:r w:rsidRPr="00940C39">
        <w:t>share information with colleagues and customers on copyright and licence requirements</w:t>
      </w:r>
    </w:p>
    <w:p w:rsidR="00000000" w:rsidRPr="00940C39" w:rsidP="00940C39">
      <w:pPr>
        <w:pStyle w:val="ListBullet2"/>
      </w:pPr>
      <w:r w:rsidRPr="00940C39">
        <w:t>work collaboratively with others</w:t>
      </w:r>
    </w:p>
    <w:p w:rsidR="00000000" w:rsidRPr="00940C39" w:rsidP="00940C39">
      <w:pPr>
        <w:pStyle w:val="ListBullet"/>
      </w:pPr>
      <w:r w:rsidRPr="00940C39">
        <w:t>initiative and enterprise skills to identify and recommend ways to manage risks to an organisation in relation to licences and digital rights management</w:t>
      </w:r>
    </w:p>
    <w:p w:rsidR="00000000" w:rsidRPr="00940C39" w:rsidP="00940C39">
      <w:pPr>
        <w:pStyle w:val="ListBullet"/>
      </w:pPr>
      <w:r w:rsidRPr="00940C39">
        <w:t>literacy skills to read, understand and interpret information, agreements and licence conditions</w:t>
      </w:r>
    </w:p>
    <w:p w:rsidR="00000000" w:rsidRPr="00940C39" w:rsidP="00940C39">
      <w:pPr>
        <w:pStyle w:val="ListBullet"/>
      </w:pPr>
      <w:r w:rsidRPr="00940C39">
        <w:t>planni</w:t>
      </w:r>
      <w:r w:rsidRPr="00940C39">
        <w:t>ng and organising skills to collect, analyse and organise information about copyright and licences</w:t>
      </w:r>
    </w:p>
    <w:p w:rsidR="00000000" w:rsidRPr="00940C39" w:rsidP="00940C39">
      <w:pPr>
        <w:pStyle w:val="ListBullet"/>
      </w:pPr>
      <w:r w:rsidRPr="00940C39">
        <w:t>problem-solving skills to review procedures and provide advice on updating as required</w:t>
      </w:r>
    </w:p>
    <w:p w:rsidR="00000000" w:rsidRPr="00940C39" w:rsidP="00940C39">
      <w:pPr>
        <w:pStyle w:val="ListBullet"/>
      </w:pPr>
      <w:r w:rsidRPr="00940C39">
        <w:t>self-management skills to:</w:t>
      </w:r>
    </w:p>
    <w:p w:rsidR="00000000" w:rsidRPr="00940C39" w:rsidP="00940C39">
      <w:pPr>
        <w:pStyle w:val="ListBullet2"/>
      </w:pPr>
      <w:r w:rsidRPr="00940C39">
        <w:t>prioritise work tasks and meet deadlines</w:t>
      </w:r>
    </w:p>
    <w:p w:rsidR="00000000" w:rsidRPr="00940C39" w:rsidP="00940C39">
      <w:pPr>
        <w:pStyle w:val="ListBullet2"/>
      </w:pPr>
      <w:r w:rsidRPr="00940C39">
        <w:t>f</w:t>
      </w:r>
      <w:r w:rsidRPr="00940C39">
        <w:t>ollow organisational procedures</w:t>
      </w:r>
    </w:p>
    <w:p w:rsidR="00000000" w:rsidRPr="00940C39" w:rsidP="00940C39">
      <w:pPr>
        <w:pStyle w:val="ListBullet"/>
      </w:pPr>
      <w:r w:rsidRPr="00940C39">
        <w:t>technology skills to use computer systems for research purposes.</w:t>
      </w:r>
    </w:p>
    <w:p w:rsidR="00000000" w:rsidRPr="00940C39" w:rsidP="00940C39">
      <w:pPr>
        <w:pStyle w:val="BodyText"/>
      </w:pPr>
    </w:p>
    <w:p w:rsidR="00000000" w:rsidRPr="00940C39" w:rsidP="00940C39">
      <w:pPr>
        <w:pStyle w:val="BodyText"/>
      </w:pPr>
      <w:r w:rsidRPr="00940C39">
        <w:rPr>
          <w:rStyle w:val="SpecialBold"/>
        </w:rPr>
        <w:t>Required knowledge</w:t>
      </w:r>
    </w:p>
    <w:p w:rsidR="00000000" w:rsidRPr="00940C39" w:rsidP="00940C39">
      <w:pPr>
        <w:pStyle w:val="ListBullet"/>
      </w:pPr>
      <w:r w:rsidRPr="00940C39">
        <w:t>awareness of laws in the following areas:</w:t>
      </w:r>
    </w:p>
    <w:p w:rsidR="00000000" w:rsidRPr="00940C39" w:rsidP="00940C39">
      <w:pPr>
        <w:pStyle w:val="ListBullet2"/>
      </w:pPr>
      <w:r w:rsidRPr="00940C39">
        <w:t>contract law as it relates to licences, including:</w:t>
      </w:r>
    </w:p>
    <w:p w:rsidR="00000000" w:rsidRPr="00940C39" w:rsidP="00940C39">
      <w:pPr>
        <w:pStyle w:val="ListBullet3"/>
      </w:pPr>
      <w:r w:rsidRPr="00940C39">
        <w:t>agreement</w:t>
      </w:r>
    </w:p>
    <w:p w:rsidR="00000000" w:rsidRPr="00940C39" w:rsidP="00940C39">
      <w:pPr>
        <w:pStyle w:val="ListBullet3"/>
      </w:pPr>
      <w:r w:rsidRPr="00940C39">
        <w:t>capacity to contract and formalities</w:t>
      </w:r>
    </w:p>
    <w:p w:rsidR="00000000" w:rsidRPr="00940C39" w:rsidP="00940C39">
      <w:pPr>
        <w:pStyle w:val="ListBullet3"/>
      </w:pPr>
      <w:r w:rsidRPr="00940C39">
        <w:t>consideration</w:t>
      </w:r>
    </w:p>
    <w:p w:rsidR="00000000" w:rsidRPr="00940C39" w:rsidP="00940C39">
      <w:pPr>
        <w:pStyle w:val="ListBullet3"/>
      </w:pPr>
      <w:r w:rsidRPr="00940C39">
        <w:t>intention to create legal relations</w:t>
      </w:r>
    </w:p>
    <w:p w:rsidR="00000000" w:rsidRPr="00940C39" w:rsidP="00940C39">
      <w:pPr>
        <w:pStyle w:val="ListBullet2"/>
      </w:pPr>
      <w:r w:rsidRPr="00940C39">
        <w:t>freedom of information</w:t>
      </w:r>
    </w:p>
    <w:p w:rsidR="00000000" w:rsidRPr="00940C39" w:rsidP="00940C39">
      <w:pPr>
        <w:pStyle w:val="ListBullet2"/>
      </w:pPr>
      <w:r w:rsidRPr="00940C39">
        <w:t>privacy, including user information and photographs</w:t>
      </w:r>
    </w:p>
    <w:p w:rsidR="00000000" w:rsidRPr="00940C39" w:rsidP="00940C39">
      <w:pPr>
        <w:pStyle w:val="ListBullet2"/>
      </w:pPr>
      <w:r w:rsidRPr="00940C39">
        <w:t>Tax Ruling TR 2000/10 Income tax: public libraries, public museums and public art galleries</w:t>
      </w:r>
    </w:p>
    <w:p w:rsidR="00000000" w:rsidRPr="00940C39" w:rsidP="00940C39">
      <w:pPr>
        <w:pStyle w:val="ListBullet"/>
      </w:pPr>
      <w:r w:rsidRPr="00940C39">
        <w:t>digital preservation</w:t>
      </w:r>
    </w:p>
    <w:p w:rsidR="00000000" w:rsidRPr="00940C39" w:rsidP="00940C39">
      <w:pPr>
        <w:pStyle w:val="ListBullet"/>
      </w:pPr>
      <w:r w:rsidRPr="00940C39">
        <w:t>licensing and the role of collecting societies</w:t>
      </w:r>
    </w:p>
    <w:p w:rsidR="00000000" w:rsidRPr="00940C39" w:rsidP="00940C39">
      <w:pPr>
        <w:pStyle w:val="ListBullet"/>
      </w:pPr>
      <w:r w:rsidRPr="00940C39">
        <w:t>open source copyright licences</w:t>
      </w:r>
    </w:p>
    <w:p w:rsidR="00000000" w:rsidRPr="00940C39" w:rsidP="00940C39">
      <w:pPr>
        <w:pStyle w:val="ListBullet"/>
      </w:pPr>
      <w:r w:rsidRPr="00940C39">
        <w:t>organisational policies, protocols and procedures regarding copyright and licences</w:t>
      </w:r>
    </w:p>
    <w:p w:rsidR="00000000" w:rsidRPr="00940C39" w:rsidP="00940C39">
      <w:pPr>
        <w:pStyle w:val="ListBullet"/>
      </w:pPr>
      <w:r w:rsidRPr="00940C39">
        <w:t xml:space="preserve">principal features of the Copyright Act 1968 (Commonwealth) and Copyright </w:t>
      </w:r>
      <w:r w:rsidRPr="00940C39">
        <w:t>Regulations 1969 and how they apply to an organisation and library and archive exemptions</w:t>
      </w:r>
    </w:p>
    <w:p w:rsidR="00000000" w:rsidRPr="00940C39" w:rsidP="00940C39">
      <w:pPr>
        <w:pStyle w:val="ListBullet"/>
      </w:pPr>
      <w:r w:rsidRPr="00940C39">
        <w:t>rights of copyright owners, including digital rights management</w:t>
      </w:r>
    </w:p>
    <w:p w:rsidR="00000000" w:rsidRPr="00940C39" w:rsidP="00940C39">
      <w:pPr>
        <w:pStyle w:val="ListBullet"/>
      </w:pPr>
      <w:r w:rsidRPr="00940C39">
        <w:t>sources of information and advice on copyright</w:t>
      </w:r>
    </w:p>
    <w:p w:rsidR="00000000" w:rsidRPr="00940C39" w:rsidP="00940C39">
      <w:pPr>
        <w:pStyle w:val="ListBullet"/>
      </w:pPr>
      <w:r w:rsidRPr="00940C39">
        <w:t>protocols for handling culturally sensitive material, i</w:t>
      </w:r>
      <w:r w:rsidRPr="00940C39">
        <w:t>ncluding Aboriginal and Torres Strait Islander cultural material.</w:t>
      </w:r>
    </w:p>
    <w:p w:rsidR="00000000" w:rsidRPr="00940C39" w:rsidP="00940C39">
      <w:pPr>
        <w:pStyle w:val="AllowPageBreak"/>
      </w:pPr>
    </w:p>
    <w:p w:rsidR="00000000" w:rsidRPr="00940C39" w:rsidP="00940C39">
      <w:pPr>
        <w:pStyle w:val="Heading1"/>
      </w:pPr>
      <w:bookmarkStart w:id="10" w:name="O_387594"/>
      <w:bookmarkEnd w:id="10"/>
      <w:r w:rsidRPr="00940C39">
        <w:t>Evidence Guide</w:t>
      </w:r>
    </w:p>
    <w:p w:rsidR="00000000" w:rsidRPr="00940C39" w:rsidP="00940C39">
      <w:pPr>
        <w:pStyle w:val="BodyText"/>
      </w:pPr>
      <w:r w:rsidRPr="00940C39">
        <w:rPr>
          <w:rStyle w:val="Emphasis"/>
        </w:rPr>
        <w:t>The evidence guide provides advice on assessment and must be read in conjunction with the performance criteria, required skills and knowledge, range statement</w:t>
      </w:r>
      <w:r w:rsidRPr="00940C39">
        <w:rPr>
          <w:rStyle w:val="Emphasis"/>
        </w:rPr>
        <w:t xml:space="preserve"> and the Assessment Guidelines for the Training Package.</w:t>
      </w:r>
    </w:p>
    <w:p w:rsidR="00000000" w:rsidRPr="00940C39" w:rsidP="00940C39">
      <w:pPr>
        <w:pStyle w:val="BodyText"/>
      </w:pPr>
    </w:p>
    <w:tbl>
      <w:tblPr>
        <w:tblW w:w="0" w:type="auto"/>
        <w:tblLayout w:type="fixed"/>
        <w:tblCellMar>
          <w:left w:w="62" w:type="dxa"/>
          <w:right w:w="62" w:type="dxa"/>
        </w:tblCellMar>
        <w:tblLook w:val="0000"/>
      </w:tblPr>
      <w:tblGrid>
        <w:gridCol w:w="2534"/>
        <w:gridCol w:w="6481"/>
      </w:tblGrid>
      <w:tr w:rsidTr="00940C3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p>
        </w:tc>
      </w:tr>
      <w:tr w:rsidTr="00940C3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Evidence of the ability to:</w:t>
            </w:r>
          </w:p>
          <w:p w:rsidR="00000000" w:rsidRPr="00940C39" w:rsidP="00940C39">
            <w:pPr>
              <w:pStyle w:val="ListBullet"/>
            </w:pPr>
            <w:r w:rsidRPr="00940C39">
              <w:t>source information about copyright relevant to an organisation</w:t>
            </w:r>
          </w:p>
          <w:p w:rsidR="00000000" w:rsidRPr="00940C39" w:rsidP="00940C39">
            <w:pPr>
              <w:pStyle w:val="ListBullet"/>
            </w:pPr>
            <w:r w:rsidRPr="00940C39">
              <w:t>review policies, procedures and licences to ensure compliance with legislation</w:t>
            </w:r>
          </w:p>
          <w:p w:rsidR="00000000" w:rsidP="00940C39">
            <w:pPr>
              <w:pStyle w:val="ListBullet"/>
              <w:rPr>
                <w:lang w:val="en-NZ"/>
              </w:rPr>
            </w:pPr>
            <w:r w:rsidRPr="00940C39">
              <w:t>follow procedures to minimise risk of infringements of copyright and licence conditions.</w:t>
            </w:r>
          </w:p>
        </w:tc>
      </w:tr>
      <w:tr w:rsidTr="00940C3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 xml:space="preserve">Context of and specific </w:t>
            </w:r>
            <w:r w:rsidRPr="00940C39">
              <w:rPr>
                <w:rStyle w:val="SpecialBold"/>
              </w:rPr>
              <w:t>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Assessment must ensure access to:</w:t>
            </w:r>
          </w:p>
          <w:p w:rsidR="00000000" w:rsidRPr="00940C39" w:rsidP="00940C39">
            <w:pPr>
              <w:pStyle w:val="ListBullet"/>
            </w:pPr>
            <w:r w:rsidRPr="00940C39">
              <w:t>relevant current legislation and regulations</w:t>
            </w:r>
          </w:p>
          <w:p w:rsidR="00000000" w:rsidRPr="00940C39" w:rsidP="00940C39">
            <w:pPr>
              <w:pStyle w:val="ListBullet"/>
            </w:pPr>
            <w:r w:rsidRPr="00940C39">
              <w:t>organisational policies and procedures, agreements and licences</w:t>
            </w:r>
          </w:p>
          <w:p w:rsidR="00000000" w:rsidP="00940C39">
            <w:pPr>
              <w:pStyle w:val="ListBullet"/>
              <w:rPr>
                <w:lang w:val="en-NZ"/>
              </w:rPr>
            </w:pPr>
            <w:r w:rsidRPr="00940C39">
              <w:t>appropriate computer resources for review of policies and procedures.</w:t>
            </w:r>
          </w:p>
        </w:tc>
      </w:tr>
      <w:tr w:rsidTr="00940C3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Me</w:t>
            </w:r>
            <w:r w:rsidRPr="00940C39">
              <w:rPr>
                <w:rStyle w:val="SpecialBold"/>
              </w:rPr>
              <w:t>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A range of assessment methods should be used to assess practical skills and knowledge. The following examples are appropriate for this unit:</w:t>
            </w:r>
          </w:p>
          <w:p w:rsidR="00000000" w:rsidRPr="00940C39" w:rsidP="00940C39">
            <w:pPr>
              <w:pStyle w:val="ListBullet"/>
            </w:pPr>
            <w:r w:rsidRPr="00940C39">
              <w:t>direct questioning combined with third-party workplace reports of review of portfolio of eviden</w:t>
            </w:r>
            <w:r w:rsidRPr="00940C39">
              <w:t>ce</w:t>
            </w:r>
          </w:p>
          <w:p w:rsidR="00000000" w:rsidRPr="00940C39" w:rsidP="00940C39">
            <w:pPr>
              <w:pStyle w:val="ListBullet"/>
            </w:pPr>
            <w:r w:rsidRPr="00940C39">
              <w:t>verbal or written questioning to assess knowledge of copyright and licensing, and implications for the organisation</w:t>
            </w:r>
          </w:p>
          <w:p w:rsidR="00000000" w:rsidRPr="00940C39" w:rsidP="00940C39">
            <w:pPr>
              <w:pStyle w:val="ListBullet"/>
            </w:pPr>
            <w:r w:rsidRPr="00940C39">
              <w:t>research project to assess knowledge of legislation in relation to organisational policies and procedures.</w:t>
            </w:r>
          </w:p>
          <w:p w:rsidR="00000000" w:rsidP="00940C39">
            <w:pPr>
              <w:pStyle w:val="BodyText"/>
              <w:rPr>
                <w:lang w:val="en-NZ"/>
              </w:rPr>
            </w:pPr>
            <w:r w:rsidRPr="00940C39">
              <w:t>Assessment methods should clos</w:t>
            </w:r>
            <w:r w:rsidRPr="00940C39">
              <w:t>ely reflect workplace demands and the needs of particular client groups (consider the requirements of different age groups, clients with English as a second language, clients with disabilities, remote library users, etc.).</w:t>
            </w:r>
          </w:p>
        </w:tc>
      </w:tr>
      <w:tr w:rsidTr="00940C3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SpecialBold"/>
              </w:rPr>
              <w:t>Guidance information for assessm</w:t>
            </w:r>
            <w:r w:rsidRPr="00940C39">
              <w:rPr>
                <w:rStyle w:val="SpecialBold"/>
              </w:rPr>
              <w:t>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BodyText"/>
            </w:pPr>
            <w:r w:rsidRPr="00940C39">
              <w:t>Holistic assessment with other units relevant to the industry sector, workplace and job role is recommended, for example:</w:t>
            </w:r>
          </w:p>
          <w:p w:rsidR="00000000" w:rsidRPr="00940C39" w:rsidP="00940C39">
            <w:pPr>
              <w:pStyle w:val="ListBullet"/>
            </w:pPr>
            <w:r w:rsidRPr="00940C39">
              <w:t>CULCNM502A Manage lending and borrowing processes for collections</w:t>
            </w:r>
          </w:p>
          <w:p w:rsidR="00000000" w:rsidRPr="00940C39" w:rsidP="00940C39">
            <w:pPr>
              <w:pStyle w:val="ListBullet"/>
            </w:pPr>
            <w:r w:rsidRPr="00940C39">
              <w:t>CULIND401A Consolidate and maintain industry knowledge.</w:t>
            </w:r>
          </w:p>
        </w:tc>
      </w:tr>
    </w:tbl>
    <w:p w:rsidR="00000000" w:rsidRPr="00940C39" w:rsidP="00940C39">
      <w:pPr>
        <w:pStyle w:val="BodyText"/>
      </w:pPr>
    </w:p>
    <w:p w:rsidR="00000000" w:rsidRPr="00940C39" w:rsidP="00940C39">
      <w:pPr>
        <w:pStyle w:val="AllowPageBreak"/>
      </w:pPr>
    </w:p>
    <w:p w:rsidR="00000000" w:rsidRPr="00940C39" w:rsidP="00940C39">
      <w:pPr>
        <w:pStyle w:val="Heading1"/>
      </w:pPr>
      <w:bookmarkStart w:id="11" w:name="O_387595"/>
      <w:bookmarkEnd w:id="11"/>
      <w:r w:rsidRPr="00940C39">
        <w:t>Range Statement</w:t>
      </w:r>
    </w:p>
    <w:p w:rsidR="00000000" w:rsidRPr="00940C39" w:rsidP="00940C39">
      <w:pPr>
        <w:pStyle w:val="BodyText"/>
      </w:pPr>
      <w:r w:rsidRPr="00940C39">
        <w:rPr>
          <w:rStyle w:val="Emphasis"/>
        </w:rPr>
        <w:t>The range statement relates to the unit of competency as a whole. It allows for different work environments and situations that may affect performance. Bold italicised wording, if used in the performance criteria, is detaile</w:t>
      </w:r>
      <w:r w:rsidRPr="00940C39">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940C39" w:rsidP="00940C39">
      <w:pPr>
        <w:pStyle w:val="BodyText"/>
      </w:pPr>
    </w:p>
    <w:tbl>
      <w:tblPr>
        <w:tblW w:w="0" w:type="auto"/>
        <w:tblLayout w:type="fixed"/>
        <w:tblCellMar>
          <w:left w:w="62" w:type="dxa"/>
          <w:right w:w="62" w:type="dxa"/>
        </w:tblCellMar>
        <w:tblLook w:val="0000"/>
      </w:tblPr>
      <w:tblGrid>
        <w:gridCol w:w="2539"/>
        <w:gridCol w:w="6476"/>
      </w:tblGrid>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Information sourc</w:t>
            </w:r>
            <w:r w:rsidRPr="00940C39">
              <w:rPr>
                <w:rStyle w:val="BoldandItalics"/>
              </w:rPr>
              <w:t>es</w:t>
            </w:r>
            <w:r w:rsidRPr="00940C39">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Aboriginal Artists Agency</w:t>
            </w:r>
          </w:p>
          <w:p w:rsidR="00000000" w:rsidRPr="00940C39" w:rsidP="00940C39">
            <w:pPr>
              <w:pStyle w:val="ListBullet"/>
            </w:pPr>
            <w:r w:rsidRPr="00940C39">
              <w:t>Attorney General’s Department</w:t>
            </w:r>
          </w:p>
          <w:p w:rsidR="00000000" w:rsidRPr="00940C39" w:rsidP="00940C39">
            <w:pPr>
              <w:pStyle w:val="ListBullet"/>
            </w:pPr>
            <w:r w:rsidRPr="00940C39">
              <w:t>Australian Copyright Council</w:t>
            </w:r>
          </w:p>
          <w:p w:rsidR="00000000" w:rsidRPr="00940C39" w:rsidP="00940C39">
            <w:pPr>
              <w:pStyle w:val="ListBullet"/>
            </w:pPr>
            <w:r w:rsidRPr="00940C39">
              <w:t>Australian Digital Alliance</w:t>
            </w:r>
          </w:p>
          <w:p w:rsidR="00000000" w:rsidRPr="00940C39" w:rsidP="00940C39">
            <w:pPr>
              <w:pStyle w:val="ListBullet"/>
            </w:pPr>
            <w:r w:rsidRPr="00940C39">
              <w:t>Australian Libraries Copyright Committee</w:t>
            </w:r>
          </w:p>
          <w:p w:rsidR="00000000" w:rsidRPr="00940C39" w:rsidP="00940C39">
            <w:pPr>
              <w:pStyle w:val="ListBullet"/>
            </w:pPr>
            <w:r w:rsidRPr="00940C39">
              <w:t>best practice case studies for recording and reporting on copyright and licensing</w:t>
            </w:r>
          </w:p>
          <w:p w:rsidR="00000000" w:rsidRPr="00940C39" w:rsidP="00940C39">
            <w:pPr>
              <w:pStyle w:val="ListBullet"/>
            </w:pPr>
            <w:r w:rsidRPr="00940C39">
              <w:t>com</w:t>
            </w:r>
            <w:r w:rsidRPr="00940C39">
              <w:t>monwealth and state government agencies</w:t>
            </w:r>
          </w:p>
          <w:p w:rsidR="00000000" w:rsidRPr="00940C39" w:rsidP="00940C39">
            <w:pPr>
              <w:pStyle w:val="ListBullet"/>
            </w:pPr>
            <w:r w:rsidRPr="00940C39">
              <w:t>commonwealth, state and territory law</w:t>
            </w:r>
          </w:p>
          <w:p w:rsidR="00000000" w:rsidRPr="00940C39" w:rsidP="00940C39">
            <w:pPr>
              <w:pStyle w:val="ListBullet"/>
            </w:pPr>
            <w:r w:rsidRPr="00940C39">
              <w:t>copyright collecting societies, such as:</w:t>
            </w:r>
          </w:p>
          <w:p w:rsidR="00000000" w:rsidRPr="00940C39" w:rsidP="00940C39">
            <w:pPr>
              <w:pStyle w:val="ListBullet2"/>
            </w:pPr>
            <w:r w:rsidRPr="00940C39">
              <w:t>Australasian Mechanical Copyright Owners Society (AMCOS)</w:t>
            </w:r>
          </w:p>
          <w:p w:rsidR="00000000" w:rsidRPr="00940C39" w:rsidP="00940C39">
            <w:pPr>
              <w:pStyle w:val="ListBullet2"/>
            </w:pPr>
            <w:r w:rsidRPr="00940C39">
              <w:t>Australasian Performing Right Association (APRA)</w:t>
            </w:r>
          </w:p>
          <w:p w:rsidR="00000000" w:rsidRPr="00940C39" w:rsidP="00940C39">
            <w:pPr>
              <w:pStyle w:val="ListBullet2"/>
            </w:pPr>
            <w:r w:rsidRPr="00940C39">
              <w:t>Copyright Agency Limited (CAL)</w:t>
            </w:r>
          </w:p>
          <w:p w:rsidR="00000000" w:rsidRPr="00940C39" w:rsidP="00940C39">
            <w:pPr>
              <w:pStyle w:val="ListBullet2"/>
            </w:pPr>
            <w:r w:rsidRPr="00940C39">
              <w:t>Photographic Performance Company of Australia (PPCA)</w:t>
            </w:r>
          </w:p>
          <w:p w:rsidR="00000000" w:rsidRPr="00940C39" w:rsidP="00940C39">
            <w:pPr>
              <w:pStyle w:val="ListBullet2"/>
            </w:pPr>
            <w:r w:rsidRPr="00940C39">
              <w:t>Viscopy</w:t>
            </w:r>
          </w:p>
          <w:p w:rsidR="00000000" w:rsidRPr="00940C39" w:rsidP="00940C39">
            <w:pPr>
              <w:pStyle w:val="ListBullet"/>
            </w:pPr>
            <w:r w:rsidRPr="00940C39">
              <w:t>custodians of culturally sensitive material</w:t>
            </w:r>
          </w:p>
          <w:p w:rsidR="00000000" w:rsidRPr="00940C39" w:rsidP="00940C39">
            <w:pPr>
              <w:pStyle w:val="ListBullet"/>
            </w:pPr>
            <w:r w:rsidRPr="00940C39">
              <w:t>industry associations, such as:</w:t>
            </w:r>
          </w:p>
          <w:p w:rsidR="00000000" w:rsidRPr="00940C39" w:rsidP="00940C39">
            <w:pPr>
              <w:pStyle w:val="ListBullet2"/>
            </w:pPr>
            <w:r w:rsidRPr="00940C39">
              <w:t>Australian Library and Information Association (ALIA)</w:t>
            </w:r>
          </w:p>
          <w:p w:rsidR="00000000" w:rsidRPr="00940C39" w:rsidP="00940C39">
            <w:pPr>
              <w:pStyle w:val="ListBullet2"/>
            </w:pPr>
            <w:r w:rsidRPr="00940C39">
              <w:t>Museums Australia</w:t>
            </w:r>
          </w:p>
          <w:p w:rsidR="00000000" w:rsidRPr="00940C39" w:rsidP="00940C39">
            <w:pPr>
              <w:pStyle w:val="ListBullet"/>
            </w:pPr>
            <w:r w:rsidRPr="00940C39">
              <w:t>international associations, such as Interna</w:t>
            </w:r>
            <w:r w:rsidRPr="00940C39">
              <w:t>tional Council of Museums (ICOM)</w:t>
            </w:r>
          </w:p>
          <w:p w:rsidR="00000000" w:rsidRPr="00940C39" w:rsidP="00940C39">
            <w:pPr>
              <w:pStyle w:val="ListBullet"/>
            </w:pPr>
            <w:r w:rsidRPr="00940C39">
              <w:t>lawyers specialising in intellectual property and collections law</w:t>
            </w:r>
          </w:p>
          <w:p w:rsidR="00000000" w:rsidRPr="00940C39" w:rsidP="00940C39">
            <w:pPr>
              <w:pStyle w:val="ListBullet"/>
            </w:pPr>
            <w:r w:rsidRPr="00940C39">
              <w:t>publications</w:t>
            </w:r>
          </w:p>
          <w:p w:rsidR="00000000" w:rsidRPr="00940C39" w:rsidP="00940C39">
            <w:pPr>
              <w:pStyle w:val="ListBullet"/>
            </w:pPr>
            <w:r w:rsidRPr="00940C39">
              <w:t>Smartcopying</w:t>
            </w:r>
          </w:p>
          <w:p w:rsidR="00000000" w:rsidP="00940C39">
            <w:pPr>
              <w:pStyle w:val="ListBullet"/>
              <w:rPr>
                <w:lang w:val="en-NZ"/>
              </w:rPr>
            </w:pPr>
            <w:r w:rsidRPr="00940C39">
              <w:t>websites.</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Information about copyright</w:t>
            </w:r>
            <w:r w:rsidRPr="00940C39">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audio recordings</w:t>
            </w:r>
          </w:p>
          <w:p w:rsidR="00000000" w:rsidRPr="00940C39" w:rsidP="00940C39">
            <w:pPr>
              <w:pStyle w:val="ListBullet"/>
            </w:pPr>
            <w:r w:rsidRPr="00940C39">
              <w:t>audiovisual recordings</w:t>
            </w:r>
          </w:p>
          <w:p w:rsidR="00000000" w:rsidRPr="00940C39" w:rsidP="00940C39">
            <w:pPr>
              <w:pStyle w:val="ListBullet"/>
            </w:pPr>
            <w:r w:rsidRPr="00940C39">
              <w:t>copyright as a bundle of rights, including economic and moral rights</w:t>
            </w:r>
          </w:p>
          <w:p w:rsidR="00000000" w:rsidRPr="00940C39" w:rsidP="00940C39">
            <w:pPr>
              <w:pStyle w:val="ListBullet"/>
            </w:pPr>
            <w:r w:rsidRPr="00940C39">
              <w:t>copyright for different types of material, such as:</w:t>
            </w:r>
          </w:p>
          <w:p w:rsidR="00000000" w:rsidRPr="00940C39" w:rsidP="00940C39">
            <w:pPr>
              <w:pStyle w:val="ListBullet2"/>
            </w:pPr>
            <w:r w:rsidRPr="00940C39">
              <w:t>literary works</w:t>
            </w:r>
          </w:p>
          <w:p w:rsidR="00000000" w:rsidRPr="00940C39" w:rsidP="00940C39">
            <w:pPr>
              <w:pStyle w:val="ListBullet2"/>
            </w:pPr>
            <w:r w:rsidRPr="00940C39">
              <w:t>photographs</w:t>
            </w:r>
          </w:p>
          <w:p w:rsidR="00000000" w:rsidRPr="00940C39" w:rsidP="00940C39">
            <w:pPr>
              <w:pStyle w:val="ListBullet"/>
            </w:pPr>
            <w:r w:rsidRPr="00940C39">
              <w:t>duration of copyright</w:t>
            </w:r>
          </w:p>
          <w:p w:rsidR="00000000" w:rsidRPr="00940C39" w:rsidP="00940C39">
            <w:pPr>
              <w:pStyle w:val="ListBullet"/>
            </w:pPr>
            <w:r w:rsidRPr="00940C39">
              <w:t>fair dealing and use</w:t>
            </w:r>
          </w:p>
          <w:p w:rsidR="00000000" w:rsidRPr="00940C39" w:rsidP="00940C39">
            <w:pPr>
              <w:pStyle w:val="ListBullet"/>
            </w:pPr>
            <w:r w:rsidRPr="00940C39">
              <w:t>music</w:t>
            </w:r>
          </w:p>
          <w:p w:rsidR="00000000" w:rsidRPr="00940C39" w:rsidP="00940C39">
            <w:pPr>
              <w:pStyle w:val="ListBullet"/>
            </w:pPr>
            <w:r w:rsidRPr="00940C39">
              <w:t>oral histories</w:t>
            </w:r>
          </w:p>
          <w:p w:rsidR="00000000" w:rsidP="00940C39">
            <w:pPr>
              <w:pStyle w:val="ListBullet"/>
              <w:rPr>
                <w:lang w:val="en-NZ"/>
              </w:rPr>
            </w:pPr>
            <w:r w:rsidRPr="00940C39">
              <w:t>warnings.</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Organisational procedures</w:t>
            </w:r>
            <w:r w:rsidRPr="00940C39">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acquisitions and deaccessioning</w:t>
            </w:r>
          </w:p>
          <w:p w:rsidR="00000000" w:rsidRPr="00940C39" w:rsidP="00940C39">
            <w:pPr>
              <w:pStyle w:val="ListBullet"/>
            </w:pPr>
            <w:r w:rsidRPr="00940C39">
              <w:t>copyright</w:t>
            </w:r>
          </w:p>
          <w:p w:rsidR="00000000" w:rsidRPr="00940C39" w:rsidP="00940C39">
            <w:pPr>
              <w:pStyle w:val="ListBullet"/>
            </w:pPr>
            <w:r w:rsidRPr="00940C39">
              <w:t>disposal and destruction</w:t>
            </w:r>
          </w:p>
          <w:p w:rsidR="00000000" w:rsidRPr="00940C39" w:rsidP="00940C39">
            <w:pPr>
              <w:pStyle w:val="ListBullet"/>
            </w:pPr>
            <w:r w:rsidRPr="00940C39">
              <w:t>donations</w:t>
            </w:r>
          </w:p>
          <w:p w:rsidR="00000000" w:rsidRPr="00940C39" w:rsidP="00940C39">
            <w:pPr>
              <w:pStyle w:val="ListBullet"/>
            </w:pPr>
            <w:r w:rsidRPr="00940C39">
              <w:t>exhibitions</w:t>
            </w:r>
          </w:p>
          <w:p w:rsidR="00000000" w:rsidRPr="00940C39" w:rsidP="00940C39">
            <w:pPr>
              <w:pStyle w:val="ListBullet"/>
            </w:pPr>
            <w:r w:rsidRPr="00940C39">
              <w:t>information security and access</w:t>
            </w:r>
          </w:p>
          <w:p w:rsidR="00000000" w:rsidRPr="00940C39" w:rsidP="00940C39">
            <w:pPr>
              <w:pStyle w:val="ListBullet"/>
            </w:pPr>
            <w:r w:rsidRPr="00940C39">
              <w:t>licences and digital rights management</w:t>
            </w:r>
          </w:p>
          <w:p w:rsidR="00000000" w:rsidRPr="00940C39" w:rsidP="00940C39">
            <w:pPr>
              <w:pStyle w:val="ListBullet"/>
            </w:pPr>
            <w:r w:rsidRPr="00940C39">
              <w:t>loan in and loan out of collection items</w:t>
            </w:r>
          </w:p>
          <w:p w:rsidR="00000000" w:rsidRPr="00940C39" w:rsidP="00940C39">
            <w:pPr>
              <w:pStyle w:val="ListBullet"/>
            </w:pPr>
            <w:r w:rsidRPr="00940C39">
              <w:t>privacy</w:t>
            </w:r>
          </w:p>
          <w:p w:rsidR="00000000" w:rsidRPr="00940C39" w:rsidP="00940C39">
            <w:pPr>
              <w:pStyle w:val="ListBullet"/>
            </w:pPr>
            <w:r w:rsidRPr="00940C39">
              <w:t>recording of collection items</w:t>
            </w:r>
          </w:p>
          <w:p w:rsidR="00000000" w:rsidRPr="00940C39" w:rsidP="00940C39">
            <w:pPr>
              <w:pStyle w:val="ListBullet"/>
            </w:pPr>
            <w:r w:rsidRPr="00940C39">
              <w:t>reformatting</w:t>
            </w:r>
          </w:p>
          <w:p w:rsidR="00000000" w:rsidRPr="00940C39" w:rsidP="00940C39">
            <w:pPr>
              <w:pStyle w:val="ListBullet"/>
            </w:pPr>
            <w:r w:rsidRPr="00940C39">
              <w:t>return of cultural objects</w:t>
            </w:r>
          </w:p>
          <w:p w:rsidR="00000000" w:rsidP="00940C39">
            <w:pPr>
              <w:pStyle w:val="ListBullet"/>
              <w:rPr>
                <w:lang w:val="en-NZ"/>
              </w:rPr>
            </w:pPr>
            <w:r w:rsidRPr="00940C39">
              <w:t>sponsorships.</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Copyright infringement</w:t>
            </w:r>
            <w:r w:rsidRPr="00940C39">
              <w:t xml:space="preserve"> relates to: </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direct infringement of copyright</w:t>
            </w:r>
          </w:p>
          <w:p w:rsidR="00000000" w:rsidRPr="00940C39" w:rsidP="00940C39">
            <w:pPr>
              <w:pStyle w:val="ListBullet"/>
            </w:pPr>
            <w:r w:rsidRPr="00940C39">
              <w:t>indirect infringement of copyright</w:t>
            </w:r>
          </w:p>
          <w:p w:rsidR="00000000" w:rsidRPr="00940C39" w:rsidP="00940C39">
            <w:pPr>
              <w:pStyle w:val="ListBullet"/>
            </w:pPr>
            <w:r w:rsidRPr="00940C39">
              <w:t>organisations not complying with copyright legislation</w:t>
            </w:r>
          </w:p>
          <w:p w:rsidR="00000000" w:rsidP="00940C39">
            <w:pPr>
              <w:pStyle w:val="ListBullet"/>
              <w:rPr>
                <w:lang w:val="en-NZ"/>
              </w:rPr>
            </w:pPr>
            <w:r w:rsidRPr="00940C39">
              <w:t>others infringing an organisation’</w:t>
            </w:r>
            <w:r w:rsidRPr="00940C39">
              <w:t>s copyright.</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Licences</w:t>
            </w:r>
            <w:r w:rsidRPr="00940C39">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agreements between vendors and organisations</w:t>
            </w:r>
          </w:p>
          <w:p w:rsidR="00000000" w:rsidRPr="00940C39" w:rsidP="00940C39">
            <w:pPr>
              <w:pStyle w:val="ListBullet"/>
            </w:pPr>
            <w:r w:rsidRPr="00940C39">
              <w:t>agreements with collecting societies, such as:</w:t>
            </w:r>
          </w:p>
          <w:p w:rsidR="00000000" w:rsidRPr="00940C39" w:rsidP="00940C39">
            <w:pPr>
              <w:pStyle w:val="ListBullet2"/>
            </w:pPr>
            <w:r w:rsidRPr="00940C39">
              <w:t>CAL</w:t>
            </w:r>
          </w:p>
          <w:p w:rsidR="00000000" w:rsidRPr="00940C39" w:rsidP="00940C39">
            <w:pPr>
              <w:pStyle w:val="ListBullet2"/>
            </w:pPr>
            <w:r w:rsidRPr="00940C39">
              <w:t>screenrights</w:t>
            </w:r>
          </w:p>
          <w:p w:rsidR="00000000" w:rsidRPr="00940C39" w:rsidP="00940C39">
            <w:pPr>
              <w:pStyle w:val="ListBullet2"/>
            </w:pPr>
            <w:r w:rsidRPr="00940C39">
              <w:t>AMCOS</w:t>
            </w:r>
          </w:p>
          <w:p w:rsidR="00000000" w:rsidRPr="00940C39" w:rsidP="00940C39">
            <w:pPr>
              <w:pStyle w:val="ListBullet2"/>
            </w:pPr>
            <w:r w:rsidRPr="00940C39">
              <w:t>APRA</w:t>
            </w:r>
          </w:p>
          <w:p w:rsidR="00000000" w:rsidRPr="00940C39" w:rsidP="00940C39">
            <w:pPr>
              <w:pStyle w:val="ListBullet2"/>
            </w:pPr>
            <w:r w:rsidRPr="00940C39">
              <w:t>Viscopy</w:t>
            </w:r>
          </w:p>
          <w:p w:rsidR="00000000" w:rsidRPr="00940C39" w:rsidP="00940C39">
            <w:pPr>
              <w:pStyle w:val="ListBullet2"/>
            </w:pPr>
            <w:r w:rsidRPr="00940C39">
              <w:t>Creative Commons</w:t>
            </w:r>
          </w:p>
          <w:p w:rsidR="00000000" w:rsidRPr="00940C39" w:rsidP="00940C39">
            <w:pPr>
              <w:pStyle w:val="ListBullet"/>
            </w:pPr>
            <w:r w:rsidRPr="00940C39">
              <w:t>direct agreements between parties</w:t>
            </w:r>
          </w:p>
          <w:p w:rsidR="00000000" w:rsidRPr="00940C39" w:rsidP="00940C39">
            <w:pPr>
              <w:pStyle w:val="ListBullet"/>
            </w:pPr>
            <w:r w:rsidRPr="00940C39">
              <w:t>sectoral licences</w:t>
            </w:r>
          </w:p>
          <w:p w:rsidR="00000000" w:rsidP="00940C39">
            <w:pPr>
              <w:pStyle w:val="ListBullet"/>
              <w:rPr>
                <w:lang w:val="en-NZ"/>
              </w:rPr>
            </w:pPr>
            <w:r w:rsidRPr="00940C39">
              <w:t>statutory licences, such as Parts VA and VB of the Copyright Act 1968.</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Digital rights management</w:t>
            </w:r>
            <w:r w:rsidRPr="00940C39">
              <w:t xml:space="preserve"> may relate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access and copyright</w:t>
            </w:r>
          </w:p>
          <w:p w:rsidR="00000000" w:rsidRPr="00940C39" w:rsidP="00940C39">
            <w:pPr>
              <w:pStyle w:val="ListBullet"/>
            </w:pPr>
            <w:r w:rsidRPr="00940C39">
              <w:t>right to permit members of the public to access and retrieve on a computer monitor</w:t>
            </w:r>
          </w:p>
          <w:p w:rsidR="00000000" w:rsidRPr="00940C39" w:rsidP="00940C39">
            <w:pPr>
              <w:pStyle w:val="ListBullet"/>
            </w:pPr>
            <w:r w:rsidRPr="00940C39">
              <w:t>right to reproduce material in digital form</w:t>
            </w:r>
          </w:p>
          <w:p w:rsidR="00000000" w:rsidRPr="00940C39" w:rsidP="00940C39">
            <w:pPr>
              <w:pStyle w:val="ListBullet"/>
            </w:pPr>
            <w:r w:rsidRPr="00940C39">
              <w:t>right to store and archive in a database</w:t>
            </w:r>
          </w:p>
          <w:p w:rsidR="00000000" w:rsidRPr="00940C39" w:rsidP="00940C39">
            <w:pPr>
              <w:pStyle w:val="ListBullet"/>
            </w:pPr>
            <w:r w:rsidRPr="00940C39">
              <w:t>right to transmit, distribute or otherwise make information available in digital formats, such as:</w:t>
            </w:r>
          </w:p>
          <w:p w:rsidR="00000000" w:rsidRPr="00940C39" w:rsidP="00940C39">
            <w:pPr>
              <w:pStyle w:val="ListBullet2"/>
            </w:pPr>
            <w:r w:rsidRPr="00940C39">
              <w:t>internet</w:t>
            </w:r>
          </w:p>
          <w:p w:rsidR="00000000" w:rsidRPr="00940C39" w:rsidP="00940C39">
            <w:pPr>
              <w:pStyle w:val="ListBullet2"/>
            </w:pPr>
            <w:r w:rsidRPr="00940C39">
              <w:t>intranet</w:t>
            </w:r>
          </w:p>
          <w:p w:rsidR="00000000" w:rsidP="00940C39">
            <w:pPr>
              <w:pStyle w:val="ListBullet2"/>
              <w:rPr>
                <w:lang w:val="en-NZ"/>
              </w:rPr>
            </w:pPr>
            <w:r w:rsidRPr="00940C39">
              <w:t>CD and DVD.</w:t>
            </w:r>
          </w:p>
        </w:tc>
      </w:tr>
      <w:tr w:rsidTr="00940C3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C39">
            <w:pPr>
              <w:pStyle w:val="BodyText"/>
              <w:rPr>
                <w:lang w:val="en-NZ"/>
              </w:rPr>
            </w:pPr>
            <w:r w:rsidRPr="00940C39">
              <w:rPr>
                <w:rStyle w:val="BoldandItalics"/>
              </w:rPr>
              <w:t>Donations and sponsorship</w:t>
            </w:r>
            <w:r w:rsidRPr="00940C39">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C39" w:rsidP="00940C39">
            <w:pPr>
              <w:pStyle w:val="ListBullet"/>
            </w:pPr>
            <w:r w:rsidRPr="00940C39">
              <w:t>donations to public organisations</w:t>
            </w:r>
          </w:p>
          <w:p w:rsidR="00000000" w:rsidRPr="00940C39" w:rsidP="00940C39">
            <w:pPr>
              <w:pStyle w:val="ListBullet"/>
            </w:pPr>
            <w:r w:rsidRPr="00940C39">
              <w:t>gifts</w:t>
            </w:r>
          </w:p>
          <w:p w:rsidR="00000000" w:rsidRPr="00940C39" w:rsidP="00940C39">
            <w:pPr>
              <w:pStyle w:val="ListBullet"/>
            </w:pPr>
            <w:r w:rsidRPr="00940C39">
              <w:t>bequests</w:t>
            </w:r>
          </w:p>
          <w:p w:rsidR="00000000" w:rsidRPr="00940C39" w:rsidP="00940C39">
            <w:pPr>
              <w:pStyle w:val="ListBullet"/>
            </w:pPr>
            <w:r w:rsidRPr="00940C39">
              <w:t>sponsorship arrangements</w:t>
            </w:r>
          </w:p>
          <w:p w:rsidR="00000000" w:rsidRPr="00940C39" w:rsidP="00940C39">
            <w:pPr>
              <w:pStyle w:val="ListBullet"/>
            </w:pPr>
            <w:r w:rsidRPr="00940C39">
              <w:t>tax implications.</w:t>
            </w:r>
          </w:p>
        </w:tc>
      </w:tr>
    </w:tbl>
    <w:p w:rsidR="00000000" w:rsidRPr="00940C39" w:rsidP="00940C39">
      <w:pPr>
        <w:pStyle w:val="BodyText"/>
      </w:pPr>
    </w:p>
    <w:p w:rsidR="00000000" w:rsidRPr="00940C39" w:rsidP="00940C39">
      <w:pPr>
        <w:pStyle w:val="AllowPageBreak"/>
      </w:pPr>
    </w:p>
    <w:p w:rsidR="00000000" w:rsidRPr="00940C39" w:rsidP="00940C39">
      <w:pPr>
        <w:pStyle w:val="Heading1"/>
      </w:pPr>
      <w:bookmarkStart w:id="12" w:name="O_387596"/>
      <w:bookmarkEnd w:id="12"/>
      <w:r w:rsidRPr="00940C39">
        <w:t>Unit Sector(s)</w:t>
      </w:r>
    </w:p>
    <w:p w:rsidR="00000000" w:rsidRPr="00940C39" w:rsidP="00940C39">
      <w:pPr>
        <w:pStyle w:val="BodyText"/>
      </w:pPr>
      <w:r w:rsidRPr="00940C39">
        <w:t>Risk management - Regulation, licensing and risk</w:t>
      </w:r>
    </w:p>
    <w:p w:rsidR="00000000" w:rsidRPr="00940C39" w:rsidP="00940C39"/>
    <w:sectPr w:rsidSect="00940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984" w:rsidP="00302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84" w:rsidP="00940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2984" w:rsidP="00940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2984" w:rsidP="00940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984" w:rsidP="003029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84" w:rsidP="00940C39">
    <w:pPr>
      <w:pStyle w:val="Header"/>
      <w:framePr w:wrap="around"/>
    </w:pPr>
    <w:r>
      <w:fldChar w:fldCharType="begin"/>
    </w:r>
    <w:r>
      <w:instrText xml:space="preserve"> TITLE   \* MERGEFORMAT </w:instrText>
    </w:r>
    <w:r>
      <w:fldChar w:fldCharType="separate"/>
    </w:r>
    <w:r>
      <w:t>CULRSK501A Monitor compliance with copyright and licence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984" w:rsidP="00940C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E5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86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AB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C39"/>
    <w:pPr>
      <w:spacing w:before="360" w:after="60"/>
      <w:outlineLvl w:val="0"/>
    </w:pPr>
    <w:rPr>
      <w:sz w:val="32"/>
    </w:rPr>
  </w:style>
  <w:style w:type="paragraph" w:styleId="Heading2">
    <w:name w:val="heading 2"/>
    <w:basedOn w:val="HeadingBase"/>
    <w:next w:val="BodyText"/>
    <w:link w:val="Heading2Char"/>
    <w:qFormat/>
    <w:rsid w:val="00940C39"/>
    <w:pPr>
      <w:keepLines/>
      <w:spacing w:before="240" w:after="120"/>
      <w:outlineLvl w:val="1"/>
    </w:pPr>
    <w:rPr>
      <w:sz w:val="28"/>
      <w:szCs w:val="40"/>
    </w:rPr>
  </w:style>
  <w:style w:type="paragraph" w:styleId="Heading3">
    <w:name w:val="heading 3"/>
    <w:basedOn w:val="HeadingBase"/>
    <w:next w:val="BodyText"/>
    <w:link w:val="Heading3Char"/>
    <w:qFormat/>
    <w:rsid w:val="00940C39"/>
    <w:pPr>
      <w:spacing w:before="180" w:after="120"/>
      <w:outlineLvl w:val="2"/>
    </w:pPr>
    <w:rPr>
      <w:spacing w:val="-10"/>
      <w:kern w:val="32"/>
    </w:rPr>
  </w:style>
  <w:style w:type="paragraph" w:styleId="Heading4">
    <w:name w:val="heading 4"/>
    <w:basedOn w:val="HeadingBase"/>
    <w:next w:val="BodyText"/>
    <w:link w:val="Heading4Char"/>
    <w:qFormat/>
    <w:rsid w:val="00940C39"/>
    <w:pPr>
      <w:spacing w:before="160" w:after="120"/>
      <w:outlineLvl w:val="3"/>
    </w:pPr>
    <w:rPr>
      <w:sz w:val="22"/>
    </w:rPr>
  </w:style>
  <w:style w:type="paragraph" w:styleId="Heading5">
    <w:name w:val="heading 5"/>
    <w:basedOn w:val="HeadingBase"/>
    <w:next w:val="Normal"/>
    <w:link w:val="Heading5Char"/>
    <w:qFormat/>
    <w:rsid w:val="00940C39"/>
    <w:pPr>
      <w:spacing w:before="80"/>
      <w:outlineLvl w:val="4"/>
    </w:pPr>
    <w:rPr>
      <w:color w:val="918585"/>
      <w:sz w:val="20"/>
    </w:rPr>
  </w:style>
  <w:style w:type="paragraph" w:styleId="Heading6">
    <w:name w:val="heading 6"/>
    <w:basedOn w:val="HeadingBase"/>
    <w:next w:val="Normal"/>
    <w:link w:val="Heading6Char"/>
    <w:qFormat/>
    <w:rsid w:val="00940C39"/>
    <w:pPr>
      <w:spacing w:before="60"/>
      <w:outlineLvl w:val="5"/>
    </w:pPr>
    <w:rPr>
      <w:color w:val="918585"/>
      <w:sz w:val="20"/>
    </w:rPr>
  </w:style>
  <w:style w:type="paragraph" w:styleId="Heading7">
    <w:name w:val="heading 7"/>
    <w:basedOn w:val="Normal"/>
    <w:next w:val="Normal"/>
    <w:link w:val="Heading7Char"/>
    <w:qFormat/>
    <w:rsid w:val="00940C39"/>
    <w:pPr>
      <w:ind w:left="720"/>
      <w:outlineLvl w:val="6"/>
    </w:pPr>
    <w:rPr>
      <w:i/>
    </w:rPr>
  </w:style>
  <w:style w:type="paragraph" w:styleId="Heading8">
    <w:name w:val="heading 8"/>
    <w:basedOn w:val="Normal"/>
    <w:next w:val="Normal"/>
    <w:link w:val="Heading8Char"/>
    <w:qFormat/>
    <w:rsid w:val="00940C39"/>
    <w:pPr>
      <w:ind w:left="720"/>
      <w:outlineLvl w:val="7"/>
    </w:pPr>
    <w:rPr>
      <w:i/>
    </w:rPr>
  </w:style>
  <w:style w:type="paragraph" w:styleId="Heading9">
    <w:name w:val="heading 9"/>
    <w:basedOn w:val="Normal"/>
    <w:next w:val="Normal"/>
    <w:link w:val="Heading9Char"/>
    <w:qFormat/>
    <w:rsid w:val="00940C39"/>
    <w:pPr>
      <w:ind w:left="720"/>
      <w:outlineLvl w:val="8"/>
    </w:pPr>
    <w:rPr>
      <w:i/>
    </w:rPr>
  </w:style>
  <w:style w:type="character" w:default="1" w:styleId="DefaultParagraphFont">
    <w:name w:val="Default Paragraph Font"/>
    <w:uiPriority w:val="1"/>
    <w:unhideWhenUsed/>
    <w:rsid w:val="00940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C39"/>
  </w:style>
  <w:style w:type="character" w:customStyle="1" w:styleId="Heading1Char">
    <w:name w:val="Heading 1 Char"/>
    <w:basedOn w:val="DefaultParagraphFont"/>
    <w:link w:val="Heading1"/>
    <w:rsid w:val="00940C39"/>
    <w:rPr>
      <w:rFonts w:ascii="Times New Roman" w:eastAsia="Times New Roman" w:hAnsi="Times New Roman" w:cs="Times New Roman"/>
      <w:b/>
      <w:sz w:val="32"/>
      <w:szCs w:val="20"/>
      <w:lang w:eastAsia="en-US"/>
    </w:rPr>
  </w:style>
  <w:style w:type="paragraph" w:styleId="BodyText">
    <w:name w:val="Body Text"/>
    <w:basedOn w:val="Normal"/>
    <w:link w:val="BodyTextChar"/>
    <w:rsid w:val="00940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C39"/>
    <w:rPr>
      <w:rFonts w:ascii="Times New Roman" w:eastAsia="Times New Roman" w:hAnsi="Times New Roman" w:cs="Times New Roman"/>
      <w:sz w:val="24"/>
      <w:lang w:val="en-US" w:eastAsia="en-US"/>
    </w:rPr>
  </w:style>
  <w:style w:type="paragraph" w:styleId="Footer">
    <w:name w:val="footer"/>
    <w:basedOn w:val="Normal"/>
    <w:link w:val="FooterChar"/>
    <w:rsid w:val="00940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C39"/>
    <w:rPr>
      <w:rFonts w:ascii="Times New Roman" w:eastAsia="Times New Roman" w:hAnsi="Times New Roman" w:cs="Times New Roman"/>
      <w:sz w:val="16"/>
      <w:lang w:val="en-US" w:eastAsia="en-US"/>
    </w:rPr>
  </w:style>
  <w:style w:type="paragraph" w:styleId="ListBullet">
    <w:name w:val="List Bullet"/>
    <w:basedOn w:val="List"/>
    <w:rsid w:val="00940C39"/>
    <w:pPr>
      <w:numPr>
        <w:numId w:val="14"/>
      </w:numPr>
      <w:tabs>
        <w:tab w:val="clear" w:pos="340"/>
      </w:tabs>
      <w:spacing w:before="40" w:after="40"/>
    </w:pPr>
  </w:style>
  <w:style w:type="character" w:customStyle="1" w:styleId="SpecialBold">
    <w:name w:val="Special Bold"/>
    <w:basedOn w:val="DefaultParagraphFont"/>
    <w:rsid w:val="00940C39"/>
    <w:rPr>
      <w:b/>
      <w:spacing w:val="0"/>
    </w:rPr>
  </w:style>
  <w:style w:type="paragraph" w:styleId="ListBullet2">
    <w:name w:val="List Bullet 2"/>
    <w:basedOn w:val="List2"/>
    <w:rsid w:val="00940C39"/>
    <w:pPr>
      <w:numPr>
        <w:numId w:val="15"/>
      </w:numPr>
      <w:tabs>
        <w:tab w:val="clear" w:pos="680"/>
      </w:tabs>
    </w:pPr>
  </w:style>
  <w:style w:type="paragraph" w:styleId="Header">
    <w:name w:val="header"/>
    <w:basedOn w:val="Normal"/>
    <w:link w:val="HeaderChar"/>
    <w:rsid w:val="00940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C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0C39"/>
    <w:rPr>
      <w:i/>
    </w:rPr>
  </w:style>
  <w:style w:type="paragraph" w:customStyle="1" w:styleId="SuperHeading">
    <w:name w:val="SuperHeading"/>
    <w:basedOn w:val="Normal"/>
    <w:rsid w:val="00940C39"/>
    <w:pPr>
      <w:spacing w:before="240" w:after="120"/>
      <w:outlineLvl w:val="0"/>
    </w:pPr>
    <w:rPr>
      <w:rFonts w:ascii="Times New Roman" w:hAnsi="Times New Roman"/>
      <w:b/>
      <w:sz w:val="28"/>
    </w:rPr>
  </w:style>
  <w:style w:type="paragraph" w:customStyle="1" w:styleId="AllowPageBreak">
    <w:name w:val="AllowPageBreak"/>
    <w:rsid w:val="00940C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0C39"/>
    <w:pPr>
      <w:numPr>
        <w:numId w:val="3"/>
      </w:numPr>
      <w:tabs>
        <w:tab w:val="clear" w:pos="1021"/>
      </w:tabs>
      <w:ind w:left="1037" w:hanging="357"/>
    </w:pPr>
  </w:style>
  <w:style w:type="character" w:customStyle="1" w:styleId="BoldandItalics">
    <w:name w:val="Bold and Italics"/>
    <w:qFormat/>
    <w:rsid w:val="00940C39"/>
    <w:rPr>
      <w:b/>
      <w:i/>
      <w:u w:val="none"/>
    </w:rPr>
  </w:style>
  <w:style w:type="character" w:customStyle="1" w:styleId="Heading2Char">
    <w:name w:val="Heading 2 Char"/>
    <w:basedOn w:val="DefaultParagraphFont"/>
    <w:link w:val="Heading2"/>
    <w:rsid w:val="00940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C39"/>
    <w:rPr>
      <w:rFonts w:ascii="Courier New" w:eastAsia="Times New Roman" w:hAnsi="Courier New" w:cs="Times New Roman"/>
      <w:i/>
      <w:szCs w:val="20"/>
      <w:lang w:val="en-US" w:eastAsia="en-US"/>
    </w:rPr>
  </w:style>
  <w:style w:type="paragraph" w:customStyle="1" w:styleId="HeadingBase">
    <w:name w:val="Heading Base"/>
    <w:rsid w:val="00940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C39"/>
    <w:pPr>
      <w:tabs>
        <w:tab w:val="right" w:leader="dot" w:pos="9072"/>
      </w:tabs>
      <w:ind w:left="567"/>
    </w:pPr>
    <w:rPr>
      <w:szCs w:val="22"/>
    </w:rPr>
  </w:style>
  <w:style w:type="paragraph" w:customStyle="1" w:styleId="TOCBase">
    <w:name w:val="TOC Base"/>
    <w:rsid w:val="00940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C39"/>
    <w:pPr>
      <w:tabs>
        <w:tab w:val="right" w:leader="dot" w:pos="9072"/>
      </w:tabs>
      <w:spacing w:before="40" w:after="40"/>
      <w:ind w:left="284"/>
    </w:pPr>
    <w:rPr>
      <w:rFonts w:ascii="Times New Roman" w:hAnsi="Times New Roman"/>
    </w:rPr>
  </w:style>
  <w:style w:type="paragraph" w:styleId="TOC1">
    <w:name w:val="toc 1"/>
    <w:basedOn w:val="TOCBase"/>
    <w:next w:val="Normal"/>
    <w:rsid w:val="00940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C39"/>
    <w:pPr>
      <w:spacing w:before="5040"/>
      <w:jc w:val="center"/>
    </w:pPr>
    <w:rPr>
      <w:sz w:val="48"/>
      <w:szCs w:val="72"/>
      <w:lang w:val="en-US"/>
    </w:rPr>
  </w:style>
  <w:style w:type="character" w:customStyle="1" w:styleId="TitleChar">
    <w:name w:val="Title Char"/>
    <w:basedOn w:val="DefaultParagraphFont"/>
    <w:link w:val="Title"/>
    <w:rsid w:val="00940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C39"/>
    <w:pPr>
      <w:tabs>
        <w:tab w:val="left" w:pos="3600"/>
        <w:tab w:val="left" w:pos="3958"/>
      </w:tabs>
    </w:pPr>
  </w:style>
  <w:style w:type="paragraph" w:styleId="List">
    <w:name w:val="List"/>
    <w:basedOn w:val="BodyText"/>
    <w:next w:val="BodyText"/>
    <w:rsid w:val="00940C39"/>
    <w:pPr>
      <w:tabs>
        <w:tab w:val="left" w:pos="340"/>
      </w:tabs>
      <w:spacing w:before="60" w:after="60"/>
      <w:ind w:left="340" w:hanging="340"/>
    </w:pPr>
  </w:style>
  <w:style w:type="paragraph" w:customStyle="1" w:styleId="Note">
    <w:name w:val="Note"/>
    <w:basedOn w:val="BodyText"/>
    <w:rsid w:val="00940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C39"/>
    <w:pPr>
      <w:framePr w:wrap="auto" w:hAnchor="text" w:y="6049"/>
    </w:pPr>
    <w:rPr>
      <w:color w:val="000000"/>
      <w:sz w:val="40"/>
    </w:rPr>
  </w:style>
  <w:style w:type="paragraph" w:customStyle="1" w:styleId="TOCTitle">
    <w:name w:val="TOCTitle"/>
    <w:basedOn w:val="Heading1"/>
    <w:rsid w:val="00940C39"/>
    <w:pPr>
      <w:spacing w:after="240"/>
      <w:jc w:val="center"/>
      <w:outlineLvl w:val="9"/>
    </w:pPr>
    <w:rPr>
      <w:caps/>
    </w:rPr>
  </w:style>
  <w:style w:type="paragraph" w:customStyle="1" w:styleId="Version">
    <w:name w:val="Version"/>
    <w:rsid w:val="00940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C39"/>
    <w:pPr>
      <w:keepNext w:val="0"/>
      <w:tabs>
        <w:tab w:val="right" w:pos="4176"/>
      </w:tabs>
      <w:ind w:left="198" w:hanging="198"/>
    </w:pPr>
    <w:rPr>
      <w:rFonts w:ascii="Garamond" w:hAnsi="Garamond"/>
    </w:rPr>
  </w:style>
  <w:style w:type="paragraph" w:styleId="IndexHeading">
    <w:name w:val="index heading"/>
    <w:basedOn w:val="Normal"/>
    <w:next w:val="Index1"/>
    <w:semiHidden/>
    <w:rsid w:val="00940C39"/>
    <w:pPr>
      <w:spacing w:before="120" w:after="120"/>
    </w:pPr>
    <w:rPr>
      <w:rFonts w:ascii="Arial" w:hAnsi="Arial"/>
      <w:b/>
      <w:color w:val="918585"/>
      <w:sz w:val="24"/>
    </w:rPr>
  </w:style>
  <w:style w:type="paragraph" w:customStyle="1" w:styleId="Chapter">
    <w:name w:val="Chapter"/>
    <w:basedOn w:val="Normal"/>
    <w:rsid w:val="00940C39"/>
    <w:pPr>
      <w:spacing w:before="240"/>
    </w:pPr>
    <w:rPr>
      <w:rFonts w:ascii="Times New Roman" w:hAnsi="Times New Roman"/>
      <w:smallCaps/>
      <w:spacing w:val="80"/>
      <w:sz w:val="28"/>
    </w:rPr>
  </w:style>
  <w:style w:type="paragraph" w:customStyle="1" w:styleId="InChapter">
    <w:name w:val="InChapter"/>
    <w:basedOn w:val="Heading3"/>
    <w:rsid w:val="00940C39"/>
    <w:pPr>
      <w:spacing w:after="240"/>
      <w:outlineLvl w:val="9"/>
    </w:pPr>
    <w:rPr>
      <w:noProof/>
    </w:rPr>
  </w:style>
  <w:style w:type="paragraph" w:styleId="Index2">
    <w:name w:val="index 2"/>
    <w:basedOn w:val="Normal"/>
    <w:next w:val="Normal"/>
    <w:semiHidden/>
    <w:rsid w:val="00940C39"/>
    <w:pPr>
      <w:tabs>
        <w:tab w:val="right" w:pos="4176"/>
      </w:tabs>
      <w:ind w:left="568" w:hanging="284"/>
    </w:pPr>
    <w:rPr>
      <w:rFonts w:ascii="Garamond" w:hAnsi="Garamond"/>
    </w:rPr>
  </w:style>
  <w:style w:type="paragraph" w:customStyle="1" w:styleId="Byline">
    <w:name w:val="Byline"/>
    <w:rsid w:val="00940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C39"/>
    <w:pPr>
      <w:tabs>
        <w:tab w:val="clear" w:pos="3600"/>
        <w:tab w:val="clear" w:pos="3958"/>
      </w:tabs>
      <w:jc w:val="right"/>
    </w:pPr>
  </w:style>
  <w:style w:type="paragraph" w:styleId="Caption">
    <w:name w:val="caption"/>
    <w:basedOn w:val="BodyText"/>
    <w:next w:val="Normal"/>
    <w:qFormat/>
    <w:rsid w:val="00940C39"/>
    <w:pPr>
      <w:framePr w:w="2268" w:hSpace="181" w:vSpace="181" w:wrap="around" w:vAnchor="text" w:hAnchor="page" w:x="1135" w:y="285" w:anchorLock="1"/>
    </w:pPr>
    <w:rPr>
      <w:i/>
    </w:rPr>
  </w:style>
  <w:style w:type="paragraph" w:customStyle="1" w:styleId="MiniTOCTitle">
    <w:name w:val="MiniTOCTitle"/>
    <w:basedOn w:val="Heading4"/>
    <w:rsid w:val="00940C39"/>
    <w:pPr>
      <w:spacing w:before="240"/>
      <w:outlineLvl w:val="9"/>
    </w:pPr>
    <w:rPr>
      <w:noProof/>
      <w:sz w:val="24"/>
    </w:rPr>
  </w:style>
  <w:style w:type="paragraph" w:customStyle="1" w:styleId="MiniTOCItem">
    <w:name w:val="MiniTOCItem"/>
    <w:basedOn w:val="ListBullet"/>
    <w:rsid w:val="00940C39"/>
    <w:pPr>
      <w:numPr>
        <w:numId w:val="0"/>
      </w:numPr>
      <w:tabs>
        <w:tab w:val="right" w:leader="dot" w:pos="6521"/>
      </w:tabs>
      <w:spacing w:before="0" w:after="0"/>
    </w:pPr>
  </w:style>
  <w:style w:type="paragraph" w:customStyle="1" w:styleId="TOFTitle">
    <w:name w:val="TOFTitle"/>
    <w:basedOn w:val="TOCTitle"/>
    <w:rsid w:val="00940C39"/>
  </w:style>
  <w:style w:type="paragraph" w:styleId="TableofFigures">
    <w:name w:val="table of figures"/>
    <w:basedOn w:val="Normal"/>
    <w:next w:val="Normal"/>
    <w:semiHidden/>
    <w:rsid w:val="00940C39"/>
    <w:pPr>
      <w:tabs>
        <w:tab w:val="right" w:leader="dot" w:pos="9072"/>
      </w:tabs>
      <w:ind w:left="970" w:hanging="403"/>
    </w:pPr>
    <w:rPr>
      <w:rFonts w:ascii="Times New Roman" w:hAnsi="Times New Roman"/>
      <w:b/>
    </w:rPr>
  </w:style>
  <w:style w:type="paragraph" w:styleId="ListNumber">
    <w:name w:val="List Number"/>
    <w:basedOn w:val="List"/>
    <w:rsid w:val="00940C39"/>
    <w:pPr>
      <w:numPr>
        <w:numId w:val="12"/>
      </w:numPr>
    </w:pPr>
  </w:style>
  <w:style w:type="character" w:customStyle="1" w:styleId="WingdingSymbols">
    <w:name w:val="Wingding Symbols"/>
    <w:rsid w:val="00940C39"/>
    <w:rPr>
      <w:rFonts w:ascii="Wingdings" w:hAnsi="Wingdings"/>
    </w:rPr>
  </w:style>
  <w:style w:type="paragraph" w:customStyle="1" w:styleId="TableHeading">
    <w:name w:val="Table Heading"/>
    <w:basedOn w:val="HeadingBase"/>
    <w:rsid w:val="00940C39"/>
    <w:pPr>
      <w:keepLines/>
      <w:pBdr>
        <w:bottom w:val="single" w:sz="6" w:space="1" w:color="918585"/>
      </w:pBdr>
      <w:spacing w:before="240"/>
    </w:pPr>
  </w:style>
  <w:style w:type="character" w:customStyle="1" w:styleId="HotSpot">
    <w:name w:val="HotSpot"/>
    <w:rsid w:val="00940C39"/>
    <w:rPr>
      <w:color w:val="0033CC"/>
      <w:u w:val="none"/>
    </w:rPr>
  </w:style>
  <w:style w:type="paragraph" w:customStyle="1" w:styleId="BodyTextRight">
    <w:name w:val="Body Text Right"/>
    <w:basedOn w:val="BodyText"/>
    <w:rsid w:val="00940C39"/>
    <w:pPr>
      <w:spacing w:before="0" w:after="0"/>
      <w:jc w:val="right"/>
    </w:pPr>
  </w:style>
  <w:style w:type="paragraph" w:styleId="Index3">
    <w:name w:val="index 3"/>
    <w:basedOn w:val="ListNumber2"/>
    <w:next w:val="Normal"/>
    <w:semiHidden/>
    <w:rsid w:val="00940C39"/>
    <w:pPr>
      <w:numPr>
        <w:numId w:val="0"/>
      </w:numPr>
      <w:tabs>
        <w:tab w:val="right" w:leader="dot" w:pos="4176"/>
      </w:tabs>
    </w:pPr>
  </w:style>
  <w:style w:type="paragraph" w:styleId="ListNumber2">
    <w:name w:val="List Number 2"/>
    <w:basedOn w:val="List2"/>
    <w:rsid w:val="00940C39"/>
    <w:pPr>
      <w:numPr>
        <w:numId w:val="11"/>
      </w:numPr>
      <w:tabs>
        <w:tab w:val="clear" w:pos="1060"/>
      </w:tabs>
    </w:pPr>
  </w:style>
  <w:style w:type="paragraph" w:customStyle="1" w:styleId="MarginNote">
    <w:name w:val="Margin Note"/>
    <w:basedOn w:val="BodyText"/>
    <w:rsid w:val="00940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C39"/>
    <w:rPr>
      <w:sz w:val="32"/>
    </w:rPr>
  </w:style>
  <w:style w:type="paragraph" w:customStyle="1" w:styleId="HeadingProcedure">
    <w:name w:val="Heading Procedure"/>
    <w:basedOn w:val="HeadingBase"/>
    <w:next w:val="Normal"/>
    <w:rsid w:val="00940C39"/>
    <w:pPr>
      <w:tabs>
        <w:tab w:val="left" w:pos="0"/>
      </w:tabs>
      <w:spacing w:before="120" w:after="60"/>
    </w:pPr>
    <w:rPr>
      <w:i/>
      <w:color w:val="918585"/>
      <w:sz w:val="22"/>
    </w:rPr>
  </w:style>
  <w:style w:type="paragraph" w:customStyle="1" w:styleId="TableBodyText">
    <w:name w:val="Table Body Text"/>
    <w:basedOn w:val="BodyText"/>
    <w:rsid w:val="00940C39"/>
    <w:pPr>
      <w:spacing w:before="60" w:after="60"/>
    </w:pPr>
  </w:style>
  <w:style w:type="paragraph" w:styleId="ListContinue">
    <w:name w:val="List Continue"/>
    <w:basedOn w:val="List"/>
    <w:rsid w:val="00940C39"/>
    <w:pPr>
      <w:ind w:firstLine="0"/>
    </w:pPr>
  </w:style>
  <w:style w:type="paragraph" w:customStyle="1" w:styleId="ListNote">
    <w:name w:val="List Note"/>
    <w:basedOn w:val="List"/>
    <w:rsid w:val="00940C39"/>
    <w:pPr>
      <w:pBdr>
        <w:top w:val="single" w:sz="6" w:space="2" w:color="918585"/>
        <w:bottom w:val="single" w:sz="6" w:space="2" w:color="918585"/>
      </w:pBdr>
      <w:tabs>
        <w:tab w:val="left" w:pos="1021"/>
      </w:tabs>
      <w:ind w:firstLine="0"/>
    </w:pPr>
  </w:style>
  <w:style w:type="paragraph" w:customStyle="1" w:styleId="Warning">
    <w:name w:val="Warning"/>
    <w:basedOn w:val="BodyText"/>
    <w:rsid w:val="00940C39"/>
    <w:pPr>
      <w:shd w:val="clear" w:color="auto" w:fill="D9D9D9"/>
      <w:tabs>
        <w:tab w:val="left" w:pos="992"/>
      </w:tabs>
      <w:ind w:left="119" w:right="119"/>
    </w:pPr>
    <w:rPr>
      <w:sz w:val="20"/>
    </w:rPr>
  </w:style>
  <w:style w:type="paragraph" w:customStyle="1" w:styleId="MarginIcons">
    <w:name w:val="Margin Icons"/>
    <w:basedOn w:val="BodyText"/>
    <w:rsid w:val="00940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C39"/>
    <w:rPr>
      <w:rFonts w:ascii="Courier New" w:hAnsi="Courier New"/>
    </w:rPr>
  </w:style>
  <w:style w:type="paragraph" w:customStyle="1" w:styleId="NoteBullet">
    <w:name w:val="Note Bullet"/>
    <w:basedOn w:val="Note"/>
    <w:rsid w:val="00940C39"/>
    <w:pPr>
      <w:tabs>
        <w:tab w:val="clear" w:pos="680"/>
      </w:tabs>
      <w:spacing w:before="60" w:after="60"/>
    </w:pPr>
  </w:style>
  <w:style w:type="paragraph" w:customStyle="1" w:styleId="SubHeading2">
    <w:name w:val="SubHeading2"/>
    <w:basedOn w:val="HeadingBase"/>
    <w:rsid w:val="00940C39"/>
    <w:pPr>
      <w:spacing w:before="240" w:after="60"/>
    </w:pPr>
    <w:rPr>
      <w:sz w:val="20"/>
    </w:rPr>
  </w:style>
  <w:style w:type="paragraph" w:customStyle="1" w:styleId="SubHeading1">
    <w:name w:val="SubHeading1"/>
    <w:basedOn w:val="HeadingBase"/>
    <w:rsid w:val="00940C39"/>
    <w:pPr>
      <w:spacing w:before="240" w:after="60"/>
    </w:pPr>
    <w:rPr>
      <w:color w:val="918585"/>
      <w:sz w:val="22"/>
    </w:rPr>
  </w:style>
  <w:style w:type="paragraph" w:customStyle="1" w:styleId="SideHeading">
    <w:name w:val="Side Heading"/>
    <w:basedOn w:val="HeadingBase"/>
    <w:rsid w:val="00940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C39"/>
    <w:pPr>
      <w:numPr>
        <w:numId w:val="13"/>
      </w:numPr>
    </w:pPr>
  </w:style>
  <w:style w:type="paragraph" w:styleId="PlainText">
    <w:name w:val="Plain Text"/>
    <w:basedOn w:val="Normal"/>
    <w:link w:val="PlainTextChar"/>
    <w:rsid w:val="00940C39"/>
    <w:rPr>
      <w:sz w:val="20"/>
    </w:rPr>
  </w:style>
  <w:style w:type="character" w:customStyle="1" w:styleId="PlainTextChar">
    <w:name w:val="Plain Text Char"/>
    <w:basedOn w:val="DefaultParagraphFont"/>
    <w:link w:val="PlainText"/>
    <w:rsid w:val="00940C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C39"/>
    <w:rPr>
      <w:b/>
      <w:smallCaps/>
    </w:rPr>
  </w:style>
  <w:style w:type="paragraph" w:customStyle="1" w:styleId="TableListNumber">
    <w:name w:val="Table List Number"/>
    <w:basedOn w:val="ListNumber"/>
    <w:rsid w:val="00940C39"/>
    <w:pPr>
      <w:numPr>
        <w:numId w:val="0"/>
      </w:numPr>
    </w:pPr>
  </w:style>
  <w:style w:type="paragraph" w:styleId="TOC4">
    <w:name w:val="toc 4"/>
    <w:basedOn w:val="TOCBase"/>
    <w:next w:val="Normal"/>
    <w:semiHidden/>
    <w:rsid w:val="00940C39"/>
    <w:pPr>
      <w:tabs>
        <w:tab w:val="right" w:leader="dot" w:pos="9071"/>
      </w:tabs>
      <w:ind w:left="1701"/>
    </w:pPr>
  </w:style>
  <w:style w:type="paragraph" w:customStyle="1" w:styleId="ListAlpha">
    <w:name w:val="List Alpha"/>
    <w:basedOn w:val="List"/>
    <w:rsid w:val="00940C39"/>
    <w:pPr>
      <w:numPr>
        <w:numId w:val="10"/>
      </w:numPr>
    </w:pPr>
  </w:style>
  <w:style w:type="paragraph" w:customStyle="1" w:styleId="ListAlpha2">
    <w:name w:val="List Alpha 2"/>
    <w:basedOn w:val="List2"/>
    <w:rsid w:val="00940C39"/>
    <w:pPr>
      <w:numPr>
        <w:numId w:val="9"/>
      </w:numPr>
    </w:pPr>
  </w:style>
  <w:style w:type="paragraph" w:styleId="List2">
    <w:name w:val="List 2"/>
    <w:basedOn w:val="BodyText"/>
    <w:rsid w:val="00940C39"/>
    <w:pPr>
      <w:tabs>
        <w:tab w:val="left" w:pos="680"/>
      </w:tabs>
      <w:spacing w:before="60" w:after="60"/>
      <w:ind w:left="680" w:hanging="340"/>
    </w:pPr>
  </w:style>
  <w:style w:type="paragraph" w:styleId="List3">
    <w:name w:val="List 3"/>
    <w:basedOn w:val="BodyText"/>
    <w:rsid w:val="00940C39"/>
    <w:pPr>
      <w:tabs>
        <w:tab w:val="left" w:pos="1021"/>
      </w:tabs>
      <w:spacing w:before="60" w:after="60"/>
      <w:ind w:left="1020" w:hanging="340"/>
    </w:pPr>
  </w:style>
  <w:style w:type="paragraph" w:styleId="List4">
    <w:name w:val="List 4"/>
    <w:basedOn w:val="BodyText"/>
    <w:rsid w:val="00940C39"/>
    <w:pPr>
      <w:tabs>
        <w:tab w:val="left" w:pos="1361"/>
      </w:tabs>
      <w:spacing w:before="60" w:after="60"/>
      <w:ind w:left="1361" w:hanging="340"/>
    </w:pPr>
  </w:style>
  <w:style w:type="paragraph" w:styleId="List5">
    <w:name w:val="List 5"/>
    <w:basedOn w:val="BodyText"/>
    <w:rsid w:val="00940C39"/>
    <w:pPr>
      <w:tabs>
        <w:tab w:val="left" w:pos="1701"/>
      </w:tabs>
      <w:spacing w:before="60" w:after="60"/>
      <w:ind w:left="1701" w:hanging="340"/>
    </w:pPr>
  </w:style>
  <w:style w:type="paragraph" w:styleId="ListBullet4">
    <w:name w:val="List Bullet 4"/>
    <w:basedOn w:val="List4"/>
    <w:rsid w:val="00940C39"/>
    <w:pPr>
      <w:numPr>
        <w:numId w:val="4"/>
      </w:numPr>
    </w:pPr>
  </w:style>
  <w:style w:type="paragraph" w:styleId="ListBullet5">
    <w:name w:val="List Bullet 5"/>
    <w:basedOn w:val="List5"/>
    <w:rsid w:val="00940C39"/>
    <w:pPr>
      <w:numPr>
        <w:numId w:val="5"/>
      </w:numPr>
    </w:pPr>
  </w:style>
  <w:style w:type="paragraph" w:styleId="ListContinue2">
    <w:name w:val="List Continue 2"/>
    <w:basedOn w:val="List2"/>
    <w:rsid w:val="00940C39"/>
    <w:pPr>
      <w:ind w:firstLine="0"/>
    </w:pPr>
  </w:style>
  <w:style w:type="paragraph" w:styleId="ListContinue3">
    <w:name w:val="List Continue 3"/>
    <w:basedOn w:val="List3"/>
    <w:rsid w:val="00940C39"/>
    <w:pPr>
      <w:ind w:left="1021" w:firstLine="0"/>
    </w:pPr>
  </w:style>
  <w:style w:type="paragraph" w:styleId="ListContinue4">
    <w:name w:val="List Continue 4"/>
    <w:basedOn w:val="List4"/>
    <w:rsid w:val="00940C39"/>
    <w:pPr>
      <w:ind w:firstLine="0"/>
    </w:pPr>
  </w:style>
  <w:style w:type="paragraph" w:styleId="ListContinue5">
    <w:name w:val="List Continue 5"/>
    <w:basedOn w:val="List5"/>
    <w:rsid w:val="00940C39"/>
    <w:pPr>
      <w:ind w:firstLine="0"/>
    </w:pPr>
  </w:style>
  <w:style w:type="paragraph" w:styleId="ListNumber3">
    <w:name w:val="List Number 3"/>
    <w:basedOn w:val="List3"/>
    <w:rsid w:val="00940C39"/>
    <w:pPr>
      <w:numPr>
        <w:numId w:val="6"/>
      </w:numPr>
    </w:pPr>
  </w:style>
  <w:style w:type="paragraph" w:styleId="ListNumber4">
    <w:name w:val="List Number 4"/>
    <w:basedOn w:val="List4"/>
    <w:rsid w:val="00940C39"/>
    <w:pPr>
      <w:numPr>
        <w:numId w:val="7"/>
      </w:numPr>
    </w:pPr>
  </w:style>
  <w:style w:type="paragraph" w:styleId="ListNumber5">
    <w:name w:val="List Number 5"/>
    <w:basedOn w:val="List5"/>
    <w:rsid w:val="00940C39"/>
    <w:pPr>
      <w:numPr>
        <w:numId w:val="8"/>
      </w:numPr>
    </w:pPr>
  </w:style>
  <w:style w:type="paragraph" w:styleId="BlockText">
    <w:name w:val="Block Text"/>
    <w:basedOn w:val="Normal"/>
    <w:rsid w:val="00940C39"/>
    <w:pPr>
      <w:spacing w:after="120"/>
      <w:ind w:left="1440" w:right="1440"/>
    </w:pPr>
  </w:style>
  <w:style w:type="character" w:customStyle="1" w:styleId="Subscript">
    <w:name w:val="Subscript"/>
    <w:basedOn w:val="DefaultParagraphFont"/>
    <w:rsid w:val="00940C39"/>
    <w:rPr>
      <w:sz w:val="16"/>
      <w:vertAlign w:val="subscript"/>
    </w:rPr>
  </w:style>
  <w:style w:type="character" w:customStyle="1" w:styleId="Superscript">
    <w:name w:val="Superscript"/>
    <w:basedOn w:val="DefaultParagraphFont"/>
    <w:rsid w:val="00940C39"/>
    <w:rPr>
      <w:sz w:val="16"/>
      <w:vertAlign w:val="superscript"/>
    </w:rPr>
  </w:style>
  <w:style w:type="character" w:customStyle="1" w:styleId="Symbols">
    <w:name w:val="Symbols"/>
    <w:basedOn w:val="DefaultParagraphFont"/>
    <w:rsid w:val="00940C39"/>
    <w:rPr>
      <w:rFonts w:ascii="Symbol" w:hAnsi="Symbol"/>
    </w:rPr>
  </w:style>
  <w:style w:type="character" w:customStyle="1" w:styleId="MenuOptions">
    <w:name w:val="Menu Options"/>
    <w:basedOn w:val="DefaultParagraphFont"/>
    <w:rsid w:val="00940C39"/>
    <w:rPr>
      <w:rFonts w:ascii="Arial Narrow" w:hAnsi="Arial Narrow"/>
      <w:smallCaps/>
    </w:rPr>
  </w:style>
  <w:style w:type="character" w:customStyle="1" w:styleId="Buttons">
    <w:name w:val="Buttons"/>
    <w:basedOn w:val="DefaultParagraphFont"/>
    <w:rsid w:val="00940C39"/>
    <w:rPr>
      <w:b/>
    </w:rPr>
  </w:style>
  <w:style w:type="character" w:customStyle="1" w:styleId="Underlined">
    <w:name w:val="Underlined"/>
    <w:basedOn w:val="DefaultParagraphFont"/>
    <w:rsid w:val="00940C39"/>
    <w:rPr>
      <w:u w:val="single"/>
    </w:rPr>
  </w:style>
  <w:style w:type="paragraph" w:customStyle="1" w:styleId="TableBodyTextRight">
    <w:name w:val="Table Body Text Right"/>
    <w:basedOn w:val="TableBodyText"/>
    <w:rsid w:val="00940C39"/>
    <w:pPr>
      <w:widowControl w:val="0"/>
      <w:autoSpaceDE w:val="0"/>
      <w:autoSpaceDN w:val="0"/>
      <w:adjustRightInd w:val="0"/>
      <w:jc w:val="right"/>
    </w:pPr>
    <w:rPr>
      <w:rFonts w:cs="Arial"/>
      <w:szCs w:val="18"/>
    </w:rPr>
  </w:style>
  <w:style w:type="paragraph" w:customStyle="1" w:styleId="CopyrightText">
    <w:name w:val="Copyright Text"/>
    <w:basedOn w:val="BodyText"/>
    <w:rsid w:val="00940C39"/>
    <w:rPr>
      <w:sz w:val="18"/>
    </w:rPr>
  </w:style>
  <w:style w:type="paragraph" w:customStyle="1" w:styleId="BodySmallRight">
    <w:name w:val="Body Small Right"/>
    <w:basedOn w:val="BodyTextRight"/>
    <w:rsid w:val="00940C39"/>
    <w:rPr>
      <w:sz w:val="18"/>
      <w:szCs w:val="18"/>
    </w:rPr>
  </w:style>
  <w:style w:type="paragraph" w:customStyle="1" w:styleId="MarginEdition">
    <w:name w:val="Margin Edition"/>
    <w:basedOn w:val="MarginNote"/>
    <w:rsid w:val="00940C39"/>
    <w:pPr>
      <w:spacing w:before="0" w:after="0"/>
    </w:pPr>
    <w:rPr>
      <w:rFonts w:ascii="Times New Roman" w:hAnsi="Times New Roman"/>
      <w:color w:val="999999"/>
    </w:rPr>
  </w:style>
  <w:style w:type="paragraph" w:customStyle="1" w:styleId="Spacer">
    <w:name w:val="Spacer"/>
    <w:basedOn w:val="Normal"/>
    <w:rsid w:val="00940C39"/>
    <w:rPr>
      <w:sz w:val="2"/>
      <w:szCs w:val="2"/>
    </w:rPr>
  </w:style>
  <w:style w:type="character" w:customStyle="1" w:styleId="Small">
    <w:name w:val="Small"/>
    <w:basedOn w:val="DefaultParagraphFont"/>
    <w:rsid w:val="00940C39"/>
    <w:rPr>
      <w:sz w:val="16"/>
    </w:rPr>
  </w:style>
  <w:style w:type="paragraph" w:customStyle="1" w:styleId="WideTable">
    <w:name w:val="Wide Table"/>
    <w:basedOn w:val="Normal"/>
    <w:rsid w:val="00940C39"/>
    <w:pPr>
      <w:ind w:left="-1418"/>
    </w:pPr>
    <w:rPr>
      <w:sz w:val="2"/>
      <w:szCs w:val="2"/>
    </w:rPr>
  </w:style>
  <w:style w:type="character" w:styleId="PageNumber">
    <w:name w:val="page number"/>
    <w:basedOn w:val="DefaultParagraphFont"/>
    <w:rsid w:val="00940C39"/>
  </w:style>
  <w:style w:type="paragraph" w:styleId="Quote">
    <w:name w:val="Quote"/>
    <w:basedOn w:val="Heading1"/>
    <w:link w:val="QuoteChar"/>
    <w:qFormat/>
    <w:rsid w:val="00940C39"/>
    <w:rPr>
      <w:b w:val="0"/>
      <w:sz w:val="72"/>
      <w:szCs w:val="72"/>
      <w:lang w:val="en-NZ"/>
    </w:rPr>
  </w:style>
  <w:style w:type="character" w:customStyle="1" w:styleId="QuoteChar">
    <w:name w:val="Quote Char"/>
    <w:basedOn w:val="DefaultParagraphFont"/>
    <w:link w:val="Quote"/>
    <w:rsid w:val="00940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C39"/>
    <w:pPr>
      <w:pageBreakBefore/>
    </w:pPr>
  </w:style>
  <w:style w:type="paragraph" w:customStyle="1" w:styleId="Border">
    <w:name w:val="Border"/>
    <w:basedOn w:val="Normal"/>
    <w:qFormat/>
    <w:rsid w:val="00940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C39"/>
    <w:rPr>
      <w:b/>
      <w:bCs/>
      <w:i/>
      <w:iCs/>
      <w:color w:val="auto"/>
    </w:rPr>
  </w:style>
  <w:style w:type="paragraph" w:styleId="IntenseQuote">
    <w:name w:val="Intense Quote"/>
    <w:basedOn w:val="Normal"/>
    <w:next w:val="Normal"/>
    <w:link w:val="IntenseQuoteChar"/>
    <w:uiPriority w:val="30"/>
    <w:qFormat/>
    <w:rsid w:val="00940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C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C39"/>
    <w:rPr>
      <w:smallCaps/>
      <w:color w:val="auto"/>
      <w:u w:val="single"/>
    </w:rPr>
  </w:style>
  <w:style w:type="character" w:styleId="IntenseReference">
    <w:name w:val="Intense Reference"/>
    <w:basedOn w:val="DefaultParagraphFont"/>
    <w:uiPriority w:val="32"/>
    <w:qFormat/>
    <w:rsid w:val="00940C39"/>
    <w:rPr>
      <w:b/>
      <w:bCs/>
      <w:smallCaps/>
      <w:color w:val="auto"/>
      <w:spacing w:val="5"/>
      <w:u w:val="single"/>
    </w:rPr>
  </w:style>
  <w:style w:type="paragraph" w:customStyle="1" w:styleId="2ColumnHeading">
    <w:name w:val="2Column Heading"/>
    <w:basedOn w:val="BodyText"/>
    <w:qFormat/>
    <w:rsid w:val="00940C39"/>
    <w:pPr>
      <w:spacing w:after="60"/>
      <w:ind w:left="-2268"/>
    </w:pPr>
    <w:rPr>
      <w:b/>
    </w:rPr>
  </w:style>
  <w:style w:type="paragraph" w:customStyle="1" w:styleId="Heading1TOC">
    <w:name w:val="Heading1 TOC"/>
    <w:basedOn w:val="Normal"/>
    <w:qFormat/>
    <w:rsid w:val="00940C39"/>
    <w:pPr>
      <w:spacing w:before="240" w:after="120"/>
    </w:pPr>
    <w:rPr>
      <w:rFonts w:ascii="Times New Roman" w:hAnsi="Times New Roman"/>
      <w:b/>
      <w:sz w:val="32"/>
    </w:rPr>
  </w:style>
  <w:style w:type="paragraph" w:customStyle="1" w:styleId="Heading2TOC">
    <w:name w:val="Heading2 TOC"/>
    <w:basedOn w:val="Normal"/>
    <w:qFormat/>
    <w:rsid w:val="00940C39"/>
    <w:pPr>
      <w:spacing w:before="240" w:after="60"/>
    </w:pPr>
    <w:rPr>
      <w:rFonts w:ascii="Times New Roman" w:hAnsi="Times New Roman"/>
      <w:b/>
      <w:sz w:val="28"/>
    </w:rPr>
  </w:style>
  <w:style w:type="character" w:customStyle="1" w:styleId="Underline">
    <w:name w:val="Underline"/>
    <w:basedOn w:val="DefaultParagraphFont"/>
    <w:qFormat/>
    <w:rsid w:val="00940C39"/>
    <w:rPr>
      <w:u w:val="single"/>
    </w:rPr>
  </w:style>
  <w:style w:type="paragraph" w:styleId="BalloonText">
    <w:name w:val="Balloon Text"/>
    <w:basedOn w:val="Normal"/>
    <w:link w:val="BalloonTextChar"/>
    <w:rsid w:val="00940C39"/>
    <w:rPr>
      <w:rFonts w:ascii="Tahoma" w:hAnsi="Tahoma" w:cs="Tahoma"/>
      <w:sz w:val="16"/>
      <w:szCs w:val="16"/>
    </w:rPr>
  </w:style>
  <w:style w:type="character" w:customStyle="1" w:styleId="BalloonTextChar">
    <w:name w:val="Balloon Text Char"/>
    <w:basedOn w:val="DefaultParagraphFont"/>
    <w:link w:val="BalloonText"/>
    <w:rsid w:val="00940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C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8595</Characters>
  <Application>Microsoft Office Word</Application>
  <DocSecurity>0</DocSecurity>
  <Lines>292</Lines>
  <Paragraphs>181</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CULRSK501A Monitor compliance with copyright and licence requirements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2012-05-26T15:22:00Z</dcterms:created>
  <dcterms:modified xsi:type="dcterms:W3CDTF">2012-05-26T15:22:00Z</dcterms:modified>
</cp:coreProperties>
</file>