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4605" w:rsidP="00504605">
      <w:pPr>
        <w:pStyle w:val="Title"/>
      </w:pPr>
      <w:r>
        <w:fldChar w:fldCharType="begin"/>
      </w:r>
      <w:r>
        <w:instrText xml:space="preserve"> TITLE   \* MERGEFORMAT </w:instrText>
      </w:r>
      <w:r>
        <w:fldChar w:fldCharType="separate"/>
      </w:r>
      <w:r>
        <w:t>CULEVP502A Develop and implement exhibition interpretive strategies</w:t>
      </w:r>
      <w:r>
        <w:fldChar w:fldCharType="end"/>
      </w:r>
    </w:p>
    <w:p w:rsidR="00504605" w:rsidP="00504605">
      <w:pPr>
        <w:pStyle w:val="Version"/>
        <w:sectPr w:rsidSect="00EB44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4408" w:rsidP="00EB4408">
      <w:pPr>
        <w:pStyle w:val="SuperHeading"/>
      </w:pPr>
      <w:r w:rsidRPr="00EB4408">
        <w:t>CULEVP502A Develop and implement exhibition interpretive strategies</w:t>
      </w:r>
    </w:p>
    <w:p w:rsidR="00000000" w:rsidRPr="00EB4408" w:rsidP="00EB4408">
      <w:pPr>
        <w:pStyle w:val="Heading1"/>
      </w:pPr>
      <w:bookmarkStart w:id="1" w:name="O_385765"/>
      <w:bookmarkEnd w:id="1"/>
      <w:r w:rsidRPr="00EB4408">
        <w:t>Modification History</w:t>
      </w:r>
    </w:p>
    <w:tbl>
      <w:tblPr>
        <w:tblW w:w="0" w:type="auto"/>
        <w:tblLayout w:type="fixed"/>
        <w:tblCellMar>
          <w:left w:w="62" w:type="dxa"/>
          <w:right w:w="62" w:type="dxa"/>
        </w:tblCellMar>
        <w:tblLook w:val="0000"/>
      </w:tblPr>
      <w:tblGrid>
        <w:gridCol w:w="3153"/>
        <w:gridCol w:w="5873"/>
      </w:tblGrid>
      <w:tr w:rsidTr="00EB4408">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4408" w:rsidP="00EB4408">
            <w:pPr>
              <w:pStyle w:val="BodyText"/>
            </w:pPr>
            <w:r w:rsidRPr="00EB440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408">
            <w:pPr>
              <w:pStyle w:val="BodyText"/>
              <w:rPr>
                <w:lang w:val="en-NZ"/>
              </w:rPr>
            </w:pPr>
            <w:r w:rsidRPr="00EB4408">
              <w:rPr>
                <w:rStyle w:val="SpecialBold"/>
              </w:rPr>
              <w:t>Comments</w:t>
            </w:r>
          </w:p>
        </w:tc>
      </w:tr>
      <w:tr w:rsidTr="00EB4408">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408">
            <w:pPr>
              <w:pStyle w:val="BodyText"/>
              <w:rPr>
                <w:lang w:val="en-NZ"/>
              </w:rPr>
            </w:pPr>
            <w:r w:rsidRPr="00EB440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4408" w:rsidP="00EB4408">
            <w:pPr>
              <w:pStyle w:val="BodyText"/>
            </w:pPr>
            <w:r w:rsidRPr="00EB4408">
              <w:t xml:space="preserve">This unit of competency first released with </w:t>
            </w:r>
            <w:r w:rsidRPr="00EB4408">
              <w:rPr>
                <w:rStyle w:val="Emphasis"/>
              </w:rPr>
              <w:t>CUL11 Library, Information and Cultural Services Training Package version 1.0</w:t>
            </w:r>
          </w:p>
        </w:tc>
      </w:tr>
    </w:tbl>
    <w:p w:rsidR="00000000" w:rsidRPr="00EB4408" w:rsidP="00EB4408">
      <w:pPr>
        <w:pStyle w:val="BodyText"/>
      </w:pPr>
    </w:p>
    <w:p w:rsidR="00000000" w:rsidRPr="00EB4408" w:rsidP="00EB4408">
      <w:pPr>
        <w:pStyle w:val="AllowPageBreak"/>
      </w:pPr>
    </w:p>
    <w:p w:rsidR="00000000" w:rsidRPr="00EB4408" w:rsidP="00EB4408">
      <w:pPr>
        <w:pStyle w:val="Heading1"/>
      </w:pPr>
      <w:bookmarkStart w:id="2" w:name="O_385766"/>
      <w:bookmarkEnd w:id="2"/>
      <w:r w:rsidRPr="00EB4408">
        <w:t>Unit Descriptor</w:t>
      </w:r>
    </w:p>
    <w:p w:rsidR="00000000" w:rsidRPr="00EB4408" w:rsidP="00EB4408">
      <w:pPr>
        <w:pStyle w:val="BodyText"/>
      </w:pPr>
      <w:r w:rsidRPr="00EB4408">
        <w:t>This unit describes the performance outcomes, skills and knowledge required to develop and implement overall interpretive strategies for exhibi</w:t>
      </w:r>
      <w:r w:rsidRPr="00EB4408">
        <w:t>tions. The unit focuses on analysis, strategy development, implementation and evaluation.</w:t>
      </w:r>
    </w:p>
    <w:p w:rsidR="00000000" w:rsidRPr="00EB4408" w:rsidP="00EB4408">
      <w:pPr>
        <w:pStyle w:val="AllowPageBreak"/>
      </w:pPr>
    </w:p>
    <w:p w:rsidR="00000000" w:rsidRPr="00EB4408" w:rsidP="00EB4408">
      <w:pPr>
        <w:pStyle w:val="Heading1"/>
      </w:pPr>
      <w:bookmarkStart w:id="3" w:name="O_385767"/>
      <w:bookmarkEnd w:id="3"/>
      <w:r w:rsidRPr="00EB4408">
        <w:t>Application of the Unit</w:t>
      </w:r>
    </w:p>
    <w:p w:rsidR="00000000" w:rsidRPr="00EB4408" w:rsidP="00EB4408">
      <w:pPr>
        <w:pStyle w:val="BodyText"/>
      </w:pPr>
      <w:r w:rsidRPr="00EB4408">
        <w:t>This unit applies to individuals responsible for the development and implementation of interpretive strategies for exhibitions in cultural settings, such as museums, galleries and cultural centres.</w:t>
      </w:r>
    </w:p>
    <w:p w:rsidR="00000000" w:rsidRPr="00EB4408" w:rsidP="00EB4408">
      <w:pPr>
        <w:pStyle w:val="BodyText"/>
      </w:pPr>
      <w:r w:rsidRPr="00EB4408">
        <w:t>Work is undertaken autonomously, in collaboration and cons</w:t>
      </w:r>
      <w:r w:rsidRPr="00EB4408">
        <w:t>ultation with others and often by individuals with management and team-leading responsibilities.</w:t>
      </w:r>
    </w:p>
    <w:p w:rsidR="00000000" w:rsidRPr="00EB4408" w:rsidP="00EB4408">
      <w:pPr>
        <w:pStyle w:val="AllowPageBreak"/>
      </w:pPr>
    </w:p>
    <w:p w:rsidR="00000000" w:rsidRPr="00EB4408" w:rsidP="00EB4408">
      <w:pPr>
        <w:pStyle w:val="Heading1"/>
      </w:pPr>
      <w:bookmarkStart w:id="4" w:name="O_385768"/>
      <w:bookmarkEnd w:id="4"/>
      <w:r w:rsidRPr="00EB4408">
        <w:t>Licensing/Regulatory Information</w:t>
      </w:r>
    </w:p>
    <w:p w:rsidR="00000000" w:rsidRPr="00EB4408" w:rsidP="00EB4408">
      <w:pPr>
        <w:pStyle w:val="BodyText"/>
      </w:pPr>
      <w:r w:rsidRPr="00EB4408">
        <w:t>No licensing, legislative, regulatory or certification requirements apply to this unit at the time of endorse</w:t>
      </w:r>
      <w:r w:rsidRPr="00EB4408">
        <w:t>ment.</w:t>
      </w:r>
    </w:p>
    <w:p w:rsidR="00000000" w:rsidRPr="00EB4408" w:rsidP="00EB4408">
      <w:pPr>
        <w:pStyle w:val="AllowPageBreak"/>
      </w:pPr>
    </w:p>
    <w:p w:rsidR="00000000" w:rsidRPr="00EB4408" w:rsidP="00EB4408">
      <w:pPr>
        <w:pStyle w:val="Heading1"/>
      </w:pPr>
      <w:bookmarkStart w:id="5" w:name="O_385769"/>
      <w:bookmarkEnd w:id="5"/>
      <w:r w:rsidRPr="00EB4408">
        <w:t>Pre-Requisites</w:t>
      </w:r>
    </w:p>
    <w:p w:rsidR="00000000" w:rsidRPr="00EB4408" w:rsidP="00EB4408">
      <w:pPr>
        <w:pStyle w:val="BodyText"/>
      </w:pPr>
      <w:r w:rsidRPr="00EB4408">
        <w:t>Not applicable.</w:t>
      </w:r>
    </w:p>
    <w:p w:rsidR="00000000" w:rsidRPr="00EB4408" w:rsidP="00EB4408">
      <w:pPr>
        <w:pStyle w:val="AllowPageBreak"/>
      </w:pPr>
    </w:p>
    <w:p w:rsidR="00000000" w:rsidRPr="00EB4408" w:rsidP="00EB4408">
      <w:pPr>
        <w:pStyle w:val="Heading1"/>
      </w:pPr>
      <w:bookmarkStart w:id="6" w:name="O_385770"/>
      <w:bookmarkEnd w:id="6"/>
      <w:r w:rsidRPr="00EB4408">
        <w:t>Employability Skills Information</w:t>
      </w:r>
    </w:p>
    <w:p w:rsidR="00000000" w:rsidRPr="00EB4408" w:rsidP="00EB4408">
      <w:pPr>
        <w:pStyle w:val="BodyText"/>
      </w:pPr>
      <w:r w:rsidRPr="00EB4408">
        <w:t>This unit contains employability skills.</w:t>
      </w:r>
    </w:p>
    <w:p w:rsidR="00000000" w:rsidRPr="00EB4408" w:rsidP="00EB4408">
      <w:pPr>
        <w:pStyle w:val="AllowPageBreak"/>
      </w:pPr>
    </w:p>
    <w:p w:rsidR="00000000" w:rsidRPr="00EB4408" w:rsidP="00EB4408">
      <w:pPr>
        <w:pStyle w:val="Heading1"/>
      </w:pPr>
      <w:bookmarkStart w:id="7" w:name="O_385771"/>
      <w:bookmarkEnd w:id="7"/>
      <w:r w:rsidRPr="00EB4408">
        <w:t>Elements and Performance Criteria Pre-Content</w:t>
      </w:r>
    </w:p>
    <w:tbl>
      <w:tblPr>
        <w:tblW w:w="0" w:type="auto"/>
        <w:tblLayout w:type="fixed"/>
        <w:tblCellMar>
          <w:left w:w="62" w:type="dxa"/>
          <w:right w:w="62" w:type="dxa"/>
        </w:tblCellMar>
        <w:tblLook w:val="0000"/>
      </w:tblPr>
      <w:tblGrid>
        <w:gridCol w:w="2532"/>
        <w:gridCol w:w="6528"/>
      </w:tblGrid>
      <w:tr w:rsidTr="00EB4408">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EB4408" w:rsidP="00EB4408">
            <w:pPr>
              <w:pStyle w:val="BodyText"/>
            </w:pPr>
            <w:r w:rsidRPr="00EB4408">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EB4408">
            <w:pPr>
              <w:pStyle w:val="BodyText"/>
              <w:rPr>
                <w:lang w:val="en-NZ"/>
              </w:rPr>
            </w:pPr>
            <w:r w:rsidRPr="00EB4408">
              <w:rPr>
                <w:rStyle w:val="SpecialBold"/>
              </w:rPr>
              <w:t>Performance Criteria</w:t>
            </w:r>
          </w:p>
        </w:tc>
      </w:tr>
      <w:tr w:rsidTr="00EB4408">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EB4408" w:rsidP="00EB4408">
            <w:pPr>
              <w:pStyle w:val="BodyText"/>
            </w:pPr>
            <w:r w:rsidRPr="00EB4408">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EB4408" w:rsidP="00EB4408">
            <w:pPr>
              <w:pStyle w:val="BodyText"/>
            </w:pPr>
            <w:r w:rsidRPr="00EB4408">
              <w:rPr>
                <w:rStyle w:val="Emphasis"/>
              </w:rPr>
              <w:t>Performance criteria describe the performance needed to demonstrate achievement of the element. Where bold italicised text is used, further information is detailed in the required skills and</w:t>
            </w:r>
            <w:r w:rsidRPr="00EB4408">
              <w:rPr>
                <w:rStyle w:val="Emphasis"/>
              </w:rPr>
              <w:t xml:space="preserve"> knowledge section and the range statement. Assessment of performance is to be consistent with the evidence guide.</w:t>
            </w:r>
          </w:p>
        </w:tc>
      </w:tr>
    </w:tbl>
    <w:p w:rsidR="00000000" w:rsidRPr="00EB4408" w:rsidP="00EB4408">
      <w:pPr>
        <w:pStyle w:val="BodyText"/>
      </w:pPr>
    </w:p>
    <w:p w:rsidR="00000000" w:rsidRPr="00EB4408" w:rsidP="00EB4408">
      <w:pPr>
        <w:pStyle w:val="AllowPageBreak"/>
      </w:pPr>
    </w:p>
    <w:p w:rsidR="00000000" w:rsidRPr="00EB4408" w:rsidP="00EB4408">
      <w:pPr>
        <w:pStyle w:val="Heading1"/>
      </w:pPr>
      <w:bookmarkStart w:id="8" w:name="O_385772"/>
      <w:bookmarkEnd w:id="8"/>
      <w:r w:rsidRPr="00EB4408">
        <w:t>Elements and Performance Criteria</w:t>
      </w:r>
    </w:p>
    <w:tbl>
      <w:tblPr>
        <w:tblW w:w="0" w:type="auto"/>
        <w:tblLayout w:type="fixed"/>
        <w:tblCellMar>
          <w:left w:w="62" w:type="dxa"/>
          <w:right w:w="62" w:type="dxa"/>
        </w:tblCellMar>
        <w:tblLook w:val="0000"/>
      </w:tblPr>
      <w:tblGrid>
        <w:gridCol w:w="2565"/>
        <w:gridCol w:w="6495"/>
      </w:tblGrid>
      <w:tr w:rsidTr="00EB4408">
        <w:tblPrEx>
          <w:tblW w:w="0" w:type="auto"/>
          <w:tblLayout w:type="fixed"/>
          <w:tblCellMar>
            <w:left w:w="62" w:type="dxa"/>
            <w:right w:w="62" w:type="dxa"/>
          </w:tblCellMar>
          <w:tblLook w:val="0000"/>
        </w:tblPrEx>
        <w:tc>
          <w:tcPr>
            <w:tcW w:w="2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408">
            <w:pPr>
              <w:pStyle w:val="BodyText"/>
              <w:rPr>
                <w:lang w:val="en-NZ"/>
              </w:rPr>
            </w:pPr>
            <w:r w:rsidRPr="00EB4408">
              <w:t>1. Define communication needs</w:t>
            </w:r>
          </w:p>
        </w:tc>
        <w:tc>
          <w:tcPr>
            <w:tcW w:w="6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4408" w:rsidP="00EB4408">
            <w:pPr>
              <w:pStyle w:val="BodyText"/>
            </w:pPr>
            <w:r w:rsidRPr="00EB4408">
              <w:t xml:space="preserve">1.1 Analyse overall </w:t>
            </w:r>
            <w:r w:rsidRPr="00EB4408">
              <w:rPr>
                <w:rStyle w:val="BoldandItalics"/>
              </w:rPr>
              <w:t>exhibition</w:t>
            </w:r>
            <w:r w:rsidRPr="00EB4408">
              <w:t xml:space="preserve"> concepts to determine broad</w:t>
            </w:r>
            <w:r w:rsidRPr="00EB4408">
              <w:t xml:space="preserve"> parameters for interpretive strategies</w:t>
            </w:r>
          </w:p>
          <w:p w:rsidR="00000000" w:rsidRPr="00EB4408" w:rsidP="00EB4408">
            <w:pPr>
              <w:pStyle w:val="BodyText"/>
            </w:pPr>
            <w:r w:rsidRPr="00EB4408">
              <w:t>1.2 Review relevant exhibition documentation to inform strategy development</w:t>
            </w:r>
          </w:p>
          <w:p w:rsidR="00000000" w:rsidRPr="00EB4408" w:rsidP="00EB4408">
            <w:pPr>
              <w:pStyle w:val="BodyText"/>
            </w:pPr>
            <w:r w:rsidRPr="00EB4408">
              <w:t xml:space="preserve">1.3 Source relevant information on </w:t>
            </w:r>
            <w:r w:rsidRPr="00EB4408">
              <w:rPr>
                <w:rStyle w:val="BoldandItalics"/>
              </w:rPr>
              <w:t>audience profile</w:t>
            </w:r>
            <w:r w:rsidRPr="00EB4408">
              <w:t xml:space="preserve"> and research their characteristics and needs</w:t>
            </w:r>
          </w:p>
          <w:p w:rsidR="00000000" w:rsidRPr="00EB4408" w:rsidP="00EB4408">
            <w:pPr>
              <w:pStyle w:val="BodyText"/>
            </w:pPr>
            <w:r w:rsidRPr="00EB4408">
              <w:t xml:space="preserve">1.4 Establish </w:t>
            </w:r>
            <w:r w:rsidRPr="00EB4408">
              <w:rPr>
                <w:rStyle w:val="BoldandItalics"/>
              </w:rPr>
              <w:t>links</w:t>
            </w:r>
            <w:r w:rsidRPr="00EB4408">
              <w:t xml:space="preserve"> between audiences, conc</w:t>
            </w:r>
            <w:r w:rsidRPr="00EB4408">
              <w:t>epts and proposed storylines and themes</w:t>
            </w:r>
          </w:p>
          <w:p w:rsidR="00000000" w:rsidP="00EB4408">
            <w:pPr>
              <w:pStyle w:val="BodyText"/>
              <w:rPr>
                <w:lang w:val="en-NZ"/>
              </w:rPr>
            </w:pPr>
            <w:r w:rsidRPr="00EB4408">
              <w:t xml:space="preserve">1.5 Consult with appropriate </w:t>
            </w:r>
            <w:r w:rsidRPr="00EB4408">
              <w:rPr>
                <w:rStyle w:val="BoldandItalics"/>
              </w:rPr>
              <w:t>stakeholders</w:t>
            </w:r>
            <w:r w:rsidRPr="00EB4408">
              <w:t xml:space="preserve"> to confirm communication needs</w:t>
            </w:r>
          </w:p>
        </w:tc>
      </w:tr>
      <w:tr w:rsidTr="00EB4408">
        <w:tblPrEx>
          <w:tblW w:w="0" w:type="auto"/>
          <w:tblLayout w:type="fixed"/>
          <w:tblCellMar>
            <w:left w:w="62" w:type="dxa"/>
            <w:right w:w="62" w:type="dxa"/>
          </w:tblCellMar>
          <w:tblLook w:val="0000"/>
        </w:tblPrEx>
        <w:trPr>
          <w:trHeight w:val="3744"/>
        </w:trPr>
        <w:tc>
          <w:tcPr>
            <w:tcW w:w="2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408">
            <w:pPr>
              <w:pStyle w:val="BodyText"/>
              <w:rPr>
                <w:lang w:val="en-NZ"/>
              </w:rPr>
            </w:pPr>
            <w:r w:rsidRPr="00EB4408">
              <w:t>2. Prepare interpretive strategies</w:t>
            </w:r>
          </w:p>
        </w:tc>
        <w:tc>
          <w:tcPr>
            <w:tcW w:w="6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4408" w:rsidP="00EB4408">
            <w:pPr>
              <w:pStyle w:val="BodyText"/>
            </w:pPr>
            <w:r w:rsidRPr="00EB4408">
              <w:t xml:space="preserve">2.1 Document </w:t>
            </w:r>
            <w:r w:rsidRPr="00EB4408">
              <w:rPr>
                <w:rStyle w:val="BoldandItalics"/>
              </w:rPr>
              <w:t>aspects of interpretive strategies</w:t>
            </w:r>
            <w:r w:rsidRPr="00EB4408">
              <w:t xml:space="preserve"> based on analysis </w:t>
            </w:r>
            <w:r w:rsidRPr="00EB4408">
              <w:t>and consultation and according to organisational policies and procedures</w:t>
            </w:r>
          </w:p>
          <w:p w:rsidR="00000000" w:rsidRPr="00EB4408" w:rsidP="00EB4408">
            <w:pPr>
              <w:pStyle w:val="BodyText"/>
            </w:pPr>
            <w:r w:rsidRPr="00EB4408">
              <w:t xml:space="preserve">2.2 Develop </w:t>
            </w:r>
            <w:r w:rsidRPr="00EB4408">
              <w:rPr>
                <w:rStyle w:val="BoldandItalics"/>
              </w:rPr>
              <w:t>options and approaches</w:t>
            </w:r>
            <w:r w:rsidRPr="00EB4408">
              <w:t xml:space="preserve"> to take account of audience needs, overall objectives, operational constraints and the principles of universal access</w:t>
            </w:r>
          </w:p>
          <w:p w:rsidR="00000000" w:rsidRPr="00EB4408" w:rsidP="00EB4408">
            <w:pPr>
              <w:pStyle w:val="BodyText"/>
            </w:pPr>
            <w:r w:rsidRPr="00EB4408">
              <w:t xml:space="preserve">2.3 Refine strategies through </w:t>
            </w:r>
            <w:r w:rsidRPr="00EB4408">
              <w:t>testing and challenging ideas and feedback from colleagues</w:t>
            </w:r>
          </w:p>
          <w:p w:rsidR="00000000" w:rsidRPr="00EB4408" w:rsidP="00EB4408">
            <w:pPr>
              <w:pStyle w:val="BodyText"/>
            </w:pPr>
            <w:r w:rsidRPr="00EB4408">
              <w:t xml:space="preserve">2.4 Identify and source </w:t>
            </w:r>
            <w:r w:rsidRPr="00EB4408">
              <w:rPr>
                <w:rStyle w:val="BoldandItalics"/>
              </w:rPr>
              <w:t>specialist advice</w:t>
            </w:r>
            <w:r w:rsidRPr="00EB4408">
              <w:t xml:space="preserve"> where required</w:t>
            </w:r>
          </w:p>
          <w:p w:rsidR="00000000" w:rsidRPr="00EB4408" w:rsidP="00EB4408">
            <w:pPr>
              <w:pStyle w:val="BodyText"/>
            </w:pPr>
            <w:r w:rsidRPr="00EB4408">
              <w:t xml:space="preserve">2.5 Prepare strategies in an </w:t>
            </w:r>
            <w:r w:rsidRPr="00EB4408">
              <w:rPr>
                <w:rStyle w:val="BoldandItalics"/>
              </w:rPr>
              <w:t>appropriate format</w:t>
            </w:r>
          </w:p>
          <w:p w:rsidR="00000000" w:rsidP="00EB4408">
            <w:pPr>
              <w:pStyle w:val="BodyText"/>
              <w:rPr>
                <w:lang w:val="en-NZ"/>
              </w:rPr>
            </w:pPr>
            <w:r w:rsidRPr="00EB4408">
              <w:t>2.6 Communicate strategies to relevant colleagues and stakeholders</w:t>
            </w:r>
          </w:p>
        </w:tc>
      </w:tr>
      <w:tr w:rsidTr="00EB4408">
        <w:tblPrEx>
          <w:tblW w:w="0" w:type="auto"/>
          <w:tblLayout w:type="fixed"/>
          <w:tblCellMar>
            <w:left w:w="62" w:type="dxa"/>
            <w:right w:w="62" w:type="dxa"/>
          </w:tblCellMar>
          <w:tblLook w:val="0000"/>
        </w:tblPrEx>
        <w:tc>
          <w:tcPr>
            <w:tcW w:w="2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408">
            <w:pPr>
              <w:pStyle w:val="BodyText"/>
              <w:rPr>
                <w:lang w:val="en-NZ"/>
              </w:rPr>
            </w:pPr>
            <w:r w:rsidRPr="00EB4408">
              <w:t>3. Oversee implementatio</w:t>
            </w:r>
            <w:r w:rsidRPr="00EB4408">
              <w:t>n of interpretive strategies</w:t>
            </w:r>
          </w:p>
        </w:tc>
        <w:tc>
          <w:tcPr>
            <w:tcW w:w="6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4408" w:rsidP="00EB4408">
            <w:pPr>
              <w:pStyle w:val="BodyText"/>
            </w:pPr>
            <w:r w:rsidRPr="00EB4408">
              <w:t xml:space="preserve">3.1 Participate in the organising of </w:t>
            </w:r>
            <w:r w:rsidRPr="00EB4408">
              <w:rPr>
                <w:rStyle w:val="BoldandItalics"/>
              </w:rPr>
              <w:t>resources</w:t>
            </w:r>
            <w:r w:rsidRPr="00EB4408">
              <w:t xml:space="preserve"> for development of materials to support the interpretive strategy</w:t>
            </w:r>
          </w:p>
          <w:p w:rsidR="00000000" w:rsidRPr="00EB4408" w:rsidP="00EB4408">
            <w:pPr>
              <w:pStyle w:val="BodyText"/>
            </w:pPr>
            <w:r w:rsidRPr="00EB4408">
              <w:t>3.2 Monitor the production of materials and suggest adjustments to ensure objectives are achieved</w:t>
            </w:r>
          </w:p>
          <w:p w:rsidR="00000000" w:rsidP="00EB4408">
            <w:pPr>
              <w:pStyle w:val="BodyText"/>
              <w:rPr>
                <w:lang w:val="en-NZ"/>
              </w:rPr>
            </w:pPr>
            <w:r w:rsidRPr="00EB4408">
              <w:t>3.3 Facilitate h</w:t>
            </w:r>
            <w:r w:rsidRPr="00EB4408">
              <w:t>olistic approach through ongoing consultations with other exhibition personnel</w:t>
            </w:r>
          </w:p>
        </w:tc>
      </w:tr>
      <w:tr w:rsidTr="00EB4408">
        <w:tblPrEx>
          <w:tblW w:w="0" w:type="auto"/>
          <w:tblLayout w:type="fixed"/>
          <w:tblCellMar>
            <w:left w:w="62" w:type="dxa"/>
            <w:right w:w="62" w:type="dxa"/>
          </w:tblCellMar>
          <w:tblLook w:val="0000"/>
        </w:tblPrEx>
        <w:tc>
          <w:tcPr>
            <w:tcW w:w="2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408">
            <w:pPr>
              <w:pStyle w:val="BodyText"/>
              <w:rPr>
                <w:lang w:val="en-NZ"/>
              </w:rPr>
            </w:pPr>
            <w:r w:rsidRPr="00EB4408">
              <w:t>4. Evaluate interpretive strategies</w:t>
            </w:r>
          </w:p>
        </w:tc>
        <w:tc>
          <w:tcPr>
            <w:tcW w:w="6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4408" w:rsidP="00EB4408">
            <w:pPr>
              <w:pStyle w:val="BodyText"/>
            </w:pPr>
            <w:r w:rsidRPr="00EB4408">
              <w:t>4.1 Establish appropriate evaluation mechanisms with relevant stakeholders</w:t>
            </w:r>
          </w:p>
          <w:p w:rsidR="00000000" w:rsidRPr="00EB4408" w:rsidP="00EB4408">
            <w:pPr>
              <w:pStyle w:val="BodyText"/>
            </w:pPr>
            <w:r w:rsidRPr="00EB4408">
              <w:t xml:space="preserve">4.2 Use agreed </w:t>
            </w:r>
            <w:r w:rsidRPr="00EB4408">
              <w:rPr>
                <w:rStyle w:val="BoldandItalics"/>
              </w:rPr>
              <w:t>evaluation mechanisms</w:t>
            </w:r>
            <w:r w:rsidRPr="00EB4408">
              <w:t xml:space="preserve"> to assess the success of interpretive strategies</w:t>
            </w:r>
          </w:p>
          <w:p w:rsidR="00000000" w:rsidRPr="00EB4408" w:rsidP="00EB4408">
            <w:pPr>
              <w:pStyle w:val="BodyText"/>
            </w:pPr>
            <w:r w:rsidRPr="00EB4408">
              <w:t>4.3 Share knowledge gained from evaluation with colleagues</w:t>
            </w:r>
          </w:p>
        </w:tc>
      </w:tr>
    </w:tbl>
    <w:p w:rsidR="00000000" w:rsidRPr="00EB4408" w:rsidP="00EB4408">
      <w:pPr>
        <w:pStyle w:val="BodyText"/>
      </w:pPr>
    </w:p>
    <w:p w:rsidR="00000000" w:rsidRPr="00EB4408" w:rsidP="00EB4408">
      <w:pPr>
        <w:pStyle w:val="AllowPageBreak"/>
      </w:pPr>
    </w:p>
    <w:p w:rsidR="00000000" w:rsidRPr="00EB4408" w:rsidP="00EB4408">
      <w:pPr>
        <w:pStyle w:val="Heading1"/>
      </w:pPr>
      <w:bookmarkStart w:id="9" w:name="O_385773"/>
      <w:bookmarkEnd w:id="9"/>
      <w:r w:rsidRPr="00EB4408">
        <w:t>Required Skills and Knowledge</w:t>
      </w:r>
    </w:p>
    <w:p w:rsidR="00000000" w:rsidRPr="00EB4408" w:rsidP="00EB4408">
      <w:pPr>
        <w:pStyle w:val="BodyText"/>
      </w:pPr>
      <w:r w:rsidRPr="00EB4408">
        <w:rPr>
          <w:rStyle w:val="Emphasis"/>
        </w:rPr>
        <w:t>This section describes the skills and knowledge required for this unit.</w:t>
      </w:r>
    </w:p>
    <w:p w:rsidR="00000000" w:rsidRPr="00EB4408" w:rsidP="00EB4408">
      <w:pPr>
        <w:pStyle w:val="BodyText"/>
      </w:pPr>
    </w:p>
    <w:p w:rsidR="00000000" w:rsidRPr="00EB4408" w:rsidP="00EB4408">
      <w:pPr>
        <w:pStyle w:val="BodyText"/>
      </w:pPr>
      <w:r w:rsidRPr="00EB4408">
        <w:rPr>
          <w:rStyle w:val="SpecialBold"/>
        </w:rPr>
        <w:t>Required skills</w:t>
      </w:r>
    </w:p>
    <w:p w:rsidR="00000000" w:rsidRPr="00EB4408" w:rsidP="00EB4408">
      <w:pPr>
        <w:pStyle w:val="ListBullet"/>
      </w:pPr>
      <w:r w:rsidRPr="00EB4408">
        <w:t>communic</w:t>
      </w:r>
      <w:r w:rsidRPr="00EB4408">
        <w:t>ation skills to:</w:t>
      </w:r>
    </w:p>
    <w:p w:rsidR="00000000" w:rsidRPr="00EB4408" w:rsidP="00EB4408">
      <w:pPr>
        <w:pStyle w:val="ListBullet2"/>
      </w:pPr>
      <w:r w:rsidRPr="00EB4408">
        <w:t>consult with stakeholders</w:t>
      </w:r>
    </w:p>
    <w:p w:rsidR="00000000" w:rsidRPr="00EB4408" w:rsidP="00EB4408">
      <w:pPr>
        <w:pStyle w:val="ListBullet2"/>
      </w:pPr>
      <w:r w:rsidRPr="00EB4408">
        <w:t>discuss complex ideas</w:t>
      </w:r>
    </w:p>
    <w:p w:rsidR="00000000" w:rsidRPr="00EB4408" w:rsidP="00EB4408">
      <w:pPr>
        <w:pStyle w:val="ListBullet"/>
      </w:pPr>
      <w:r w:rsidRPr="00EB4408">
        <w:t>initiative and enterprise skills to:</w:t>
      </w:r>
    </w:p>
    <w:p w:rsidR="00000000" w:rsidRPr="00EB4408" w:rsidP="00EB4408">
      <w:pPr>
        <w:pStyle w:val="ListBullet2"/>
      </w:pPr>
      <w:r w:rsidRPr="00EB4408">
        <w:t>contribute creative ideas</w:t>
      </w:r>
    </w:p>
    <w:p w:rsidR="00000000" w:rsidRPr="00EB4408" w:rsidP="00EB4408">
      <w:pPr>
        <w:pStyle w:val="ListBullet2"/>
      </w:pPr>
      <w:r w:rsidRPr="00EB4408">
        <w:t>evaluate the success of interpretive strategies</w:t>
      </w:r>
    </w:p>
    <w:p w:rsidR="00000000" w:rsidRPr="00EB4408" w:rsidP="00EB4408">
      <w:pPr>
        <w:pStyle w:val="ListBullet"/>
      </w:pPr>
      <w:r w:rsidRPr="00EB4408">
        <w:t>literacy skills to:</w:t>
      </w:r>
    </w:p>
    <w:p w:rsidR="00000000" w:rsidRPr="00EB4408" w:rsidP="00EB4408">
      <w:pPr>
        <w:pStyle w:val="ListBullet2"/>
      </w:pPr>
      <w:r w:rsidRPr="00EB4408">
        <w:t>read and interpret information</w:t>
      </w:r>
    </w:p>
    <w:p w:rsidR="00000000" w:rsidRPr="00EB4408" w:rsidP="00EB4408">
      <w:pPr>
        <w:pStyle w:val="ListBullet2"/>
      </w:pPr>
      <w:r w:rsidRPr="00EB4408">
        <w:t>use appropriate documentation and presentation formats</w:t>
      </w:r>
    </w:p>
    <w:p w:rsidR="00000000" w:rsidRPr="00EB4408" w:rsidP="00EB4408">
      <w:pPr>
        <w:pStyle w:val="ListBullet2"/>
      </w:pPr>
      <w:r w:rsidRPr="00EB4408">
        <w:t>write content for the interpretive strategy</w:t>
      </w:r>
    </w:p>
    <w:p w:rsidR="00000000" w:rsidRPr="00EB4408" w:rsidP="00EB4408">
      <w:pPr>
        <w:pStyle w:val="ListBullet"/>
      </w:pPr>
      <w:r w:rsidRPr="00EB4408">
        <w:t>numeracy skills to:</w:t>
      </w:r>
    </w:p>
    <w:p w:rsidR="00000000" w:rsidRPr="00EB4408" w:rsidP="00EB4408">
      <w:pPr>
        <w:pStyle w:val="ListBullet2"/>
      </w:pPr>
      <w:r w:rsidRPr="00EB4408">
        <w:t>allocate and manage resources</w:t>
      </w:r>
    </w:p>
    <w:p w:rsidR="00000000" w:rsidRPr="00EB4408" w:rsidP="00EB4408">
      <w:pPr>
        <w:pStyle w:val="ListBullet2"/>
      </w:pPr>
      <w:r w:rsidRPr="00EB4408">
        <w:t>track expenditure</w:t>
      </w:r>
    </w:p>
    <w:p w:rsidR="00000000" w:rsidRPr="00EB4408" w:rsidP="00EB4408">
      <w:pPr>
        <w:pStyle w:val="ListBullet"/>
      </w:pPr>
      <w:r w:rsidRPr="00EB4408">
        <w:t>planning and organising skills to:</w:t>
      </w:r>
    </w:p>
    <w:p w:rsidR="00000000" w:rsidRPr="00EB4408" w:rsidP="00EB4408">
      <w:pPr>
        <w:pStyle w:val="ListBullet2"/>
      </w:pPr>
      <w:r w:rsidRPr="00EB4408">
        <w:t>develop integrated and operationally realistic exh</w:t>
      </w:r>
      <w:r w:rsidRPr="00EB4408">
        <w:t>ibition interpretive strategies</w:t>
      </w:r>
    </w:p>
    <w:p w:rsidR="00000000" w:rsidRPr="00EB4408" w:rsidP="00EB4408">
      <w:pPr>
        <w:pStyle w:val="ListBullet2"/>
      </w:pPr>
      <w:r w:rsidRPr="00EB4408">
        <w:t>implement interpretive strategies</w:t>
      </w:r>
    </w:p>
    <w:p w:rsidR="00000000" w:rsidRPr="00EB4408" w:rsidP="00EB4408">
      <w:pPr>
        <w:pStyle w:val="ListBullet"/>
      </w:pPr>
      <w:r w:rsidRPr="00EB4408">
        <w:t>problem</w:t>
      </w:r>
      <w:r w:rsidRPr="00EB4408">
        <w:noBreakHyphen/>
        <w:t>solving skills to:</w:t>
      </w:r>
    </w:p>
    <w:p w:rsidR="00000000" w:rsidRPr="00EB4408" w:rsidP="00EB4408">
      <w:pPr>
        <w:pStyle w:val="ListBullet2"/>
      </w:pPr>
      <w:r w:rsidRPr="00EB4408">
        <w:t>address challenges and issues associated with exhibition interpretive strategies</w:t>
      </w:r>
    </w:p>
    <w:p w:rsidR="00000000" w:rsidRPr="00EB4408" w:rsidP="00EB4408">
      <w:pPr>
        <w:pStyle w:val="ListBullet2"/>
      </w:pPr>
      <w:r w:rsidRPr="00EB4408">
        <w:t>reduce costs and wastage</w:t>
      </w:r>
    </w:p>
    <w:p w:rsidR="00000000" w:rsidRPr="00EB4408" w:rsidP="00EB4408">
      <w:pPr>
        <w:pStyle w:val="ListBullet2"/>
      </w:pPr>
      <w:r w:rsidRPr="00EB4408">
        <w:t>analyse links between audience and concept</w:t>
      </w:r>
    </w:p>
    <w:p w:rsidR="00000000" w:rsidRPr="00EB4408" w:rsidP="00EB4408">
      <w:pPr>
        <w:pStyle w:val="ListBullet"/>
      </w:pPr>
      <w:r w:rsidRPr="00EB4408">
        <w:t>research skills to identify and analyse a wide range of information sources</w:t>
      </w:r>
    </w:p>
    <w:p w:rsidR="00000000" w:rsidRPr="00EB4408" w:rsidP="00EB4408">
      <w:pPr>
        <w:pStyle w:val="ListBullet"/>
      </w:pPr>
      <w:r w:rsidRPr="00EB4408">
        <w:t>self-management skills to:</w:t>
      </w:r>
    </w:p>
    <w:p w:rsidR="00000000" w:rsidRPr="00EB4408" w:rsidP="00EB4408">
      <w:pPr>
        <w:pStyle w:val="ListBullet2"/>
      </w:pPr>
      <w:r w:rsidRPr="00EB4408">
        <w:t>prioritise work tasks and meet deadlines</w:t>
      </w:r>
    </w:p>
    <w:p w:rsidR="00000000" w:rsidRPr="00EB4408" w:rsidP="00EB4408">
      <w:pPr>
        <w:pStyle w:val="ListBullet2"/>
      </w:pPr>
      <w:r w:rsidRPr="00EB4408">
        <w:t>follow workplace procedures</w:t>
      </w:r>
    </w:p>
    <w:p w:rsidR="00000000" w:rsidRPr="00EB4408" w:rsidP="00EB4408">
      <w:pPr>
        <w:pStyle w:val="ListBullet"/>
      </w:pPr>
      <w:r w:rsidRPr="00EB4408">
        <w:t>teamwork skills to:</w:t>
      </w:r>
    </w:p>
    <w:p w:rsidR="00000000" w:rsidRPr="00EB4408" w:rsidP="00EB4408">
      <w:pPr>
        <w:pStyle w:val="ListBullet2"/>
      </w:pPr>
      <w:r w:rsidRPr="00EB4408">
        <w:t>work cooperatively with colleagues</w:t>
      </w:r>
    </w:p>
    <w:p w:rsidR="00000000" w:rsidRPr="00EB4408" w:rsidP="00EB4408">
      <w:pPr>
        <w:pStyle w:val="ListBullet2"/>
      </w:pPr>
      <w:r w:rsidRPr="00EB4408">
        <w:t>seek feedback on interpret</w:t>
      </w:r>
      <w:r w:rsidRPr="00EB4408">
        <w:t>ive strategies.</w:t>
      </w:r>
    </w:p>
    <w:p w:rsidR="00000000" w:rsidRPr="00EB4408" w:rsidP="00EB4408">
      <w:pPr>
        <w:pStyle w:val="BodyText"/>
      </w:pPr>
    </w:p>
    <w:p w:rsidR="00000000" w:rsidRPr="00EB4408" w:rsidP="00EB4408">
      <w:pPr>
        <w:pStyle w:val="BodyText"/>
      </w:pPr>
      <w:r w:rsidRPr="00EB4408">
        <w:rPr>
          <w:rStyle w:val="SpecialBold"/>
        </w:rPr>
        <w:t>Required knowledge</w:t>
      </w:r>
    </w:p>
    <w:p w:rsidR="00000000" w:rsidRPr="00EB4408" w:rsidP="00EB4408">
      <w:pPr>
        <w:pStyle w:val="ListBullet"/>
      </w:pPr>
      <w:r w:rsidRPr="00EB4408">
        <w:t>roles of different people involved in the exhibition development process and how these interrelate</w:t>
      </w:r>
    </w:p>
    <w:p w:rsidR="00000000" w:rsidRPr="00EB4408" w:rsidP="00EB4408">
      <w:pPr>
        <w:pStyle w:val="ListBullet"/>
      </w:pPr>
      <w:r w:rsidRPr="00EB4408">
        <w:t>purpose of an exhibition interpretive strategy and its impact on all aspects of exhibition development and implementation</w:t>
      </w:r>
    </w:p>
    <w:p w:rsidR="00000000" w:rsidRPr="00EB4408" w:rsidP="00EB4408">
      <w:pPr>
        <w:pStyle w:val="ListBullet"/>
      </w:pPr>
      <w:r w:rsidRPr="00EB4408">
        <w:t>exhibition development concepts, including:</w:t>
      </w:r>
    </w:p>
    <w:p w:rsidR="00000000" w:rsidRPr="00EB4408" w:rsidP="00EB4408">
      <w:pPr>
        <w:pStyle w:val="ListBullet2"/>
      </w:pPr>
      <w:r w:rsidRPr="00EB4408">
        <w:t>themes</w:t>
      </w:r>
    </w:p>
    <w:p w:rsidR="00000000" w:rsidRPr="00EB4408" w:rsidP="00EB4408">
      <w:pPr>
        <w:pStyle w:val="ListBullet2"/>
      </w:pPr>
      <w:r w:rsidRPr="00EB4408">
        <w:t>sub-themes</w:t>
      </w:r>
    </w:p>
    <w:p w:rsidR="00000000" w:rsidRPr="00EB4408" w:rsidP="00EB4408">
      <w:pPr>
        <w:pStyle w:val="ListBullet2"/>
      </w:pPr>
      <w:r w:rsidRPr="00EB4408">
        <w:t>storylines</w:t>
      </w:r>
    </w:p>
    <w:p w:rsidR="00000000" w:rsidRPr="00EB4408" w:rsidP="00EB4408">
      <w:pPr>
        <w:pStyle w:val="ListBullet2"/>
      </w:pPr>
      <w:r w:rsidRPr="00EB4408">
        <w:t>interpretation</w:t>
      </w:r>
    </w:p>
    <w:p w:rsidR="00000000" w:rsidRPr="00EB4408" w:rsidP="00EB4408">
      <w:pPr>
        <w:pStyle w:val="ListBullet"/>
      </w:pPr>
      <w:r w:rsidRPr="00EB4408">
        <w:t>principles of interpretation at a detailed l</w:t>
      </w:r>
      <w:r w:rsidRPr="00EB4408">
        <w:t>evel</w:t>
      </w:r>
    </w:p>
    <w:p w:rsidR="00000000" w:rsidRPr="00EB4408" w:rsidP="00EB4408">
      <w:pPr>
        <w:pStyle w:val="ListBullet"/>
      </w:pPr>
      <w:r w:rsidRPr="00EB4408">
        <w:t>processes for drawing links between collections, audience needs and interpretive approaches</w:t>
      </w:r>
    </w:p>
    <w:p w:rsidR="00000000" w:rsidRPr="00EB4408" w:rsidP="00EB4408">
      <w:pPr>
        <w:pStyle w:val="ListBullet"/>
      </w:pPr>
      <w:r w:rsidRPr="00EB4408">
        <w:t>commonly used interpretive approaches, including specific techniques and technical issues associated with their use</w:t>
      </w:r>
    </w:p>
    <w:p w:rsidR="00000000" w:rsidRPr="00EB4408" w:rsidP="00EB4408">
      <w:pPr>
        <w:pStyle w:val="ListBullet"/>
      </w:pPr>
      <w:r w:rsidRPr="00EB4408">
        <w:t>copyright, moral rights and intellectual pr</w:t>
      </w:r>
      <w:r w:rsidRPr="00EB4408">
        <w:t>operty legislation and issues that impact on exhibition interpretive strategies</w:t>
      </w:r>
    </w:p>
    <w:p w:rsidR="00000000" w:rsidRPr="00EB4408" w:rsidP="00EB4408">
      <w:pPr>
        <w:pStyle w:val="ListBullet"/>
      </w:pPr>
      <w:r w:rsidRPr="00EB4408">
        <w:t>cultural protocols relevant to the development of interpretive strategies, including those for exhibitions of Aboriginal or Torres Strait Islander material</w:t>
      </w:r>
    </w:p>
    <w:p w:rsidR="00000000" w:rsidRPr="00EB4408" w:rsidP="00EB4408">
      <w:pPr>
        <w:pStyle w:val="ListBullet"/>
      </w:pPr>
      <w:r w:rsidRPr="00EB4408">
        <w:t>principles of univer</w:t>
      </w:r>
      <w:r w:rsidRPr="00EB4408">
        <w:t>sal access and different audience communication needs, including potential specific needs</w:t>
      </w:r>
    </w:p>
    <w:p w:rsidR="00000000" w:rsidRPr="00EB4408" w:rsidP="00EB4408">
      <w:pPr>
        <w:pStyle w:val="ListBullet"/>
      </w:pPr>
      <w:r w:rsidRPr="00EB4408">
        <w:t>organisational policies and procedures.</w:t>
      </w:r>
    </w:p>
    <w:p w:rsidR="00000000" w:rsidRPr="00EB4408" w:rsidP="00EB4408">
      <w:pPr>
        <w:pStyle w:val="AllowPageBreak"/>
      </w:pPr>
    </w:p>
    <w:p w:rsidR="00000000" w:rsidRPr="00EB4408" w:rsidP="00EB4408">
      <w:pPr>
        <w:pStyle w:val="Heading1"/>
      </w:pPr>
      <w:bookmarkStart w:id="10" w:name="O_385774"/>
      <w:bookmarkEnd w:id="10"/>
      <w:r w:rsidRPr="00EB4408">
        <w:t>Evidence Guide</w:t>
      </w:r>
    </w:p>
    <w:p w:rsidR="00000000" w:rsidRPr="00EB4408" w:rsidP="00EB4408">
      <w:pPr>
        <w:pStyle w:val="BodyText"/>
      </w:pPr>
      <w:r w:rsidRPr="00EB4408">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EB4408" w:rsidP="00EB4408">
      <w:pPr>
        <w:pStyle w:val="BodyText"/>
      </w:pPr>
    </w:p>
    <w:tbl>
      <w:tblPr>
        <w:tblW w:w="0" w:type="auto"/>
        <w:tblLayout w:type="fixed"/>
        <w:tblCellMar>
          <w:left w:w="62" w:type="dxa"/>
          <w:right w:w="62" w:type="dxa"/>
        </w:tblCellMar>
        <w:tblLook w:val="0000"/>
      </w:tblPr>
      <w:tblGrid>
        <w:gridCol w:w="2541"/>
        <w:gridCol w:w="6519"/>
      </w:tblGrid>
      <w:tr w:rsidTr="00EB4408">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408">
            <w:pPr>
              <w:pStyle w:val="BodyText"/>
              <w:rPr>
                <w:lang w:val="en-NZ"/>
              </w:rPr>
            </w:pPr>
            <w:r w:rsidRPr="00EB4408">
              <w:rPr>
                <w:rStyle w:val="SpecialBold"/>
              </w:rPr>
              <w:t>Overview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408">
            <w:pPr>
              <w:pStyle w:val="BodyText"/>
              <w:rPr>
                <w:lang w:val="en-NZ"/>
              </w:rPr>
            </w:pPr>
          </w:p>
        </w:tc>
      </w:tr>
      <w:tr w:rsidTr="00EB4408">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408">
            <w:pPr>
              <w:pStyle w:val="BodyText"/>
              <w:rPr>
                <w:lang w:val="en-NZ"/>
              </w:rPr>
            </w:pPr>
            <w:r w:rsidRPr="00EB4408">
              <w:rPr>
                <w:rStyle w:val="SpecialBold"/>
              </w:rPr>
              <w:t>Critical aspect</w:t>
            </w:r>
            <w:r w:rsidRPr="00EB4408">
              <w:rPr>
                <w:rStyle w:val="SpecialBold"/>
              </w:rPr>
              <w:t>s for assessment and evidence required to demonstrate competency in this unit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4408" w:rsidP="00EB4408">
            <w:pPr>
              <w:pStyle w:val="BodyText"/>
            </w:pPr>
            <w:r w:rsidRPr="00EB4408">
              <w:t>Evidence of the ability to:</w:t>
            </w:r>
          </w:p>
          <w:p w:rsidR="00000000" w:rsidRPr="00EB4408" w:rsidP="00EB4408">
            <w:pPr>
              <w:pStyle w:val="ListBullet"/>
            </w:pPr>
            <w:r w:rsidRPr="00EB4408">
              <w:t>develop, implement and evaluate interpretive strategies for exhibition concepts that meet audience and organisational needs</w:t>
            </w:r>
          </w:p>
          <w:p w:rsidR="00000000" w:rsidP="00EB4408">
            <w:pPr>
              <w:pStyle w:val="ListBullet"/>
              <w:rPr>
                <w:lang w:val="en-NZ"/>
              </w:rPr>
            </w:pPr>
            <w:r w:rsidRPr="00EB4408">
              <w:t>apply detailed knowledge of different interpretive strategies and mechanisms within an exhibition context.</w:t>
            </w:r>
          </w:p>
        </w:tc>
      </w:tr>
      <w:tr w:rsidTr="00EB4408">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408">
            <w:pPr>
              <w:pStyle w:val="BodyText"/>
              <w:rPr>
                <w:lang w:val="en-NZ"/>
              </w:rPr>
            </w:pPr>
            <w:r w:rsidRPr="00EB4408">
              <w:rPr>
                <w:rStyle w:val="SpecialBold"/>
              </w:rPr>
              <w:t>Context of and specific resources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4408" w:rsidP="00EB4408">
            <w:pPr>
              <w:pStyle w:val="BodyText"/>
            </w:pPr>
            <w:r w:rsidRPr="00EB4408">
              <w:t>Assessment must ensure:</w:t>
            </w:r>
          </w:p>
          <w:p w:rsidR="00000000" w:rsidRPr="00EB4408" w:rsidP="00EB4408">
            <w:pPr>
              <w:pStyle w:val="ListBullet"/>
            </w:pPr>
            <w:r w:rsidRPr="00EB4408">
              <w:t>involvement of, and interaction with, an exhibition team to reflect the co</w:t>
            </w:r>
            <w:r w:rsidRPr="00EB4408">
              <w:t>llaborative nature of the development process</w:t>
            </w:r>
          </w:p>
          <w:p w:rsidR="00000000" w:rsidRPr="00EB4408" w:rsidP="00EB4408">
            <w:pPr>
              <w:pStyle w:val="ListBullet"/>
            </w:pPr>
            <w:r w:rsidRPr="00EB4408">
              <w:t>access to:</w:t>
            </w:r>
          </w:p>
          <w:p w:rsidR="00000000" w:rsidRPr="00EB4408" w:rsidP="00EB4408">
            <w:pPr>
              <w:pStyle w:val="ListBullet2"/>
            </w:pPr>
            <w:r w:rsidRPr="00EB4408">
              <w:t>an exhibition concept or idea for which an interpretive strategy can be developed</w:t>
            </w:r>
          </w:p>
          <w:p w:rsidR="00000000" w:rsidP="00EB4408">
            <w:pPr>
              <w:pStyle w:val="ListBullet2"/>
              <w:rPr>
                <w:lang w:val="en-NZ"/>
              </w:rPr>
            </w:pPr>
            <w:r w:rsidRPr="00EB4408">
              <w:t>resources required to produce interpretive support materials.</w:t>
            </w:r>
          </w:p>
        </w:tc>
      </w:tr>
      <w:tr w:rsidTr="00EB4408">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408">
            <w:pPr>
              <w:pStyle w:val="BodyText"/>
              <w:rPr>
                <w:lang w:val="en-NZ"/>
              </w:rPr>
            </w:pPr>
            <w:r w:rsidRPr="00EB4408">
              <w:rPr>
                <w:rStyle w:val="SpecialBold"/>
              </w:rPr>
              <w:t>Method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4408" w:rsidP="00EB4408">
            <w:pPr>
              <w:pStyle w:val="BodyText"/>
            </w:pPr>
            <w:r w:rsidRPr="00EB4408">
              <w:t>A range of assessment methods should be used to assess practical skills and knowledge. The following examples are appropriate for this unit:</w:t>
            </w:r>
          </w:p>
          <w:p w:rsidR="00000000" w:rsidRPr="00EB4408" w:rsidP="00EB4408">
            <w:pPr>
              <w:pStyle w:val="ListBullet"/>
            </w:pPr>
            <w:r w:rsidRPr="00EB4408">
              <w:t xml:space="preserve">direct questioning combined with review of portfolios of evidence and third-party workplace reports of on-the-job </w:t>
            </w:r>
            <w:r w:rsidRPr="00EB4408">
              <w:t>performance</w:t>
            </w:r>
          </w:p>
          <w:p w:rsidR="00000000" w:rsidRPr="00EB4408" w:rsidP="00EB4408">
            <w:pPr>
              <w:pStyle w:val="ListBullet"/>
            </w:pPr>
            <w:r w:rsidRPr="00EB4408">
              <w:t>evaluation of exhibitions for which the candidate has developed the interpretive strategy</w:t>
            </w:r>
          </w:p>
          <w:p w:rsidR="00000000" w:rsidRPr="00EB4408" w:rsidP="00EB4408">
            <w:pPr>
              <w:pStyle w:val="ListBullet"/>
            </w:pPr>
            <w:r w:rsidRPr="00EB4408">
              <w:t>evaluation of candidate’s ability to develop and adapt options and approaches for different collection or exhibition scenarios</w:t>
            </w:r>
          </w:p>
          <w:p w:rsidR="00000000" w:rsidRPr="00EB4408" w:rsidP="00EB4408">
            <w:pPr>
              <w:pStyle w:val="ListBullet"/>
            </w:pPr>
            <w:r w:rsidRPr="00EB4408">
              <w:t>review of an interpretive strategy presentation.</w:t>
            </w:r>
          </w:p>
          <w:p w:rsidR="00000000" w:rsidP="00EB4408">
            <w:pPr>
              <w:pStyle w:val="BodyText"/>
              <w:rPr>
                <w:lang w:val="en-NZ"/>
              </w:rPr>
            </w:pPr>
            <w:r w:rsidRPr="00EB4408">
              <w:t>Assessment methods should closely reflect workplace demands and the needs of particular client groups (consider the requirements of different age groups, clients with English as a second language, clients wi</w:t>
            </w:r>
            <w:r w:rsidRPr="00EB4408">
              <w:t>th disabilities, remote library users, etc.).</w:t>
            </w:r>
          </w:p>
        </w:tc>
      </w:tr>
      <w:tr w:rsidTr="00EB4408">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408">
            <w:pPr>
              <w:pStyle w:val="BodyText"/>
              <w:rPr>
                <w:lang w:val="en-NZ"/>
              </w:rPr>
            </w:pPr>
            <w:r w:rsidRPr="00EB4408">
              <w:rPr>
                <w:rStyle w:val="SpecialBold"/>
              </w:rPr>
              <w:t>Guidance information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4408" w:rsidP="00EB4408">
            <w:pPr>
              <w:pStyle w:val="BodyText"/>
            </w:pPr>
            <w:r w:rsidRPr="00EB4408">
              <w:t>Holistic assessment with other units relevant to the industry sector, workplace and job role is recommended, for example:</w:t>
            </w:r>
          </w:p>
          <w:p w:rsidR="00000000" w:rsidRPr="00EB4408" w:rsidP="00EB4408">
            <w:pPr>
              <w:pStyle w:val="ListBullet"/>
            </w:pPr>
            <w:r w:rsidRPr="00EB4408">
              <w:t>CULEVP504A Develop exhibition concepts.</w:t>
            </w:r>
          </w:p>
        </w:tc>
      </w:tr>
    </w:tbl>
    <w:p w:rsidR="00000000" w:rsidRPr="00EB4408" w:rsidP="00EB4408">
      <w:pPr>
        <w:pStyle w:val="BodyText"/>
      </w:pPr>
    </w:p>
    <w:p w:rsidR="00000000" w:rsidRPr="00EB4408" w:rsidP="00EB4408">
      <w:pPr>
        <w:pStyle w:val="AllowPageBreak"/>
      </w:pPr>
    </w:p>
    <w:p w:rsidR="00000000" w:rsidRPr="00EB4408" w:rsidP="00EB4408">
      <w:pPr>
        <w:pStyle w:val="Heading1"/>
      </w:pPr>
      <w:bookmarkStart w:id="11" w:name="O_385775"/>
      <w:bookmarkEnd w:id="11"/>
      <w:r w:rsidRPr="00EB4408">
        <w:t>Range Statement</w:t>
      </w:r>
    </w:p>
    <w:p w:rsidR="00000000" w:rsidRPr="00EB4408" w:rsidP="00EB4408">
      <w:pPr>
        <w:pStyle w:val="BodyText"/>
      </w:pPr>
      <w:r w:rsidRPr="00EB4408">
        <w:rPr>
          <w:rStyle w:val="Emphasis"/>
        </w:rPr>
        <w:t>The range statement relates to the unit of competency as a whole. It allows for different work environments and situations that may affect performance. Bold italicised wording, if used in the performance criteria, is detailed below</w:t>
      </w:r>
      <w:r w:rsidRPr="00EB4408">
        <w:rPr>
          <w:rStyle w:val="Emphasis"/>
        </w:rPr>
        <w:t>. Essential operating conditions that may be present with training and assessment (depending on the work situation, needs of the candidate, accessibility of the item, and local industry and regional contexts) may also be included.</w:t>
      </w:r>
    </w:p>
    <w:p w:rsidR="00000000" w:rsidRPr="00EB4408" w:rsidP="00EB4408">
      <w:pPr>
        <w:pStyle w:val="BodyText"/>
      </w:pPr>
    </w:p>
    <w:tbl>
      <w:tblPr>
        <w:tblW w:w="0" w:type="auto"/>
        <w:tblLayout w:type="fixed"/>
        <w:tblCellMar>
          <w:left w:w="62" w:type="dxa"/>
          <w:right w:w="62" w:type="dxa"/>
        </w:tblCellMar>
        <w:tblLook w:val="0000"/>
      </w:tblPr>
      <w:tblGrid>
        <w:gridCol w:w="2539"/>
        <w:gridCol w:w="6521"/>
      </w:tblGrid>
      <w:tr w:rsidTr="00EB4408">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408">
            <w:pPr>
              <w:pStyle w:val="BodyText"/>
              <w:rPr>
                <w:lang w:val="en-NZ"/>
              </w:rPr>
            </w:pPr>
            <w:r w:rsidRPr="00EB4408">
              <w:rPr>
                <w:rStyle w:val="BoldandItalics"/>
              </w:rPr>
              <w:t>Exhibitions</w:t>
            </w:r>
            <w:r w:rsidRPr="00EB4408">
              <w:t xml:space="preserve"> may be held </w:t>
            </w:r>
            <w:r w:rsidRPr="00EB4408">
              <w:t>in different contexts and environments, and may include:</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4408" w:rsidP="00EB4408">
            <w:pPr>
              <w:pStyle w:val="ListBullet"/>
            </w:pPr>
            <w:r w:rsidRPr="00EB4408">
              <w:t>corporate events</w:t>
            </w:r>
          </w:p>
          <w:p w:rsidR="00000000" w:rsidRPr="00EB4408" w:rsidP="00EB4408">
            <w:pPr>
              <w:pStyle w:val="ListBullet"/>
            </w:pPr>
            <w:r w:rsidRPr="00EB4408">
              <w:t>festivals</w:t>
            </w:r>
          </w:p>
          <w:p w:rsidR="00000000" w:rsidRPr="00EB4408" w:rsidP="00EB4408">
            <w:pPr>
              <w:pStyle w:val="ListBullet"/>
            </w:pPr>
            <w:r w:rsidRPr="00EB4408">
              <w:t>galleries</w:t>
            </w:r>
          </w:p>
          <w:p w:rsidR="00000000" w:rsidRPr="00EB4408" w:rsidP="00EB4408">
            <w:pPr>
              <w:pStyle w:val="ListBullet"/>
            </w:pPr>
            <w:r w:rsidRPr="00EB4408">
              <w:t>libraries</w:t>
            </w:r>
          </w:p>
          <w:p w:rsidR="00000000" w:rsidRPr="00EB4408" w:rsidP="00EB4408">
            <w:pPr>
              <w:pStyle w:val="ListBullet"/>
            </w:pPr>
            <w:r w:rsidRPr="00EB4408">
              <w:t>museums</w:t>
            </w:r>
          </w:p>
          <w:p w:rsidR="00000000" w:rsidRPr="00EB4408" w:rsidP="00EB4408">
            <w:pPr>
              <w:pStyle w:val="ListBullet"/>
            </w:pPr>
            <w:r w:rsidRPr="00EB4408">
              <w:t>online</w:t>
            </w:r>
          </w:p>
          <w:p w:rsidR="00000000" w:rsidRPr="00EB4408" w:rsidP="00EB4408">
            <w:pPr>
              <w:pStyle w:val="ListBullet"/>
            </w:pPr>
            <w:r w:rsidRPr="00EB4408">
              <w:t>permanent</w:t>
            </w:r>
          </w:p>
          <w:p w:rsidR="00000000" w:rsidRPr="00EB4408" w:rsidP="00EB4408">
            <w:pPr>
              <w:pStyle w:val="ListBullet"/>
            </w:pPr>
            <w:r w:rsidRPr="00EB4408">
              <w:t>temporary</w:t>
            </w:r>
          </w:p>
          <w:p w:rsidR="00000000" w:rsidRPr="00EB4408" w:rsidP="00EB4408">
            <w:pPr>
              <w:pStyle w:val="ListBullet"/>
            </w:pPr>
            <w:r w:rsidRPr="00EB4408">
              <w:t>theme parks</w:t>
            </w:r>
          </w:p>
          <w:p w:rsidR="00000000" w:rsidRPr="00EB4408" w:rsidP="00EB4408">
            <w:pPr>
              <w:pStyle w:val="ListBullet"/>
            </w:pPr>
            <w:r w:rsidRPr="00EB4408">
              <w:t>travelling</w:t>
            </w:r>
          </w:p>
          <w:p w:rsidR="00000000" w:rsidRPr="00EB4408" w:rsidP="00EB4408">
            <w:pPr>
              <w:pStyle w:val="ListBullet"/>
            </w:pPr>
            <w:r w:rsidRPr="00EB4408">
              <w:t>virtual</w:t>
            </w:r>
          </w:p>
          <w:p w:rsidR="00000000" w:rsidP="00EB4408">
            <w:pPr>
              <w:pStyle w:val="ListBullet"/>
              <w:rPr>
                <w:lang w:val="en-NZ"/>
              </w:rPr>
            </w:pPr>
            <w:r w:rsidRPr="00EB4408">
              <w:t>visitor attractions.</w:t>
            </w:r>
          </w:p>
        </w:tc>
      </w:tr>
      <w:tr w:rsidTr="00EB4408">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408">
            <w:pPr>
              <w:pStyle w:val="BodyText"/>
              <w:rPr>
                <w:lang w:val="en-NZ"/>
              </w:rPr>
            </w:pPr>
            <w:r w:rsidRPr="00EB4408">
              <w:rPr>
                <w:rStyle w:val="BoldandItalics"/>
              </w:rPr>
              <w:t>Audience profile</w:t>
            </w:r>
            <w:r w:rsidRPr="00EB4408">
              <w:t xml:space="preserve"> may relate to:</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4408" w:rsidP="00EB4408">
            <w:pPr>
              <w:pStyle w:val="ListBullet"/>
            </w:pPr>
            <w:r w:rsidRPr="00EB4408">
              <w:t>age</w:t>
            </w:r>
          </w:p>
          <w:p w:rsidR="00000000" w:rsidRPr="00EB4408" w:rsidP="00EB4408">
            <w:pPr>
              <w:pStyle w:val="ListBullet"/>
            </w:pPr>
            <w:r w:rsidRPr="00EB4408">
              <w:t>cultural preferences</w:t>
            </w:r>
          </w:p>
          <w:p w:rsidR="00000000" w:rsidRPr="00EB4408" w:rsidP="00EB4408">
            <w:pPr>
              <w:pStyle w:val="ListBullet"/>
            </w:pPr>
            <w:r w:rsidRPr="00EB4408">
              <w:t>cultural diversity</w:t>
            </w:r>
          </w:p>
          <w:p w:rsidR="00000000" w:rsidRPr="00EB4408" w:rsidP="00EB4408">
            <w:pPr>
              <w:pStyle w:val="ListBullet"/>
            </w:pPr>
            <w:r w:rsidRPr="00EB4408">
              <w:t>educational level</w:t>
            </w:r>
          </w:p>
          <w:p w:rsidR="00000000" w:rsidRPr="00EB4408" w:rsidP="00EB4408">
            <w:pPr>
              <w:pStyle w:val="ListBullet"/>
            </w:pPr>
            <w:r w:rsidRPr="00EB4408">
              <w:t>familiarity with collection</w:t>
            </w:r>
          </w:p>
          <w:p w:rsidR="00000000" w:rsidRPr="00EB4408" w:rsidP="00EB4408">
            <w:pPr>
              <w:pStyle w:val="ListBullet"/>
            </w:pPr>
            <w:r w:rsidRPr="00EB4408">
              <w:t>gender</w:t>
            </w:r>
          </w:p>
          <w:p w:rsidR="00000000" w:rsidP="00EB4408">
            <w:pPr>
              <w:pStyle w:val="ListBullet"/>
              <w:rPr>
                <w:lang w:val="en-NZ"/>
              </w:rPr>
            </w:pPr>
            <w:r w:rsidRPr="00EB4408">
              <w:t>special interest.</w:t>
            </w:r>
          </w:p>
        </w:tc>
      </w:tr>
      <w:tr w:rsidTr="00EB4408">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408">
            <w:pPr>
              <w:pStyle w:val="BodyText"/>
              <w:rPr>
                <w:lang w:val="en-NZ"/>
              </w:rPr>
            </w:pPr>
            <w:r w:rsidRPr="00EB4408">
              <w:rPr>
                <w:rStyle w:val="BoldandItalics"/>
              </w:rPr>
              <w:t>Links</w:t>
            </w:r>
            <w:r w:rsidRPr="00EB4408">
              <w:t xml:space="preserve"> may relate to:</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4408" w:rsidP="00EB4408">
            <w:pPr>
              <w:pStyle w:val="ListBullet"/>
            </w:pPr>
            <w:r w:rsidRPr="00EB4408">
              <w:t>appropriateness of different technologies</w:t>
            </w:r>
          </w:p>
          <w:p w:rsidR="00000000" w:rsidRPr="00EB4408" w:rsidP="00EB4408">
            <w:pPr>
              <w:pStyle w:val="ListBullet"/>
            </w:pPr>
            <w:r w:rsidRPr="00EB4408">
              <w:t>educational issues</w:t>
            </w:r>
          </w:p>
          <w:p w:rsidR="00000000" w:rsidRPr="00EB4408" w:rsidP="00EB4408">
            <w:pPr>
              <w:pStyle w:val="ListBullet"/>
            </w:pPr>
            <w:r w:rsidRPr="00EB4408">
              <w:t>issues, such as:</w:t>
            </w:r>
          </w:p>
          <w:p w:rsidR="00000000" w:rsidRPr="00EB4408" w:rsidP="00EB4408">
            <w:pPr>
              <w:pStyle w:val="ListBullet2"/>
            </w:pPr>
            <w:r w:rsidRPr="00EB4408">
              <w:t>cultural</w:t>
            </w:r>
          </w:p>
          <w:p w:rsidR="00000000" w:rsidRPr="00EB4408" w:rsidP="00EB4408">
            <w:pPr>
              <w:pStyle w:val="ListBullet2"/>
            </w:pPr>
            <w:r w:rsidRPr="00EB4408">
              <w:t>emotional</w:t>
            </w:r>
          </w:p>
          <w:p w:rsidR="00000000" w:rsidRPr="00EB4408" w:rsidP="00EB4408">
            <w:pPr>
              <w:pStyle w:val="ListBullet2"/>
            </w:pPr>
            <w:r w:rsidRPr="00EB4408">
              <w:t>political</w:t>
            </w:r>
          </w:p>
          <w:p w:rsidR="00000000" w:rsidRPr="00EB4408" w:rsidP="00EB4408">
            <w:pPr>
              <w:pStyle w:val="ListBullet2"/>
            </w:pPr>
            <w:r w:rsidRPr="00EB4408">
              <w:t>social</w:t>
            </w:r>
          </w:p>
          <w:p w:rsidR="00000000" w:rsidRPr="00EB4408" w:rsidP="00EB4408">
            <w:pPr>
              <w:pStyle w:val="ListBullet"/>
            </w:pPr>
            <w:r w:rsidRPr="00EB4408">
              <w:t>preferred learning styles</w:t>
            </w:r>
          </w:p>
          <w:p w:rsidR="00000000" w:rsidP="00EB4408">
            <w:pPr>
              <w:pStyle w:val="ListBullet"/>
              <w:rPr>
                <w:lang w:val="en-NZ"/>
              </w:rPr>
            </w:pPr>
            <w:r w:rsidRPr="00EB4408">
              <w:t>special needs considerations.</w:t>
            </w:r>
          </w:p>
        </w:tc>
      </w:tr>
      <w:tr w:rsidTr="00EB4408">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408">
            <w:pPr>
              <w:pStyle w:val="BodyText"/>
              <w:rPr>
                <w:lang w:val="en-NZ"/>
              </w:rPr>
            </w:pPr>
            <w:r w:rsidRPr="00EB4408">
              <w:rPr>
                <w:rStyle w:val="BoldandItalics"/>
              </w:rPr>
              <w:t>Stakeholders</w:t>
            </w:r>
            <w:r w:rsidRPr="00EB4408">
              <w:t xml:space="preserve"> may include:</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4408" w:rsidP="00EB4408">
            <w:pPr>
              <w:pStyle w:val="ListBullet"/>
            </w:pPr>
            <w:r w:rsidRPr="00EB4408">
              <w:t>artists</w:t>
            </w:r>
          </w:p>
          <w:p w:rsidR="00000000" w:rsidRPr="00EB4408" w:rsidP="00EB4408">
            <w:pPr>
              <w:pStyle w:val="ListBullet"/>
            </w:pPr>
            <w:r w:rsidRPr="00EB4408">
              <w:t>boards of management</w:t>
            </w:r>
          </w:p>
          <w:p w:rsidR="00000000" w:rsidRPr="00EB4408" w:rsidP="00EB4408">
            <w:pPr>
              <w:pStyle w:val="ListBullet"/>
            </w:pPr>
            <w:r w:rsidRPr="00EB4408">
              <w:t>colleagues</w:t>
            </w:r>
          </w:p>
          <w:p w:rsidR="00000000" w:rsidRPr="00EB4408" w:rsidP="00EB4408">
            <w:pPr>
              <w:pStyle w:val="ListBullet"/>
            </w:pPr>
            <w:r w:rsidRPr="00EB4408">
              <w:t>conservators</w:t>
            </w:r>
          </w:p>
          <w:p w:rsidR="00000000" w:rsidRPr="00EB4408" w:rsidP="00EB4408">
            <w:pPr>
              <w:pStyle w:val="ListBullet"/>
            </w:pPr>
            <w:r w:rsidRPr="00EB4408">
              <w:t>cultural groups associated with exhibitions</w:t>
            </w:r>
          </w:p>
          <w:p w:rsidR="00000000" w:rsidRPr="00EB4408" w:rsidP="00EB4408">
            <w:pPr>
              <w:pStyle w:val="ListBullet"/>
            </w:pPr>
            <w:r w:rsidRPr="00EB4408">
              <w:t>curators</w:t>
            </w:r>
          </w:p>
          <w:p w:rsidR="00000000" w:rsidRPr="00EB4408" w:rsidP="00EB4408">
            <w:pPr>
              <w:pStyle w:val="ListBullet"/>
            </w:pPr>
            <w:r w:rsidRPr="00EB4408">
              <w:t>customers</w:t>
            </w:r>
          </w:p>
          <w:p w:rsidR="00000000" w:rsidRPr="00EB4408" w:rsidP="00EB4408">
            <w:pPr>
              <w:pStyle w:val="ListBullet"/>
            </w:pPr>
            <w:r w:rsidRPr="00EB4408">
              <w:t>designers</w:t>
            </w:r>
          </w:p>
          <w:p w:rsidR="00000000" w:rsidRPr="00EB4408" w:rsidP="00EB4408">
            <w:pPr>
              <w:pStyle w:val="ListBullet"/>
            </w:pPr>
            <w:r w:rsidRPr="00EB4408">
              <w:t>donors</w:t>
            </w:r>
          </w:p>
          <w:p w:rsidR="00000000" w:rsidRPr="00EB4408" w:rsidP="00EB4408">
            <w:pPr>
              <w:pStyle w:val="ListBullet"/>
            </w:pPr>
            <w:r w:rsidRPr="00EB4408">
              <w:t>education officers</w:t>
            </w:r>
          </w:p>
          <w:p w:rsidR="00000000" w:rsidRPr="00EB4408" w:rsidP="00EB4408">
            <w:pPr>
              <w:pStyle w:val="ListBullet"/>
            </w:pPr>
            <w:r w:rsidRPr="00EB4408">
              <w:t>exhibition construction specialists</w:t>
            </w:r>
          </w:p>
          <w:p w:rsidR="00000000" w:rsidRPr="00EB4408" w:rsidP="00EB4408">
            <w:pPr>
              <w:pStyle w:val="ListBullet"/>
            </w:pPr>
            <w:r w:rsidRPr="00EB4408">
              <w:t>local authorities</w:t>
            </w:r>
          </w:p>
          <w:p w:rsidR="00000000" w:rsidRPr="00EB4408" w:rsidP="00EB4408">
            <w:pPr>
              <w:pStyle w:val="ListBullet"/>
            </w:pPr>
            <w:r w:rsidRPr="00EB4408">
              <w:t>local community members</w:t>
            </w:r>
          </w:p>
          <w:p w:rsidR="00000000" w:rsidRPr="00EB4408" w:rsidP="00EB4408">
            <w:pPr>
              <w:pStyle w:val="ListBullet"/>
            </w:pPr>
            <w:r w:rsidRPr="00EB4408">
              <w:t>management</w:t>
            </w:r>
          </w:p>
          <w:p w:rsidR="00000000" w:rsidRPr="00EB4408" w:rsidP="00EB4408">
            <w:pPr>
              <w:pStyle w:val="ListBullet"/>
            </w:pPr>
            <w:r w:rsidRPr="00EB4408">
              <w:t>organising committees</w:t>
            </w:r>
          </w:p>
          <w:p w:rsidR="00000000" w:rsidRPr="00EB4408" w:rsidP="00EB4408">
            <w:pPr>
              <w:pStyle w:val="ListBullet"/>
            </w:pPr>
            <w:r w:rsidRPr="00EB4408">
              <w:t>performers</w:t>
            </w:r>
          </w:p>
          <w:p w:rsidR="00000000" w:rsidP="00EB4408">
            <w:pPr>
              <w:pStyle w:val="ListBullet"/>
              <w:rPr>
                <w:lang w:val="en-NZ"/>
              </w:rPr>
            </w:pPr>
            <w:r w:rsidRPr="00EB4408">
              <w:t>technical specialists.</w:t>
            </w:r>
          </w:p>
        </w:tc>
      </w:tr>
      <w:tr w:rsidTr="00EB4408">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408">
            <w:pPr>
              <w:pStyle w:val="BodyText"/>
              <w:rPr>
                <w:lang w:val="en-NZ"/>
              </w:rPr>
            </w:pPr>
            <w:r w:rsidRPr="00EB4408">
              <w:rPr>
                <w:rStyle w:val="BoldandItalics"/>
              </w:rPr>
              <w:t>Aspects of interpretive strategies</w:t>
            </w:r>
            <w:r w:rsidRPr="00EB4408">
              <w:t xml:space="preserve"> may include:</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4408" w:rsidP="00EB4408">
            <w:pPr>
              <w:pStyle w:val="ListBullet"/>
            </w:pPr>
            <w:r w:rsidRPr="00EB4408">
              <w:t>access issues</w:t>
            </w:r>
          </w:p>
          <w:p w:rsidR="00000000" w:rsidRPr="00EB4408" w:rsidP="00EB4408">
            <w:pPr>
              <w:pStyle w:val="ListBullet"/>
            </w:pPr>
            <w:r w:rsidRPr="00EB4408">
              <w:t>artist performance</w:t>
            </w:r>
          </w:p>
          <w:p w:rsidR="00000000" w:rsidRPr="00EB4408" w:rsidP="00EB4408">
            <w:pPr>
              <w:pStyle w:val="ListBullet"/>
            </w:pPr>
            <w:r w:rsidRPr="00EB4408">
              <w:t>audio and audiovisual</w:t>
            </w:r>
          </w:p>
          <w:p w:rsidR="00000000" w:rsidRPr="00EB4408" w:rsidP="00EB4408">
            <w:pPr>
              <w:pStyle w:val="ListBullet"/>
            </w:pPr>
            <w:r w:rsidRPr="00EB4408">
              <w:t>interactive elements</w:t>
            </w:r>
          </w:p>
          <w:p w:rsidR="00000000" w:rsidRPr="00EB4408" w:rsidP="00EB4408">
            <w:pPr>
              <w:pStyle w:val="ListBullet"/>
            </w:pPr>
            <w:r w:rsidRPr="00EB4408">
              <w:t>labels</w:t>
            </w:r>
          </w:p>
          <w:p w:rsidR="00000000" w:rsidRPr="00EB4408" w:rsidP="00EB4408">
            <w:pPr>
              <w:pStyle w:val="ListBullet"/>
            </w:pPr>
            <w:r w:rsidRPr="00EB4408">
              <w:t>live interpretation</w:t>
            </w:r>
          </w:p>
          <w:p w:rsidR="00000000" w:rsidRPr="00EB4408" w:rsidP="00EB4408">
            <w:pPr>
              <w:pStyle w:val="ListBullet"/>
            </w:pPr>
            <w:r w:rsidRPr="00EB4408">
              <w:t>online</w:t>
            </w:r>
          </w:p>
          <w:p w:rsidR="00000000" w:rsidRPr="00EB4408" w:rsidP="00EB4408">
            <w:pPr>
              <w:pStyle w:val="ListBullet"/>
            </w:pPr>
            <w:r w:rsidRPr="00EB4408">
              <w:t>physical display</w:t>
            </w:r>
          </w:p>
          <w:p w:rsidR="00000000" w:rsidRPr="00EB4408" w:rsidP="00EB4408">
            <w:pPr>
              <w:pStyle w:val="ListBullet"/>
            </w:pPr>
            <w:r w:rsidRPr="00EB4408">
              <w:t>promotional materials, such as:</w:t>
            </w:r>
          </w:p>
          <w:p w:rsidR="00000000" w:rsidRPr="00EB4408" w:rsidP="00EB4408">
            <w:pPr>
              <w:pStyle w:val="ListBullet2"/>
            </w:pPr>
            <w:r w:rsidRPr="00EB4408">
              <w:t>brochures</w:t>
            </w:r>
          </w:p>
          <w:p w:rsidR="00000000" w:rsidRPr="00EB4408" w:rsidP="00EB4408">
            <w:pPr>
              <w:pStyle w:val="ListBullet2"/>
            </w:pPr>
            <w:r w:rsidRPr="00EB4408">
              <w:t>tickets</w:t>
            </w:r>
          </w:p>
          <w:p w:rsidR="00000000" w:rsidRPr="00EB4408" w:rsidP="00EB4408">
            <w:pPr>
              <w:pStyle w:val="ListBullet2"/>
            </w:pPr>
            <w:r w:rsidRPr="00EB4408">
              <w:t>posters</w:t>
            </w:r>
          </w:p>
          <w:p w:rsidR="00000000" w:rsidRPr="00EB4408" w:rsidP="00EB4408">
            <w:pPr>
              <w:pStyle w:val="ListBullet"/>
            </w:pPr>
            <w:r w:rsidRPr="00EB4408">
              <w:t>publications</w:t>
            </w:r>
          </w:p>
          <w:p w:rsidR="00000000" w:rsidRPr="00EB4408" w:rsidP="00EB4408">
            <w:pPr>
              <w:pStyle w:val="ListBullet"/>
            </w:pPr>
            <w:r w:rsidRPr="00EB4408">
              <w:t>story telling</w:t>
            </w:r>
          </w:p>
          <w:p w:rsidR="00000000" w:rsidP="00EB4408">
            <w:pPr>
              <w:pStyle w:val="ListBullet"/>
              <w:rPr>
                <w:lang w:val="en-NZ"/>
              </w:rPr>
            </w:pPr>
            <w:r w:rsidRPr="00EB4408">
              <w:t>virtual.</w:t>
            </w:r>
          </w:p>
        </w:tc>
      </w:tr>
      <w:tr w:rsidTr="00EB4408">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408">
            <w:pPr>
              <w:pStyle w:val="BodyText"/>
              <w:rPr>
                <w:lang w:val="en-NZ"/>
              </w:rPr>
            </w:pPr>
            <w:r w:rsidRPr="00EB4408">
              <w:rPr>
                <w:rStyle w:val="BoldandItalics"/>
              </w:rPr>
              <w:t>Options and approaches</w:t>
            </w:r>
            <w:r w:rsidRPr="00EB4408">
              <w:t xml:space="preserve"> may relate to use of:</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4408" w:rsidP="00EB4408">
            <w:pPr>
              <w:pStyle w:val="ListBullet"/>
            </w:pPr>
            <w:r w:rsidRPr="00EB4408">
              <w:t>audio</w:t>
            </w:r>
          </w:p>
          <w:p w:rsidR="00000000" w:rsidRPr="00EB4408" w:rsidP="00EB4408">
            <w:pPr>
              <w:pStyle w:val="ListBullet"/>
            </w:pPr>
            <w:r w:rsidRPr="00EB4408">
              <w:t>charts</w:t>
            </w:r>
          </w:p>
          <w:p w:rsidR="00000000" w:rsidRPr="00EB4408" w:rsidP="00EB4408">
            <w:pPr>
              <w:pStyle w:val="ListBullet"/>
            </w:pPr>
            <w:r w:rsidRPr="00EB4408">
              <w:t>colours</w:t>
            </w:r>
          </w:p>
          <w:p w:rsidR="00000000" w:rsidRPr="00EB4408" w:rsidP="00EB4408">
            <w:pPr>
              <w:pStyle w:val="ListBullet"/>
            </w:pPr>
            <w:r w:rsidRPr="00EB4408">
              <w:t>diagrams</w:t>
            </w:r>
          </w:p>
          <w:p w:rsidR="00000000" w:rsidRPr="00EB4408" w:rsidP="00EB4408">
            <w:pPr>
              <w:pStyle w:val="ListBullet"/>
            </w:pPr>
            <w:r w:rsidRPr="00EB4408">
              <w:t>fonts</w:t>
            </w:r>
          </w:p>
          <w:p w:rsidR="00000000" w:rsidRPr="00EB4408" w:rsidP="00EB4408">
            <w:pPr>
              <w:pStyle w:val="ListBullet"/>
            </w:pPr>
            <w:r w:rsidRPr="00EB4408">
              <w:t>grammar and style</w:t>
            </w:r>
          </w:p>
          <w:p w:rsidR="00000000" w:rsidRPr="00EB4408" w:rsidP="00EB4408">
            <w:pPr>
              <w:pStyle w:val="ListBullet"/>
            </w:pPr>
            <w:r w:rsidRPr="00EB4408">
              <w:t>graphics</w:t>
            </w:r>
          </w:p>
          <w:p w:rsidR="00000000" w:rsidRPr="00EB4408" w:rsidP="00EB4408">
            <w:pPr>
              <w:pStyle w:val="ListBullet"/>
            </w:pPr>
            <w:r w:rsidRPr="00EB4408">
              <w:t>interactive</w:t>
            </w:r>
          </w:p>
          <w:p w:rsidR="00000000" w:rsidRPr="00EB4408" w:rsidP="00EB4408">
            <w:pPr>
              <w:pStyle w:val="ListBullet"/>
            </w:pPr>
            <w:r w:rsidRPr="00EB4408">
              <w:t>maps</w:t>
            </w:r>
          </w:p>
          <w:p w:rsidR="00000000" w:rsidRPr="00EB4408" w:rsidP="00EB4408">
            <w:pPr>
              <w:pStyle w:val="ListBullet"/>
            </w:pPr>
            <w:r w:rsidRPr="00EB4408">
              <w:t>photographs</w:t>
            </w:r>
          </w:p>
          <w:p w:rsidR="00000000" w:rsidRPr="00EB4408" w:rsidP="00EB4408">
            <w:pPr>
              <w:pStyle w:val="ListBullet"/>
            </w:pPr>
            <w:r w:rsidRPr="00EB4408">
              <w:t>pictorial depictions</w:t>
            </w:r>
          </w:p>
          <w:p w:rsidR="00000000" w:rsidRPr="00EB4408" w:rsidP="00EB4408">
            <w:pPr>
              <w:pStyle w:val="ListBullet"/>
            </w:pPr>
            <w:r w:rsidRPr="00EB4408">
              <w:t>signs</w:t>
            </w:r>
          </w:p>
          <w:p w:rsidR="00000000" w:rsidRPr="00EB4408" w:rsidP="00EB4408">
            <w:pPr>
              <w:pStyle w:val="ListBullet"/>
            </w:pPr>
            <w:r w:rsidRPr="00EB4408">
              <w:t>text</w:t>
            </w:r>
          </w:p>
          <w:p w:rsidR="00000000" w:rsidRPr="00EB4408" w:rsidP="00EB4408">
            <w:pPr>
              <w:pStyle w:val="ListBullet"/>
            </w:pPr>
            <w:r w:rsidRPr="00EB4408">
              <w:t>typefaces</w:t>
            </w:r>
          </w:p>
          <w:p w:rsidR="00000000" w:rsidP="00EB4408">
            <w:pPr>
              <w:pStyle w:val="ListBullet"/>
              <w:rPr>
                <w:lang w:val="en-NZ"/>
              </w:rPr>
            </w:pPr>
            <w:r w:rsidRPr="00EB4408">
              <w:t>video.</w:t>
            </w:r>
          </w:p>
        </w:tc>
      </w:tr>
      <w:tr w:rsidTr="00EB4408">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408">
            <w:pPr>
              <w:pStyle w:val="BodyText"/>
              <w:rPr>
                <w:lang w:val="en-NZ"/>
              </w:rPr>
            </w:pPr>
            <w:r w:rsidRPr="00EB4408">
              <w:rPr>
                <w:rStyle w:val="BoldandItalics"/>
              </w:rPr>
              <w:t>Specialist advice</w:t>
            </w:r>
            <w:r w:rsidRPr="00EB4408">
              <w:t xml:space="preserve"> may relate to:</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4408" w:rsidP="00EB4408">
            <w:pPr>
              <w:pStyle w:val="ListBullet"/>
            </w:pPr>
            <w:r w:rsidRPr="00EB4408">
              <w:t>audience needs</w:t>
            </w:r>
          </w:p>
          <w:p w:rsidR="00000000" w:rsidRPr="00EB4408" w:rsidP="00EB4408">
            <w:pPr>
              <w:pStyle w:val="ListBullet"/>
            </w:pPr>
            <w:r w:rsidRPr="00EB4408">
              <w:t>construction</w:t>
            </w:r>
          </w:p>
          <w:p w:rsidR="00000000" w:rsidRPr="00EB4408" w:rsidP="00EB4408">
            <w:pPr>
              <w:pStyle w:val="ListBullet"/>
            </w:pPr>
            <w:r w:rsidRPr="00EB4408">
              <w:t>graphic design</w:t>
            </w:r>
          </w:p>
          <w:p w:rsidR="00000000" w:rsidRPr="00EB4408" w:rsidP="00EB4408">
            <w:pPr>
              <w:pStyle w:val="ListBullet"/>
            </w:pPr>
            <w:r w:rsidRPr="00EB4408">
              <w:t>interactive and multimedia design</w:t>
            </w:r>
          </w:p>
          <w:p w:rsidR="00000000" w:rsidRPr="00EB4408" w:rsidP="00EB4408">
            <w:pPr>
              <w:pStyle w:val="ListBullet"/>
            </w:pPr>
            <w:r w:rsidRPr="00EB4408">
              <w:t>learning styles</w:t>
            </w:r>
          </w:p>
          <w:p w:rsidR="00000000" w:rsidRPr="00EB4408" w:rsidP="00EB4408">
            <w:pPr>
              <w:pStyle w:val="ListBullet"/>
            </w:pPr>
            <w:r w:rsidRPr="00EB4408">
              <w:t>printing</w:t>
            </w:r>
          </w:p>
          <w:p w:rsidR="00000000" w:rsidRPr="00EB4408" w:rsidP="00EB4408">
            <w:pPr>
              <w:pStyle w:val="ListBullet"/>
            </w:pPr>
            <w:r w:rsidRPr="00EB4408">
              <w:t>public relations</w:t>
            </w:r>
          </w:p>
          <w:p w:rsidR="00000000" w:rsidP="00EB4408">
            <w:pPr>
              <w:pStyle w:val="ListBullet"/>
              <w:rPr>
                <w:lang w:val="en-NZ"/>
              </w:rPr>
            </w:pPr>
            <w:r w:rsidRPr="00EB4408">
              <w:t>technology.</w:t>
            </w:r>
          </w:p>
        </w:tc>
      </w:tr>
      <w:tr w:rsidTr="00EB4408">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408">
            <w:pPr>
              <w:pStyle w:val="BodyText"/>
              <w:rPr>
                <w:lang w:val="en-NZ"/>
              </w:rPr>
            </w:pPr>
            <w:r w:rsidRPr="00EB4408">
              <w:rPr>
                <w:rStyle w:val="BoldandItalics"/>
              </w:rPr>
              <w:t>Appropriate format</w:t>
            </w:r>
            <w:r w:rsidRPr="00EB4408">
              <w:t xml:space="preserve"> may be:</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4408" w:rsidP="00EB4408">
            <w:pPr>
              <w:pStyle w:val="ListBullet"/>
            </w:pPr>
            <w:r w:rsidRPr="00EB4408">
              <w:t>animation</w:t>
            </w:r>
          </w:p>
          <w:p w:rsidR="00000000" w:rsidRPr="00EB4408" w:rsidP="00EB4408">
            <w:pPr>
              <w:pStyle w:val="ListBullet"/>
            </w:pPr>
            <w:r w:rsidRPr="00EB4408">
              <w:t>assistive technology format</w:t>
            </w:r>
          </w:p>
          <w:p w:rsidR="00000000" w:rsidRPr="00EB4408" w:rsidP="00EB4408">
            <w:pPr>
              <w:pStyle w:val="ListBullet"/>
            </w:pPr>
            <w:r w:rsidRPr="00EB4408">
              <w:t>audio</w:t>
            </w:r>
          </w:p>
          <w:p w:rsidR="00000000" w:rsidRPr="00EB4408" w:rsidP="00EB4408">
            <w:pPr>
              <w:pStyle w:val="ListBullet"/>
            </w:pPr>
            <w:r w:rsidRPr="00EB4408">
              <w:t>digital image</w:t>
            </w:r>
          </w:p>
          <w:p w:rsidR="00000000" w:rsidRPr="00EB4408" w:rsidP="00EB4408">
            <w:pPr>
              <w:pStyle w:val="ListBullet"/>
            </w:pPr>
            <w:r w:rsidRPr="00EB4408">
              <w:t>drawing</w:t>
            </w:r>
          </w:p>
          <w:p w:rsidR="00000000" w:rsidRPr="00EB4408" w:rsidP="00EB4408">
            <w:pPr>
              <w:pStyle w:val="ListBullet"/>
            </w:pPr>
            <w:r w:rsidRPr="00EB4408">
              <w:t>electronic presentation</w:t>
            </w:r>
          </w:p>
          <w:p w:rsidR="00000000" w:rsidRPr="00EB4408" w:rsidP="00EB4408">
            <w:pPr>
              <w:pStyle w:val="ListBullet"/>
            </w:pPr>
            <w:r w:rsidRPr="00EB4408">
              <w:t>graphic format</w:t>
            </w:r>
          </w:p>
          <w:p w:rsidR="00000000" w:rsidRPr="00EB4408" w:rsidP="00EB4408">
            <w:pPr>
              <w:pStyle w:val="ListBullet"/>
            </w:pPr>
            <w:r w:rsidRPr="00EB4408">
              <w:t>model</w:t>
            </w:r>
          </w:p>
          <w:p w:rsidR="00000000" w:rsidRPr="00EB4408" w:rsidP="00EB4408">
            <w:pPr>
              <w:pStyle w:val="ListBullet"/>
            </w:pPr>
            <w:r w:rsidRPr="00EB4408">
              <w:t>photograph</w:t>
            </w:r>
          </w:p>
          <w:p w:rsidR="00000000" w:rsidRPr="00EB4408" w:rsidP="00EB4408">
            <w:pPr>
              <w:pStyle w:val="ListBullet"/>
            </w:pPr>
            <w:r w:rsidRPr="00EB4408">
              <w:t>plan</w:t>
            </w:r>
          </w:p>
          <w:p w:rsidR="00000000" w:rsidRPr="00EB4408" w:rsidP="00EB4408">
            <w:pPr>
              <w:pStyle w:val="ListBullet"/>
            </w:pPr>
            <w:r w:rsidRPr="00EB4408">
              <w:t>printed report</w:t>
            </w:r>
          </w:p>
          <w:p w:rsidR="00000000" w:rsidRPr="00EB4408" w:rsidP="00EB4408">
            <w:pPr>
              <w:pStyle w:val="ListBullet"/>
            </w:pPr>
            <w:r w:rsidRPr="00EB4408">
              <w:t>verbal description</w:t>
            </w:r>
          </w:p>
          <w:p w:rsidR="00000000" w:rsidP="00EB4408">
            <w:pPr>
              <w:pStyle w:val="ListBullet"/>
              <w:rPr>
                <w:lang w:val="en-NZ"/>
              </w:rPr>
            </w:pPr>
            <w:r w:rsidRPr="00EB4408">
              <w:t>video.</w:t>
            </w:r>
          </w:p>
        </w:tc>
      </w:tr>
      <w:tr w:rsidTr="00EB4408">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408">
            <w:pPr>
              <w:pStyle w:val="BodyText"/>
              <w:rPr>
                <w:lang w:val="en-NZ"/>
              </w:rPr>
            </w:pPr>
            <w:r w:rsidRPr="00EB4408">
              <w:rPr>
                <w:rStyle w:val="BoldandItalics"/>
              </w:rPr>
              <w:t>Resources</w:t>
            </w:r>
            <w:r w:rsidRPr="00EB4408">
              <w:t xml:space="preserve"> may be internal or external and could include:</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4408" w:rsidP="00EB4408">
            <w:pPr>
              <w:pStyle w:val="ListBullet"/>
            </w:pPr>
            <w:r w:rsidRPr="00EB4408">
              <w:t>budgetary allocation</w:t>
            </w:r>
          </w:p>
          <w:p w:rsidR="00000000" w:rsidRPr="00EB4408" w:rsidP="00EB4408">
            <w:pPr>
              <w:pStyle w:val="ListBullet"/>
            </w:pPr>
            <w:r w:rsidRPr="00EB4408">
              <w:t>equipment</w:t>
            </w:r>
          </w:p>
          <w:p w:rsidR="00000000" w:rsidRPr="00EB4408" w:rsidP="00EB4408">
            <w:pPr>
              <w:pStyle w:val="ListBullet"/>
            </w:pPr>
            <w:r w:rsidRPr="00EB4408">
              <w:t>materials, such as papers</w:t>
            </w:r>
          </w:p>
          <w:p w:rsidR="00000000" w:rsidRPr="00EB4408" w:rsidP="00EB4408">
            <w:pPr>
              <w:pStyle w:val="ListBullet"/>
            </w:pPr>
            <w:r w:rsidRPr="00EB4408">
              <w:t>specialist practitioners</w:t>
            </w:r>
          </w:p>
          <w:p w:rsidR="00000000" w:rsidP="00EB4408">
            <w:pPr>
              <w:pStyle w:val="ListBullet"/>
              <w:rPr>
                <w:lang w:val="en-NZ"/>
              </w:rPr>
            </w:pPr>
            <w:r w:rsidRPr="00EB4408">
              <w:t>tools.</w:t>
            </w:r>
          </w:p>
        </w:tc>
      </w:tr>
      <w:tr w:rsidTr="00EB4408">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408">
            <w:pPr>
              <w:pStyle w:val="BodyText"/>
              <w:rPr>
                <w:lang w:val="en-NZ"/>
              </w:rPr>
            </w:pPr>
            <w:r w:rsidRPr="00EB4408">
              <w:rPr>
                <w:rStyle w:val="BoldandItalics"/>
              </w:rPr>
              <w:t>Evaluation mechanisms</w:t>
            </w:r>
            <w:r w:rsidRPr="00EB4408">
              <w:t xml:space="preserve"> may be formative or summative and may include:</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4408" w:rsidP="00EB4408">
            <w:pPr>
              <w:pStyle w:val="ListBullet"/>
            </w:pPr>
            <w:r w:rsidRPr="00EB4408">
              <w:t>financial success</w:t>
            </w:r>
          </w:p>
          <w:p w:rsidR="00000000" w:rsidRPr="00EB4408" w:rsidP="00EB4408">
            <w:pPr>
              <w:pStyle w:val="ListBullet"/>
            </w:pPr>
            <w:r w:rsidRPr="00EB4408">
              <w:t>focus groups</w:t>
            </w:r>
          </w:p>
          <w:p w:rsidR="00000000" w:rsidRPr="00EB4408" w:rsidP="00EB4408">
            <w:pPr>
              <w:pStyle w:val="ListBullet"/>
            </w:pPr>
            <w:r w:rsidRPr="00EB4408">
              <w:t>informal customer or staff feedback</w:t>
            </w:r>
          </w:p>
          <w:p w:rsidR="00000000" w:rsidRPr="00EB4408" w:rsidP="00EB4408">
            <w:pPr>
              <w:pStyle w:val="ListBullet"/>
            </w:pPr>
            <w:r w:rsidRPr="00EB4408">
              <w:t>interviews</w:t>
            </w:r>
          </w:p>
          <w:p w:rsidR="00000000" w:rsidRPr="00EB4408" w:rsidP="00EB4408">
            <w:pPr>
              <w:pStyle w:val="ListBullet"/>
            </w:pPr>
            <w:r w:rsidRPr="00EB4408">
              <w:t>media recognition indicators, such as:</w:t>
            </w:r>
          </w:p>
          <w:p w:rsidR="00000000" w:rsidRPr="00EB4408" w:rsidP="00EB4408">
            <w:pPr>
              <w:pStyle w:val="ListBullet2"/>
            </w:pPr>
            <w:r w:rsidRPr="00EB4408">
              <w:t>number of articles in newspapers</w:t>
            </w:r>
          </w:p>
          <w:p w:rsidR="00000000" w:rsidRPr="00EB4408" w:rsidP="00EB4408">
            <w:pPr>
              <w:pStyle w:val="ListBullet2"/>
            </w:pPr>
            <w:r w:rsidRPr="00EB4408">
              <w:t>number of media interviews</w:t>
            </w:r>
          </w:p>
          <w:p w:rsidR="00000000" w:rsidRPr="00EB4408" w:rsidP="00EB4408">
            <w:pPr>
              <w:pStyle w:val="ListBullet"/>
            </w:pPr>
            <w:r w:rsidRPr="00EB4408">
              <w:t>observation</w:t>
            </w:r>
          </w:p>
          <w:p w:rsidR="00000000" w:rsidRPr="00EB4408" w:rsidP="00EB4408">
            <w:pPr>
              <w:pStyle w:val="ListBullet"/>
            </w:pPr>
            <w:r w:rsidRPr="00EB4408">
              <w:t>participation and attendance levels</w:t>
            </w:r>
          </w:p>
          <w:p w:rsidR="00000000" w:rsidRPr="00EB4408" w:rsidP="00EB4408">
            <w:pPr>
              <w:pStyle w:val="ListBullet"/>
            </w:pPr>
            <w:r w:rsidRPr="00EB4408">
              <w:t>patterns of usage or attendance</w:t>
            </w:r>
          </w:p>
          <w:p w:rsidR="00000000" w:rsidRPr="00EB4408" w:rsidP="00EB4408">
            <w:pPr>
              <w:pStyle w:val="ListBullet"/>
            </w:pPr>
            <w:r w:rsidRPr="00EB4408">
              <w:t>surveys.</w:t>
            </w:r>
          </w:p>
        </w:tc>
      </w:tr>
    </w:tbl>
    <w:p w:rsidR="00000000" w:rsidRPr="00EB4408" w:rsidP="00EB4408">
      <w:pPr>
        <w:pStyle w:val="BodyText"/>
      </w:pPr>
    </w:p>
    <w:p w:rsidR="00000000" w:rsidRPr="00EB4408" w:rsidP="00EB4408">
      <w:pPr>
        <w:pStyle w:val="AllowPageBreak"/>
      </w:pPr>
    </w:p>
    <w:p w:rsidR="00000000" w:rsidRPr="00EB4408" w:rsidP="00EB4408">
      <w:pPr>
        <w:pStyle w:val="Heading1"/>
      </w:pPr>
      <w:bookmarkStart w:id="12" w:name="O_385776"/>
      <w:bookmarkEnd w:id="12"/>
      <w:r w:rsidRPr="00EB4408">
        <w:t>Unit Sector(s)</w:t>
      </w:r>
    </w:p>
    <w:p w:rsidR="00000000" w:rsidRPr="00EB4408" w:rsidP="00EB4408">
      <w:pPr>
        <w:pStyle w:val="BodyText"/>
      </w:pPr>
      <w:r w:rsidRPr="00EB4408">
        <w:t>Cultural services - Exhibitions and visitor programs</w:t>
      </w:r>
    </w:p>
    <w:p w:rsidR="00000000" w:rsidRPr="00EB4408" w:rsidP="00EB4408"/>
    <w:sectPr w:rsidSect="00EB44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4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4605" w:rsidP="005046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4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605" w:rsidP="00EB44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04605" w:rsidP="00EB440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04605" w:rsidP="00EB440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4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4605" w:rsidP="0050460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4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605" w:rsidP="00EB4408">
    <w:pPr>
      <w:pStyle w:val="Header"/>
      <w:framePr w:wrap="around"/>
    </w:pPr>
    <w:r>
      <w:fldChar w:fldCharType="begin"/>
    </w:r>
    <w:r>
      <w:instrText xml:space="preserve"> TITLE   \* MERGEFORMAT </w:instrText>
    </w:r>
    <w:r>
      <w:fldChar w:fldCharType="separate"/>
    </w:r>
    <w:r>
      <w:t>CULEVP502A Develop and implement exhibition interpretive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04605" w:rsidP="00EB440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4EB8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E4DF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DA9F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440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B4408"/>
    <w:pPr>
      <w:spacing w:before="360" w:after="60"/>
      <w:outlineLvl w:val="0"/>
    </w:pPr>
    <w:rPr>
      <w:sz w:val="32"/>
    </w:rPr>
  </w:style>
  <w:style w:type="paragraph" w:styleId="Heading2">
    <w:name w:val="heading 2"/>
    <w:basedOn w:val="HeadingBase"/>
    <w:next w:val="BodyText"/>
    <w:link w:val="Heading2Char"/>
    <w:qFormat/>
    <w:rsid w:val="00EB4408"/>
    <w:pPr>
      <w:keepLines/>
      <w:spacing w:before="240" w:after="120"/>
      <w:outlineLvl w:val="1"/>
    </w:pPr>
    <w:rPr>
      <w:sz w:val="28"/>
      <w:szCs w:val="40"/>
    </w:rPr>
  </w:style>
  <w:style w:type="paragraph" w:styleId="Heading3">
    <w:name w:val="heading 3"/>
    <w:basedOn w:val="HeadingBase"/>
    <w:next w:val="BodyText"/>
    <w:link w:val="Heading3Char"/>
    <w:qFormat/>
    <w:rsid w:val="00EB4408"/>
    <w:pPr>
      <w:spacing w:before="180" w:after="120"/>
      <w:outlineLvl w:val="2"/>
    </w:pPr>
    <w:rPr>
      <w:spacing w:val="-10"/>
      <w:kern w:val="32"/>
    </w:rPr>
  </w:style>
  <w:style w:type="paragraph" w:styleId="Heading4">
    <w:name w:val="heading 4"/>
    <w:basedOn w:val="HeadingBase"/>
    <w:next w:val="BodyText"/>
    <w:link w:val="Heading4Char"/>
    <w:qFormat/>
    <w:rsid w:val="00EB4408"/>
    <w:pPr>
      <w:spacing w:before="160" w:after="120"/>
      <w:outlineLvl w:val="3"/>
    </w:pPr>
    <w:rPr>
      <w:sz w:val="22"/>
    </w:rPr>
  </w:style>
  <w:style w:type="paragraph" w:styleId="Heading5">
    <w:name w:val="heading 5"/>
    <w:basedOn w:val="HeadingBase"/>
    <w:next w:val="Normal"/>
    <w:link w:val="Heading5Char"/>
    <w:qFormat/>
    <w:rsid w:val="00EB4408"/>
    <w:pPr>
      <w:spacing w:before="80"/>
      <w:outlineLvl w:val="4"/>
    </w:pPr>
    <w:rPr>
      <w:color w:val="918585"/>
      <w:sz w:val="20"/>
    </w:rPr>
  </w:style>
  <w:style w:type="paragraph" w:styleId="Heading6">
    <w:name w:val="heading 6"/>
    <w:basedOn w:val="HeadingBase"/>
    <w:next w:val="Normal"/>
    <w:link w:val="Heading6Char"/>
    <w:qFormat/>
    <w:rsid w:val="00EB4408"/>
    <w:pPr>
      <w:spacing w:before="60"/>
      <w:outlineLvl w:val="5"/>
    </w:pPr>
    <w:rPr>
      <w:color w:val="918585"/>
      <w:sz w:val="20"/>
    </w:rPr>
  </w:style>
  <w:style w:type="paragraph" w:styleId="Heading7">
    <w:name w:val="heading 7"/>
    <w:basedOn w:val="Normal"/>
    <w:next w:val="Normal"/>
    <w:link w:val="Heading7Char"/>
    <w:qFormat/>
    <w:rsid w:val="00EB4408"/>
    <w:pPr>
      <w:ind w:left="720"/>
      <w:outlineLvl w:val="6"/>
    </w:pPr>
    <w:rPr>
      <w:i/>
    </w:rPr>
  </w:style>
  <w:style w:type="paragraph" w:styleId="Heading8">
    <w:name w:val="heading 8"/>
    <w:basedOn w:val="Normal"/>
    <w:next w:val="Normal"/>
    <w:link w:val="Heading8Char"/>
    <w:qFormat/>
    <w:rsid w:val="00EB4408"/>
    <w:pPr>
      <w:ind w:left="720"/>
      <w:outlineLvl w:val="7"/>
    </w:pPr>
    <w:rPr>
      <w:i/>
    </w:rPr>
  </w:style>
  <w:style w:type="paragraph" w:styleId="Heading9">
    <w:name w:val="heading 9"/>
    <w:basedOn w:val="Normal"/>
    <w:next w:val="Normal"/>
    <w:link w:val="Heading9Char"/>
    <w:qFormat/>
    <w:rsid w:val="00EB4408"/>
    <w:pPr>
      <w:ind w:left="720"/>
      <w:outlineLvl w:val="8"/>
    </w:pPr>
    <w:rPr>
      <w:i/>
    </w:rPr>
  </w:style>
  <w:style w:type="character" w:default="1" w:styleId="DefaultParagraphFont">
    <w:name w:val="Default Paragraph Font"/>
    <w:uiPriority w:val="1"/>
    <w:unhideWhenUsed/>
    <w:rsid w:val="00EB44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4408"/>
  </w:style>
  <w:style w:type="character" w:customStyle="1" w:styleId="Heading1Char">
    <w:name w:val="Heading 1 Char"/>
    <w:basedOn w:val="DefaultParagraphFont"/>
    <w:link w:val="Heading1"/>
    <w:rsid w:val="00EB4408"/>
    <w:rPr>
      <w:rFonts w:ascii="Times New Roman" w:eastAsia="Times New Roman" w:hAnsi="Times New Roman" w:cs="Times New Roman"/>
      <w:b/>
      <w:sz w:val="32"/>
      <w:szCs w:val="20"/>
      <w:lang w:eastAsia="en-US"/>
    </w:rPr>
  </w:style>
  <w:style w:type="paragraph" w:styleId="BodyText">
    <w:name w:val="Body Text"/>
    <w:basedOn w:val="Normal"/>
    <w:link w:val="BodyTextChar"/>
    <w:rsid w:val="00EB44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4408"/>
    <w:rPr>
      <w:rFonts w:ascii="Times New Roman" w:eastAsia="Times New Roman" w:hAnsi="Times New Roman" w:cs="Times New Roman"/>
      <w:sz w:val="24"/>
      <w:lang w:val="en-US" w:eastAsia="en-US"/>
    </w:rPr>
  </w:style>
  <w:style w:type="paragraph" w:styleId="Footer">
    <w:name w:val="footer"/>
    <w:basedOn w:val="Normal"/>
    <w:link w:val="FooterChar"/>
    <w:rsid w:val="00EB44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4408"/>
    <w:rPr>
      <w:rFonts w:ascii="Times New Roman" w:eastAsia="Times New Roman" w:hAnsi="Times New Roman" w:cs="Times New Roman"/>
      <w:sz w:val="16"/>
      <w:lang w:val="en-US" w:eastAsia="en-US"/>
    </w:rPr>
  </w:style>
  <w:style w:type="paragraph" w:styleId="ListBullet">
    <w:name w:val="List Bullet"/>
    <w:basedOn w:val="List"/>
    <w:rsid w:val="00EB4408"/>
    <w:pPr>
      <w:numPr>
        <w:numId w:val="13"/>
      </w:numPr>
      <w:tabs>
        <w:tab w:val="clear" w:pos="340"/>
      </w:tabs>
      <w:spacing w:before="40" w:after="40"/>
    </w:pPr>
  </w:style>
  <w:style w:type="character" w:customStyle="1" w:styleId="SpecialBold">
    <w:name w:val="Special Bold"/>
    <w:basedOn w:val="DefaultParagraphFont"/>
    <w:rsid w:val="00EB4408"/>
    <w:rPr>
      <w:b/>
      <w:spacing w:val="0"/>
    </w:rPr>
  </w:style>
  <w:style w:type="paragraph" w:styleId="ListBullet2">
    <w:name w:val="List Bullet 2"/>
    <w:basedOn w:val="List2"/>
    <w:rsid w:val="00EB4408"/>
    <w:pPr>
      <w:numPr>
        <w:numId w:val="14"/>
      </w:numPr>
      <w:tabs>
        <w:tab w:val="clear" w:pos="680"/>
      </w:tabs>
    </w:pPr>
  </w:style>
  <w:style w:type="paragraph" w:styleId="Header">
    <w:name w:val="header"/>
    <w:basedOn w:val="Normal"/>
    <w:link w:val="HeaderChar"/>
    <w:rsid w:val="00EB44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440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B4408"/>
    <w:rPr>
      <w:i/>
    </w:rPr>
  </w:style>
  <w:style w:type="paragraph" w:customStyle="1" w:styleId="SuperHeading">
    <w:name w:val="SuperHeading"/>
    <w:basedOn w:val="Normal"/>
    <w:rsid w:val="00EB4408"/>
    <w:pPr>
      <w:spacing w:before="240" w:after="120"/>
      <w:outlineLvl w:val="0"/>
    </w:pPr>
    <w:rPr>
      <w:rFonts w:ascii="Times New Roman" w:hAnsi="Times New Roman"/>
      <w:b/>
      <w:sz w:val="28"/>
    </w:rPr>
  </w:style>
  <w:style w:type="paragraph" w:customStyle="1" w:styleId="AllowPageBreak">
    <w:name w:val="AllowPageBreak"/>
    <w:rsid w:val="00EB44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B4408"/>
    <w:rPr>
      <w:b/>
      <w:i/>
      <w:u w:val="none"/>
    </w:rPr>
  </w:style>
  <w:style w:type="character" w:customStyle="1" w:styleId="Heading2Char">
    <w:name w:val="Heading 2 Char"/>
    <w:basedOn w:val="DefaultParagraphFont"/>
    <w:link w:val="Heading2"/>
    <w:rsid w:val="00EB44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44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44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44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44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440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B440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B4408"/>
    <w:rPr>
      <w:rFonts w:ascii="Courier New" w:eastAsia="Times New Roman" w:hAnsi="Courier New" w:cs="Times New Roman"/>
      <w:i/>
      <w:szCs w:val="20"/>
      <w:lang w:val="en-US" w:eastAsia="en-US"/>
    </w:rPr>
  </w:style>
  <w:style w:type="paragraph" w:customStyle="1" w:styleId="HeadingBase">
    <w:name w:val="Heading Base"/>
    <w:rsid w:val="00EB44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4408"/>
    <w:pPr>
      <w:tabs>
        <w:tab w:val="right" w:leader="dot" w:pos="9072"/>
      </w:tabs>
      <w:ind w:left="567"/>
    </w:pPr>
    <w:rPr>
      <w:szCs w:val="22"/>
    </w:rPr>
  </w:style>
  <w:style w:type="paragraph" w:customStyle="1" w:styleId="TOCBase">
    <w:name w:val="TOC Base"/>
    <w:rsid w:val="00EB44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4408"/>
    <w:pPr>
      <w:tabs>
        <w:tab w:val="right" w:leader="dot" w:pos="9072"/>
      </w:tabs>
      <w:spacing w:before="40" w:after="40"/>
      <w:ind w:left="284"/>
    </w:pPr>
    <w:rPr>
      <w:rFonts w:ascii="Times New Roman" w:hAnsi="Times New Roman"/>
    </w:rPr>
  </w:style>
  <w:style w:type="paragraph" w:styleId="TOC1">
    <w:name w:val="toc 1"/>
    <w:basedOn w:val="TOCBase"/>
    <w:next w:val="Normal"/>
    <w:rsid w:val="00EB440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4408"/>
    <w:pPr>
      <w:spacing w:before="5040"/>
      <w:jc w:val="center"/>
    </w:pPr>
    <w:rPr>
      <w:sz w:val="48"/>
      <w:szCs w:val="72"/>
      <w:lang w:val="en-US"/>
    </w:rPr>
  </w:style>
  <w:style w:type="character" w:customStyle="1" w:styleId="TitleChar">
    <w:name w:val="Title Char"/>
    <w:basedOn w:val="DefaultParagraphFont"/>
    <w:link w:val="Title"/>
    <w:rsid w:val="00EB44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4408"/>
    <w:pPr>
      <w:tabs>
        <w:tab w:val="left" w:pos="3600"/>
        <w:tab w:val="left" w:pos="3958"/>
      </w:tabs>
    </w:pPr>
  </w:style>
  <w:style w:type="paragraph" w:styleId="List">
    <w:name w:val="List"/>
    <w:basedOn w:val="BodyText"/>
    <w:next w:val="BodyText"/>
    <w:rsid w:val="00EB4408"/>
    <w:pPr>
      <w:tabs>
        <w:tab w:val="left" w:pos="340"/>
      </w:tabs>
      <w:spacing w:before="60" w:after="60"/>
      <w:ind w:left="340" w:hanging="340"/>
    </w:pPr>
  </w:style>
  <w:style w:type="paragraph" w:customStyle="1" w:styleId="Note">
    <w:name w:val="Note"/>
    <w:basedOn w:val="BodyText"/>
    <w:rsid w:val="00EB44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4408"/>
    <w:pPr>
      <w:framePr w:wrap="auto" w:hAnchor="text" w:y="6049"/>
    </w:pPr>
    <w:rPr>
      <w:color w:val="000000"/>
      <w:sz w:val="40"/>
    </w:rPr>
  </w:style>
  <w:style w:type="paragraph" w:customStyle="1" w:styleId="TOCTitle">
    <w:name w:val="TOCTitle"/>
    <w:basedOn w:val="Heading1"/>
    <w:rsid w:val="00EB4408"/>
    <w:pPr>
      <w:spacing w:after="240"/>
      <w:jc w:val="center"/>
      <w:outlineLvl w:val="9"/>
    </w:pPr>
    <w:rPr>
      <w:caps/>
    </w:rPr>
  </w:style>
  <w:style w:type="paragraph" w:customStyle="1" w:styleId="Version">
    <w:name w:val="Version"/>
    <w:rsid w:val="00EB44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4408"/>
    <w:pPr>
      <w:keepNext w:val="0"/>
      <w:tabs>
        <w:tab w:val="right" w:pos="4176"/>
      </w:tabs>
      <w:ind w:left="198" w:hanging="198"/>
    </w:pPr>
    <w:rPr>
      <w:rFonts w:ascii="Garamond" w:hAnsi="Garamond"/>
    </w:rPr>
  </w:style>
  <w:style w:type="paragraph" w:styleId="IndexHeading">
    <w:name w:val="index heading"/>
    <w:basedOn w:val="Normal"/>
    <w:next w:val="Index1"/>
    <w:semiHidden/>
    <w:rsid w:val="00EB4408"/>
    <w:pPr>
      <w:spacing w:before="120" w:after="120"/>
    </w:pPr>
    <w:rPr>
      <w:rFonts w:ascii="Arial" w:hAnsi="Arial"/>
      <w:b/>
      <w:color w:val="918585"/>
      <w:sz w:val="24"/>
    </w:rPr>
  </w:style>
  <w:style w:type="paragraph" w:customStyle="1" w:styleId="Chapter">
    <w:name w:val="Chapter"/>
    <w:basedOn w:val="Normal"/>
    <w:rsid w:val="00EB4408"/>
    <w:pPr>
      <w:spacing w:before="240"/>
    </w:pPr>
    <w:rPr>
      <w:rFonts w:ascii="Times New Roman" w:hAnsi="Times New Roman"/>
      <w:smallCaps/>
      <w:spacing w:val="80"/>
      <w:sz w:val="28"/>
    </w:rPr>
  </w:style>
  <w:style w:type="paragraph" w:customStyle="1" w:styleId="InChapter">
    <w:name w:val="InChapter"/>
    <w:basedOn w:val="Heading3"/>
    <w:rsid w:val="00EB4408"/>
    <w:pPr>
      <w:spacing w:after="240"/>
      <w:outlineLvl w:val="9"/>
    </w:pPr>
    <w:rPr>
      <w:noProof/>
    </w:rPr>
  </w:style>
  <w:style w:type="paragraph" w:styleId="Index2">
    <w:name w:val="index 2"/>
    <w:basedOn w:val="Normal"/>
    <w:next w:val="Normal"/>
    <w:semiHidden/>
    <w:rsid w:val="00EB4408"/>
    <w:pPr>
      <w:tabs>
        <w:tab w:val="right" w:pos="4176"/>
      </w:tabs>
      <w:ind w:left="568" w:hanging="284"/>
    </w:pPr>
    <w:rPr>
      <w:rFonts w:ascii="Garamond" w:hAnsi="Garamond"/>
    </w:rPr>
  </w:style>
  <w:style w:type="paragraph" w:customStyle="1" w:styleId="Byline">
    <w:name w:val="Byline"/>
    <w:rsid w:val="00EB44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4408"/>
    <w:pPr>
      <w:tabs>
        <w:tab w:val="clear" w:pos="3600"/>
        <w:tab w:val="clear" w:pos="3958"/>
      </w:tabs>
      <w:jc w:val="right"/>
    </w:pPr>
  </w:style>
  <w:style w:type="paragraph" w:styleId="Caption">
    <w:name w:val="caption"/>
    <w:basedOn w:val="BodyText"/>
    <w:next w:val="Normal"/>
    <w:qFormat/>
    <w:rsid w:val="00EB4408"/>
    <w:pPr>
      <w:framePr w:w="2268" w:hSpace="181" w:vSpace="181" w:wrap="around" w:vAnchor="text" w:hAnchor="page" w:x="1135" w:y="285" w:anchorLock="1"/>
    </w:pPr>
    <w:rPr>
      <w:i/>
    </w:rPr>
  </w:style>
  <w:style w:type="paragraph" w:customStyle="1" w:styleId="MiniTOCTitle">
    <w:name w:val="MiniTOCTitle"/>
    <w:basedOn w:val="Heading4"/>
    <w:rsid w:val="00EB4408"/>
    <w:pPr>
      <w:spacing w:before="240"/>
      <w:outlineLvl w:val="9"/>
    </w:pPr>
    <w:rPr>
      <w:noProof/>
      <w:sz w:val="24"/>
    </w:rPr>
  </w:style>
  <w:style w:type="paragraph" w:customStyle="1" w:styleId="MiniTOCItem">
    <w:name w:val="MiniTOCItem"/>
    <w:basedOn w:val="ListBullet"/>
    <w:rsid w:val="00EB4408"/>
    <w:pPr>
      <w:numPr>
        <w:numId w:val="0"/>
      </w:numPr>
      <w:tabs>
        <w:tab w:val="right" w:leader="dot" w:pos="6521"/>
      </w:tabs>
      <w:spacing w:before="0" w:after="0"/>
    </w:pPr>
  </w:style>
  <w:style w:type="paragraph" w:customStyle="1" w:styleId="TOFTitle">
    <w:name w:val="TOFTitle"/>
    <w:basedOn w:val="TOCTitle"/>
    <w:rsid w:val="00EB4408"/>
  </w:style>
  <w:style w:type="paragraph" w:styleId="TableofFigures">
    <w:name w:val="table of figures"/>
    <w:basedOn w:val="Normal"/>
    <w:next w:val="Normal"/>
    <w:semiHidden/>
    <w:rsid w:val="00EB4408"/>
    <w:pPr>
      <w:tabs>
        <w:tab w:val="right" w:leader="dot" w:pos="9072"/>
      </w:tabs>
      <w:ind w:left="970" w:hanging="403"/>
    </w:pPr>
    <w:rPr>
      <w:rFonts w:ascii="Times New Roman" w:hAnsi="Times New Roman"/>
      <w:b/>
    </w:rPr>
  </w:style>
  <w:style w:type="paragraph" w:styleId="ListNumber">
    <w:name w:val="List Number"/>
    <w:basedOn w:val="List"/>
    <w:rsid w:val="00EB4408"/>
    <w:pPr>
      <w:numPr>
        <w:numId w:val="11"/>
      </w:numPr>
    </w:pPr>
  </w:style>
  <w:style w:type="character" w:customStyle="1" w:styleId="WingdingSymbols">
    <w:name w:val="Wingding Symbols"/>
    <w:rsid w:val="00EB4408"/>
    <w:rPr>
      <w:rFonts w:ascii="Wingdings" w:hAnsi="Wingdings"/>
    </w:rPr>
  </w:style>
  <w:style w:type="paragraph" w:customStyle="1" w:styleId="TableHeading">
    <w:name w:val="Table Heading"/>
    <w:basedOn w:val="HeadingBase"/>
    <w:rsid w:val="00EB4408"/>
    <w:pPr>
      <w:keepLines/>
      <w:pBdr>
        <w:bottom w:val="single" w:sz="6" w:space="1" w:color="918585"/>
      </w:pBdr>
      <w:spacing w:before="240"/>
    </w:pPr>
  </w:style>
  <w:style w:type="character" w:customStyle="1" w:styleId="HotSpot">
    <w:name w:val="HotSpot"/>
    <w:rsid w:val="00EB4408"/>
    <w:rPr>
      <w:color w:val="0033CC"/>
      <w:u w:val="none"/>
    </w:rPr>
  </w:style>
  <w:style w:type="paragraph" w:customStyle="1" w:styleId="BodyTextRight">
    <w:name w:val="Body Text Right"/>
    <w:basedOn w:val="BodyText"/>
    <w:rsid w:val="00EB4408"/>
    <w:pPr>
      <w:spacing w:before="0" w:after="0"/>
      <w:jc w:val="right"/>
    </w:pPr>
  </w:style>
  <w:style w:type="paragraph" w:styleId="Index3">
    <w:name w:val="index 3"/>
    <w:basedOn w:val="ListNumber2"/>
    <w:next w:val="Normal"/>
    <w:semiHidden/>
    <w:rsid w:val="00EB4408"/>
    <w:pPr>
      <w:numPr>
        <w:numId w:val="0"/>
      </w:numPr>
      <w:tabs>
        <w:tab w:val="right" w:leader="dot" w:pos="4176"/>
      </w:tabs>
    </w:pPr>
  </w:style>
  <w:style w:type="paragraph" w:styleId="ListNumber2">
    <w:name w:val="List Number 2"/>
    <w:basedOn w:val="List2"/>
    <w:rsid w:val="00EB4408"/>
    <w:pPr>
      <w:numPr>
        <w:numId w:val="10"/>
      </w:numPr>
      <w:tabs>
        <w:tab w:val="clear" w:pos="1060"/>
      </w:tabs>
    </w:pPr>
  </w:style>
  <w:style w:type="paragraph" w:customStyle="1" w:styleId="MarginNote">
    <w:name w:val="Margin Note"/>
    <w:basedOn w:val="BodyText"/>
    <w:rsid w:val="00EB44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44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440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B4408"/>
    <w:rPr>
      <w:sz w:val="32"/>
    </w:rPr>
  </w:style>
  <w:style w:type="paragraph" w:customStyle="1" w:styleId="HeadingProcedure">
    <w:name w:val="Heading Procedure"/>
    <w:basedOn w:val="HeadingBase"/>
    <w:next w:val="Normal"/>
    <w:rsid w:val="00EB4408"/>
    <w:pPr>
      <w:tabs>
        <w:tab w:val="left" w:pos="0"/>
      </w:tabs>
      <w:spacing w:before="120" w:after="60"/>
    </w:pPr>
    <w:rPr>
      <w:i/>
      <w:color w:val="918585"/>
      <w:sz w:val="22"/>
    </w:rPr>
  </w:style>
  <w:style w:type="paragraph" w:customStyle="1" w:styleId="TableBodyText">
    <w:name w:val="Table Body Text"/>
    <w:basedOn w:val="BodyText"/>
    <w:rsid w:val="00EB4408"/>
    <w:pPr>
      <w:spacing w:before="60" w:after="60"/>
    </w:pPr>
  </w:style>
  <w:style w:type="paragraph" w:styleId="ListContinue">
    <w:name w:val="List Continue"/>
    <w:basedOn w:val="List"/>
    <w:rsid w:val="00EB4408"/>
    <w:pPr>
      <w:ind w:firstLine="0"/>
    </w:pPr>
  </w:style>
  <w:style w:type="paragraph" w:customStyle="1" w:styleId="ListNote">
    <w:name w:val="List Note"/>
    <w:basedOn w:val="List"/>
    <w:rsid w:val="00EB4408"/>
    <w:pPr>
      <w:pBdr>
        <w:top w:val="single" w:sz="6" w:space="2" w:color="918585"/>
        <w:bottom w:val="single" w:sz="6" w:space="2" w:color="918585"/>
      </w:pBdr>
      <w:tabs>
        <w:tab w:val="left" w:pos="1021"/>
      </w:tabs>
      <w:ind w:firstLine="0"/>
    </w:pPr>
  </w:style>
  <w:style w:type="paragraph" w:customStyle="1" w:styleId="Warning">
    <w:name w:val="Warning"/>
    <w:basedOn w:val="BodyText"/>
    <w:rsid w:val="00EB4408"/>
    <w:pPr>
      <w:shd w:val="clear" w:color="auto" w:fill="D9D9D9"/>
      <w:tabs>
        <w:tab w:val="left" w:pos="992"/>
      </w:tabs>
      <w:ind w:left="119" w:right="119"/>
    </w:pPr>
    <w:rPr>
      <w:sz w:val="20"/>
    </w:rPr>
  </w:style>
  <w:style w:type="paragraph" w:customStyle="1" w:styleId="MarginIcons">
    <w:name w:val="Margin Icons"/>
    <w:basedOn w:val="BodyText"/>
    <w:rsid w:val="00EB44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4408"/>
    <w:rPr>
      <w:rFonts w:ascii="Courier New" w:hAnsi="Courier New"/>
    </w:rPr>
  </w:style>
  <w:style w:type="paragraph" w:customStyle="1" w:styleId="NoteBullet">
    <w:name w:val="Note Bullet"/>
    <w:basedOn w:val="Note"/>
    <w:rsid w:val="00EB4408"/>
    <w:pPr>
      <w:tabs>
        <w:tab w:val="clear" w:pos="680"/>
      </w:tabs>
      <w:spacing w:before="60" w:after="60"/>
    </w:pPr>
  </w:style>
  <w:style w:type="paragraph" w:customStyle="1" w:styleId="SubHeading2">
    <w:name w:val="SubHeading2"/>
    <w:basedOn w:val="HeadingBase"/>
    <w:rsid w:val="00EB4408"/>
    <w:pPr>
      <w:spacing w:before="240" w:after="60"/>
    </w:pPr>
    <w:rPr>
      <w:sz w:val="20"/>
    </w:rPr>
  </w:style>
  <w:style w:type="paragraph" w:customStyle="1" w:styleId="SubHeading1">
    <w:name w:val="SubHeading1"/>
    <w:basedOn w:val="HeadingBase"/>
    <w:rsid w:val="00EB4408"/>
    <w:pPr>
      <w:spacing w:before="240" w:after="60"/>
    </w:pPr>
    <w:rPr>
      <w:color w:val="918585"/>
      <w:sz w:val="22"/>
    </w:rPr>
  </w:style>
  <w:style w:type="paragraph" w:customStyle="1" w:styleId="SideHeading">
    <w:name w:val="Side Heading"/>
    <w:basedOn w:val="HeadingBase"/>
    <w:rsid w:val="00EB44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4408"/>
    <w:pPr>
      <w:numPr>
        <w:numId w:val="12"/>
      </w:numPr>
    </w:pPr>
  </w:style>
  <w:style w:type="paragraph" w:styleId="PlainText">
    <w:name w:val="Plain Text"/>
    <w:basedOn w:val="Normal"/>
    <w:link w:val="PlainTextChar"/>
    <w:rsid w:val="00EB4408"/>
    <w:rPr>
      <w:sz w:val="20"/>
    </w:rPr>
  </w:style>
  <w:style w:type="character" w:customStyle="1" w:styleId="PlainTextChar">
    <w:name w:val="Plain Text Char"/>
    <w:basedOn w:val="DefaultParagraphFont"/>
    <w:link w:val="PlainText"/>
    <w:rsid w:val="00EB440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B4408"/>
    <w:rPr>
      <w:b/>
      <w:smallCaps/>
    </w:rPr>
  </w:style>
  <w:style w:type="paragraph" w:customStyle="1" w:styleId="TableListNumber">
    <w:name w:val="Table List Number"/>
    <w:basedOn w:val="ListNumber"/>
    <w:rsid w:val="00EB4408"/>
    <w:pPr>
      <w:numPr>
        <w:numId w:val="0"/>
      </w:numPr>
    </w:pPr>
  </w:style>
  <w:style w:type="paragraph" w:styleId="TOC4">
    <w:name w:val="toc 4"/>
    <w:basedOn w:val="TOCBase"/>
    <w:next w:val="Normal"/>
    <w:semiHidden/>
    <w:rsid w:val="00EB4408"/>
    <w:pPr>
      <w:tabs>
        <w:tab w:val="right" w:leader="dot" w:pos="9071"/>
      </w:tabs>
      <w:ind w:left="1701"/>
    </w:pPr>
  </w:style>
  <w:style w:type="paragraph" w:customStyle="1" w:styleId="ListAlpha">
    <w:name w:val="List Alpha"/>
    <w:basedOn w:val="List"/>
    <w:rsid w:val="00EB4408"/>
    <w:pPr>
      <w:numPr>
        <w:numId w:val="9"/>
      </w:numPr>
    </w:pPr>
  </w:style>
  <w:style w:type="paragraph" w:customStyle="1" w:styleId="ListAlpha2">
    <w:name w:val="List Alpha 2"/>
    <w:basedOn w:val="List2"/>
    <w:rsid w:val="00EB4408"/>
    <w:pPr>
      <w:numPr>
        <w:numId w:val="8"/>
      </w:numPr>
    </w:pPr>
  </w:style>
  <w:style w:type="paragraph" w:styleId="List2">
    <w:name w:val="List 2"/>
    <w:basedOn w:val="BodyText"/>
    <w:rsid w:val="00EB4408"/>
    <w:pPr>
      <w:tabs>
        <w:tab w:val="left" w:pos="680"/>
      </w:tabs>
      <w:spacing w:before="60" w:after="60"/>
      <w:ind w:left="680" w:hanging="340"/>
    </w:pPr>
  </w:style>
  <w:style w:type="paragraph" w:styleId="List3">
    <w:name w:val="List 3"/>
    <w:basedOn w:val="BodyText"/>
    <w:rsid w:val="00EB4408"/>
    <w:pPr>
      <w:tabs>
        <w:tab w:val="left" w:pos="1021"/>
      </w:tabs>
      <w:spacing w:before="60" w:after="60"/>
      <w:ind w:left="1020" w:hanging="340"/>
    </w:pPr>
  </w:style>
  <w:style w:type="paragraph" w:styleId="List4">
    <w:name w:val="List 4"/>
    <w:basedOn w:val="BodyText"/>
    <w:rsid w:val="00EB4408"/>
    <w:pPr>
      <w:tabs>
        <w:tab w:val="left" w:pos="1361"/>
      </w:tabs>
      <w:spacing w:before="60" w:after="60"/>
      <w:ind w:left="1361" w:hanging="340"/>
    </w:pPr>
  </w:style>
  <w:style w:type="paragraph" w:styleId="List5">
    <w:name w:val="List 5"/>
    <w:basedOn w:val="BodyText"/>
    <w:rsid w:val="00EB4408"/>
    <w:pPr>
      <w:tabs>
        <w:tab w:val="left" w:pos="1701"/>
      </w:tabs>
      <w:spacing w:before="60" w:after="60"/>
      <w:ind w:left="1701" w:hanging="340"/>
    </w:pPr>
  </w:style>
  <w:style w:type="paragraph" w:styleId="ListBullet3">
    <w:name w:val="List Bullet 3"/>
    <w:basedOn w:val="List3"/>
    <w:rsid w:val="00EB4408"/>
    <w:pPr>
      <w:numPr>
        <w:numId w:val="15"/>
      </w:numPr>
      <w:tabs>
        <w:tab w:val="clear" w:pos="1021"/>
      </w:tabs>
      <w:ind w:left="1037" w:hanging="357"/>
    </w:pPr>
  </w:style>
  <w:style w:type="paragraph" w:styleId="ListBullet4">
    <w:name w:val="List Bullet 4"/>
    <w:basedOn w:val="List4"/>
    <w:rsid w:val="00EB4408"/>
    <w:pPr>
      <w:numPr>
        <w:numId w:val="3"/>
      </w:numPr>
    </w:pPr>
  </w:style>
  <w:style w:type="paragraph" w:styleId="ListBullet5">
    <w:name w:val="List Bullet 5"/>
    <w:basedOn w:val="List5"/>
    <w:rsid w:val="00EB4408"/>
    <w:pPr>
      <w:numPr>
        <w:numId w:val="4"/>
      </w:numPr>
    </w:pPr>
  </w:style>
  <w:style w:type="paragraph" w:styleId="ListContinue2">
    <w:name w:val="List Continue 2"/>
    <w:basedOn w:val="List2"/>
    <w:rsid w:val="00EB4408"/>
    <w:pPr>
      <w:ind w:firstLine="0"/>
    </w:pPr>
  </w:style>
  <w:style w:type="paragraph" w:styleId="ListContinue3">
    <w:name w:val="List Continue 3"/>
    <w:basedOn w:val="List3"/>
    <w:rsid w:val="00EB4408"/>
    <w:pPr>
      <w:ind w:left="1021" w:firstLine="0"/>
    </w:pPr>
  </w:style>
  <w:style w:type="paragraph" w:styleId="ListContinue4">
    <w:name w:val="List Continue 4"/>
    <w:basedOn w:val="List4"/>
    <w:rsid w:val="00EB4408"/>
    <w:pPr>
      <w:ind w:firstLine="0"/>
    </w:pPr>
  </w:style>
  <w:style w:type="paragraph" w:styleId="ListContinue5">
    <w:name w:val="List Continue 5"/>
    <w:basedOn w:val="List5"/>
    <w:rsid w:val="00EB4408"/>
    <w:pPr>
      <w:ind w:firstLine="0"/>
    </w:pPr>
  </w:style>
  <w:style w:type="paragraph" w:styleId="ListNumber3">
    <w:name w:val="List Number 3"/>
    <w:basedOn w:val="List3"/>
    <w:rsid w:val="00EB4408"/>
    <w:pPr>
      <w:numPr>
        <w:numId w:val="5"/>
      </w:numPr>
    </w:pPr>
  </w:style>
  <w:style w:type="paragraph" w:styleId="ListNumber4">
    <w:name w:val="List Number 4"/>
    <w:basedOn w:val="List4"/>
    <w:rsid w:val="00EB4408"/>
    <w:pPr>
      <w:numPr>
        <w:numId w:val="6"/>
      </w:numPr>
    </w:pPr>
  </w:style>
  <w:style w:type="paragraph" w:styleId="ListNumber5">
    <w:name w:val="List Number 5"/>
    <w:basedOn w:val="List5"/>
    <w:rsid w:val="00EB4408"/>
    <w:pPr>
      <w:numPr>
        <w:numId w:val="7"/>
      </w:numPr>
    </w:pPr>
  </w:style>
  <w:style w:type="paragraph" w:styleId="BlockText">
    <w:name w:val="Block Text"/>
    <w:basedOn w:val="Normal"/>
    <w:rsid w:val="00EB4408"/>
    <w:pPr>
      <w:spacing w:after="120"/>
      <w:ind w:left="1440" w:right="1440"/>
    </w:pPr>
  </w:style>
  <w:style w:type="character" w:customStyle="1" w:styleId="Subscript">
    <w:name w:val="Subscript"/>
    <w:basedOn w:val="DefaultParagraphFont"/>
    <w:rsid w:val="00EB4408"/>
    <w:rPr>
      <w:sz w:val="16"/>
      <w:vertAlign w:val="subscript"/>
    </w:rPr>
  </w:style>
  <w:style w:type="character" w:customStyle="1" w:styleId="Superscript">
    <w:name w:val="Superscript"/>
    <w:basedOn w:val="DefaultParagraphFont"/>
    <w:rsid w:val="00EB4408"/>
    <w:rPr>
      <w:sz w:val="16"/>
      <w:vertAlign w:val="superscript"/>
    </w:rPr>
  </w:style>
  <w:style w:type="character" w:customStyle="1" w:styleId="Symbols">
    <w:name w:val="Symbols"/>
    <w:basedOn w:val="DefaultParagraphFont"/>
    <w:rsid w:val="00EB4408"/>
    <w:rPr>
      <w:rFonts w:ascii="Symbol" w:hAnsi="Symbol"/>
    </w:rPr>
  </w:style>
  <w:style w:type="character" w:customStyle="1" w:styleId="MenuOptions">
    <w:name w:val="Menu Options"/>
    <w:basedOn w:val="DefaultParagraphFont"/>
    <w:rsid w:val="00EB4408"/>
    <w:rPr>
      <w:rFonts w:ascii="Arial Narrow" w:hAnsi="Arial Narrow"/>
      <w:smallCaps/>
    </w:rPr>
  </w:style>
  <w:style w:type="character" w:customStyle="1" w:styleId="Buttons">
    <w:name w:val="Buttons"/>
    <w:basedOn w:val="DefaultParagraphFont"/>
    <w:rsid w:val="00EB4408"/>
    <w:rPr>
      <w:b/>
    </w:rPr>
  </w:style>
  <w:style w:type="character" w:customStyle="1" w:styleId="Underlined">
    <w:name w:val="Underlined"/>
    <w:basedOn w:val="DefaultParagraphFont"/>
    <w:rsid w:val="00EB4408"/>
    <w:rPr>
      <w:u w:val="single"/>
    </w:rPr>
  </w:style>
  <w:style w:type="paragraph" w:customStyle="1" w:styleId="TableBodyTextRight">
    <w:name w:val="Table Body Text Right"/>
    <w:basedOn w:val="TableBodyText"/>
    <w:rsid w:val="00EB4408"/>
    <w:pPr>
      <w:widowControl w:val="0"/>
      <w:autoSpaceDE w:val="0"/>
      <w:autoSpaceDN w:val="0"/>
      <w:adjustRightInd w:val="0"/>
      <w:jc w:val="right"/>
    </w:pPr>
    <w:rPr>
      <w:rFonts w:cs="Arial"/>
      <w:szCs w:val="18"/>
    </w:rPr>
  </w:style>
  <w:style w:type="paragraph" w:customStyle="1" w:styleId="CopyrightText">
    <w:name w:val="Copyright Text"/>
    <w:basedOn w:val="BodyText"/>
    <w:rsid w:val="00EB4408"/>
    <w:rPr>
      <w:sz w:val="18"/>
    </w:rPr>
  </w:style>
  <w:style w:type="paragraph" w:customStyle="1" w:styleId="BodySmallRight">
    <w:name w:val="Body Small Right"/>
    <w:basedOn w:val="BodyTextRight"/>
    <w:rsid w:val="00EB4408"/>
    <w:rPr>
      <w:sz w:val="18"/>
      <w:szCs w:val="18"/>
    </w:rPr>
  </w:style>
  <w:style w:type="paragraph" w:customStyle="1" w:styleId="MarginEdition">
    <w:name w:val="Margin Edition"/>
    <w:basedOn w:val="MarginNote"/>
    <w:rsid w:val="00EB4408"/>
    <w:pPr>
      <w:spacing w:before="0" w:after="0"/>
    </w:pPr>
    <w:rPr>
      <w:rFonts w:ascii="Times New Roman" w:hAnsi="Times New Roman"/>
      <w:color w:val="999999"/>
    </w:rPr>
  </w:style>
  <w:style w:type="paragraph" w:customStyle="1" w:styleId="Spacer">
    <w:name w:val="Spacer"/>
    <w:basedOn w:val="Normal"/>
    <w:rsid w:val="00EB4408"/>
    <w:rPr>
      <w:sz w:val="2"/>
      <w:szCs w:val="2"/>
    </w:rPr>
  </w:style>
  <w:style w:type="character" w:customStyle="1" w:styleId="Small">
    <w:name w:val="Small"/>
    <w:basedOn w:val="DefaultParagraphFont"/>
    <w:rsid w:val="00EB4408"/>
    <w:rPr>
      <w:sz w:val="16"/>
    </w:rPr>
  </w:style>
  <w:style w:type="paragraph" w:customStyle="1" w:styleId="WideTable">
    <w:name w:val="Wide Table"/>
    <w:basedOn w:val="Normal"/>
    <w:rsid w:val="00EB4408"/>
    <w:pPr>
      <w:ind w:left="-1418"/>
    </w:pPr>
    <w:rPr>
      <w:sz w:val="2"/>
      <w:szCs w:val="2"/>
    </w:rPr>
  </w:style>
  <w:style w:type="character" w:styleId="PageNumber">
    <w:name w:val="page number"/>
    <w:basedOn w:val="DefaultParagraphFont"/>
    <w:rsid w:val="00EB4408"/>
  </w:style>
  <w:style w:type="paragraph" w:styleId="Quote">
    <w:name w:val="Quote"/>
    <w:basedOn w:val="Heading1"/>
    <w:link w:val="QuoteChar"/>
    <w:qFormat/>
    <w:rsid w:val="00EB4408"/>
    <w:rPr>
      <w:b w:val="0"/>
      <w:sz w:val="72"/>
      <w:szCs w:val="72"/>
      <w:lang w:val="en-NZ"/>
    </w:rPr>
  </w:style>
  <w:style w:type="character" w:customStyle="1" w:styleId="QuoteChar">
    <w:name w:val="Quote Char"/>
    <w:basedOn w:val="DefaultParagraphFont"/>
    <w:link w:val="Quote"/>
    <w:rsid w:val="00EB44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4408"/>
    <w:pPr>
      <w:pageBreakBefore/>
    </w:pPr>
  </w:style>
  <w:style w:type="paragraph" w:customStyle="1" w:styleId="Border">
    <w:name w:val="Border"/>
    <w:basedOn w:val="Normal"/>
    <w:qFormat/>
    <w:rsid w:val="00EB44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4408"/>
    <w:rPr>
      <w:b/>
      <w:bCs/>
      <w:i/>
      <w:iCs/>
      <w:color w:val="auto"/>
    </w:rPr>
  </w:style>
  <w:style w:type="paragraph" w:styleId="IntenseQuote">
    <w:name w:val="Intense Quote"/>
    <w:basedOn w:val="Normal"/>
    <w:next w:val="Normal"/>
    <w:link w:val="IntenseQuoteChar"/>
    <w:uiPriority w:val="30"/>
    <w:qFormat/>
    <w:rsid w:val="00EB44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440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B4408"/>
    <w:rPr>
      <w:smallCaps/>
      <w:color w:val="auto"/>
      <w:u w:val="single"/>
    </w:rPr>
  </w:style>
  <w:style w:type="character" w:styleId="IntenseReference">
    <w:name w:val="Intense Reference"/>
    <w:basedOn w:val="DefaultParagraphFont"/>
    <w:uiPriority w:val="32"/>
    <w:qFormat/>
    <w:rsid w:val="00EB4408"/>
    <w:rPr>
      <w:b/>
      <w:bCs/>
      <w:smallCaps/>
      <w:color w:val="auto"/>
      <w:spacing w:val="5"/>
      <w:u w:val="single"/>
    </w:rPr>
  </w:style>
  <w:style w:type="paragraph" w:customStyle="1" w:styleId="2ColumnHeading">
    <w:name w:val="2Column Heading"/>
    <w:basedOn w:val="BodyText"/>
    <w:qFormat/>
    <w:rsid w:val="00EB4408"/>
    <w:pPr>
      <w:spacing w:after="60"/>
      <w:ind w:left="-2268"/>
    </w:pPr>
    <w:rPr>
      <w:b/>
    </w:rPr>
  </w:style>
  <w:style w:type="paragraph" w:customStyle="1" w:styleId="Heading1TOC">
    <w:name w:val="Heading1 TOC"/>
    <w:basedOn w:val="Normal"/>
    <w:qFormat/>
    <w:rsid w:val="00EB4408"/>
    <w:pPr>
      <w:spacing w:before="240" w:after="120"/>
    </w:pPr>
    <w:rPr>
      <w:rFonts w:ascii="Times New Roman" w:hAnsi="Times New Roman"/>
      <w:b/>
      <w:sz w:val="32"/>
    </w:rPr>
  </w:style>
  <w:style w:type="paragraph" w:customStyle="1" w:styleId="Heading2TOC">
    <w:name w:val="Heading2 TOC"/>
    <w:basedOn w:val="Normal"/>
    <w:qFormat/>
    <w:rsid w:val="00EB4408"/>
    <w:pPr>
      <w:spacing w:before="240" w:after="60"/>
    </w:pPr>
    <w:rPr>
      <w:rFonts w:ascii="Times New Roman" w:hAnsi="Times New Roman"/>
      <w:b/>
      <w:sz w:val="28"/>
    </w:rPr>
  </w:style>
  <w:style w:type="character" w:customStyle="1" w:styleId="Underline">
    <w:name w:val="Underline"/>
    <w:basedOn w:val="DefaultParagraphFont"/>
    <w:qFormat/>
    <w:rsid w:val="00EB4408"/>
    <w:rPr>
      <w:u w:val="single"/>
    </w:rPr>
  </w:style>
  <w:style w:type="paragraph" w:styleId="BalloonText">
    <w:name w:val="Balloon Text"/>
    <w:basedOn w:val="Normal"/>
    <w:link w:val="BalloonTextChar"/>
    <w:rsid w:val="00EB4408"/>
    <w:rPr>
      <w:rFonts w:ascii="Tahoma" w:hAnsi="Tahoma" w:cs="Tahoma"/>
      <w:sz w:val="16"/>
      <w:szCs w:val="16"/>
    </w:rPr>
  </w:style>
  <w:style w:type="character" w:customStyle="1" w:styleId="BalloonTextChar">
    <w:name w:val="Balloon Text Char"/>
    <w:basedOn w:val="DefaultParagraphFont"/>
    <w:link w:val="BalloonText"/>
    <w:rsid w:val="00EB440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B44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440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1313</Words>
  <Characters>8992</Characters>
  <Application>Microsoft Office Word</Application>
  <DocSecurity>0</DocSecurity>
  <Lines>351</Lines>
  <Paragraphs>240</Paragraphs>
  <ScaleCrop>false</ScaleCrop>
  <Company>Author-it Software Corporation Ltd.</Company>
  <LinksUpToDate>false</LinksUpToDate>
  <CharactersWithSpaces>10228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CULEVP502A Develop and implement exhibition interpretive strategies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2012-05-26T15:20:00Z</dcterms:created>
  <dcterms:modified xsi:type="dcterms:W3CDTF">2012-05-26T15:20:00Z</dcterms:modified>
</cp:coreProperties>
</file>