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5E5" w:rsidP="00BC05E5">
      <w:pPr>
        <w:pStyle w:val="Title"/>
      </w:pPr>
      <w:r>
        <w:fldChar w:fldCharType="begin"/>
      </w:r>
      <w:r>
        <w:instrText xml:space="preserve"> TITLE   \* MERGEFORMAT </w:instrText>
      </w:r>
      <w:r>
        <w:fldChar w:fldCharType="separate"/>
      </w:r>
      <w:r>
        <w:t>CULEVP403A Install and dismantle exhibition elements</w:t>
      </w:r>
      <w:r>
        <w:fldChar w:fldCharType="end"/>
      </w:r>
    </w:p>
    <w:p w:rsidR="00BC05E5" w:rsidP="00BC05E5">
      <w:pPr>
        <w:pStyle w:val="Version"/>
        <w:sectPr w:rsidSect="00412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A7F" w:rsidP="00412A7F">
      <w:pPr>
        <w:pStyle w:val="SuperHeading"/>
      </w:pPr>
      <w:r w:rsidRPr="00412A7F">
        <w:t>CULEVP403A Install and dismantle exhibition elements</w:t>
      </w:r>
    </w:p>
    <w:p w:rsidR="00000000" w:rsidRPr="00412A7F" w:rsidP="00412A7F">
      <w:pPr>
        <w:pStyle w:val="Heading1"/>
      </w:pPr>
      <w:bookmarkStart w:id="1" w:name="O_385735"/>
      <w:bookmarkEnd w:id="1"/>
      <w:r w:rsidRPr="00412A7F">
        <w:t>Modification History</w:t>
      </w:r>
    </w:p>
    <w:tbl>
      <w:tblPr>
        <w:tblW w:w="0" w:type="auto"/>
        <w:tblLayout w:type="fixed"/>
        <w:tblCellMar>
          <w:left w:w="62" w:type="dxa"/>
          <w:right w:w="62" w:type="dxa"/>
        </w:tblCellMar>
        <w:tblLook w:val="0000"/>
      </w:tblPr>
      <w:tblGrid>
        <w:gridCol w:w="3153"/>
        <w:gridCol w:w="5873"/>
      </w:tblGrid>
      <w:tr w:rsidTr="00412A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Comments</w:t>
            </w:r>
          </w:p>
        </w:tc>
      </w:tr>
      <w:tr w:rsidTr="00412A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 xml:space="preserve">This unit of competency first released with </w:t>
            </w:r>
            <w:r w:rsidRPr="00412A7F">
              <w:rPr>
                <w:rStyle w:val="Emphasis"/>
              </w:rPr>
              <w:t>CUL11 Library, Information and Cultural Services Training Package version 1.0</w:t>
            </w:r>
          </w:p>
        </w:tc>
      </w:tr>
    </w:tbl>
    <w:p w:rsidR="00000000" w:rsidRPr="00412A7F" w:rsidP="00412A7F">
      <w:pPr>
        <w:pStyle w:val="BodyText"/>
      </w:pPr>
    </w:p>
    <w:p w:rsidR="00000000" w:rsidRPr="00412A7F" w:rsidP="00412A7F">
      <w:pPr>
        <w:pStyle w:val="AllowPageBreak"/>
      </w:pPr>
    </w:p>
    <w:p w:rsidR="00000000" w:rsidRPr="00412A7F" w:rsidP="00412A7F">
      <w:pPr>
        <w:pStyle w:val="Heading1"/>
      </w:pPr>
      <w:bookmarkStart w:id="2" w:name="O_385736"/>
      <w:bookmarkEnd w:id="2"/>
      <w:r w:rsidRPr="00412A7F">
        <w:t>Unit Descriptor</w:t>
      </w:r>
    </w:p>
    <w:p w:rsidR="00000000" w:rsidRPr="00412A7F" w:rsidP="00412A7F">
      <w:pPr>
        <w:pStyle w:val="BodyText"/>
      </w:pPr>
      <w:r w:rsidRPr="00412A7F">
        <w:t>This unit describes the performance outcomes, skills and knowledge required to install and dismantle the physical elements of exhibitions.</w:t>
      </w:r>
    </w:p>
    <w:p w:rsidR="00000000" w:rsidRPr="00412A7F" w:rsidP="00412A7F">
      <w:pPr>
        <w:pStyle w:val="AllowPageBreak"/>
      </w:pPr>
    </w:p>
    <w:p w:rsidR="00000000" w:rsidRPr="00412A7F" w:rsidP="00412A7F">
      <w:pPr>
        <w:pStyle w:val="Heading1"/>
      </w:pPr>
      <w:bookmarkStart w:id="3" w:name="O_385737"/>
      <w:bookmarkEnd w:id="3"/>
      <w:r w:rsidRPr="00412A7F">
        <w:t>Application of the Unit</w:t>
      </w:r>
    </w:p>
    <w:p w:rsidR="00000000" w:rsidRPr="00412A7F" w:rsidP="00412A7F">
      <w:pPr>
        <w:pStyle w:val="BodyText"/>
      </w:pPr>
      <w:r w:rsidRPr="00412A7F">
        <w:t>This unit has broad application to exhibition venue staff or independent exhibition contractors.</w:t>
      </w:r>
    </w:p>
    <w:p w:rsidR="00000000" w:rsidRPr="00412A7F" w:rsidP="00412A7F">
      <w:pPr>
        <w:pStyle w:val="BodyText"/>
      </w:pPr>
      <w:r w:rsidRPr="00412A7F">
        <w:t>Work is undertaken under general guidance and supervision, and with established exhibition plans and procedures.</w:t>
      </w:r>
    </w:p>
    <w:p w:rsidR="00000000" w:rsidRPr="00412A7F" w:rsidP="00412A7F">
      <w:pPr>
        <w:pStyle w:val="BodyText"/>
      </w:pPr>
      <w:r w:rsidRPr="00412A7F">
        <w:t>Exhibitions are staged in many different conte</w:t>
      </w:r>
      <w:r w:rsidRPr="00412A7F">
        <w:t>xts in both business and community environments.</w:t>
      </w:r>
    </w:p>
    <w:p w:rsidR="00000000" w:rsidRPr="00412A7F" w:rsidP="00412A7F">
      <w:pPr>
        <w:pStyle w:val="AllowPageBreak"/>
      </w:pPr>
    </w:p>
    <w:p w:rsidR="00000000" w:rsidRPr="00412A7F" w:rsidP="00412A7F">
      <w:pPr>
        <w:pStyle w:val="Heading1"/>
      </w:pPr>
      <w:bookmarkStart w:id="4" w:name="O_385738"/>
      <w:bookmarkEnd w:id="4"/>
      <w:r w:rsidRPr="00412A7F">
        <w:t>Licensing/Regulatory Information</w:t>
      </w:r>
    </w:p>
    <w:p w:rsidR="00000000" w:rsidRPr="00412A7F" w:rsidP="00412A7F">
      <w:pPr>
        <w:pStyle w:val="BodyText"/>
      </w:pPr>
      <w:r w:rsidRPr="00412A7F">
        <w:t>No licensing, legislative, regulatory or certification requirements apply to this unit at the time of endorsement.</w:t>
      </w:r>
    </w:p>
    <w:p w:rsidR="00000000" w:rsidRPr="00412A7F" w:rsidP="00412A7F">
      <w:pPr>
        <w:pStyle w:val="AllowPageBreak"/>
      </w:pPr>
    </w:p>
    <w:p w:rsidR="00000000" w:rsidRPr="00412A7F" w:rsidP="00412A7F">
      <w:pPr>
        <w:pStyle w:val="Heading1"/>
      </w:pPr>
      <w:bookmarkStart w:id="5" w:name="O_385739"/>
      <w:bookmarkEnd w:id="5"/>
      <w:r w:rsidRPr="00412A7F">
        <w:t>Pre-Requisites</w:t>
      </w:r>
    </w:p>
    <w:p w:rsidR="00000000" w:rsidRPr="00412A7F" w:rsidP="00412A7F">
      <w:pPr>
        <w:pStyle w:val="BodyText"/>
      </w:pPr>
      <w:r w:rsidRPr="00412A7F">
        <w:t>Not applic</w:t>
      </w:r>
      <w:r w:rsidRPr="00412A7F">
        <w:t>able.</w:t>
      </w:r>
    </w:p>
    <w:p w:rsidR="00000000" w:rsidRPr="00412A7F" w:rsidP="00412A7F">
      <w:pPr>
        <w:pStyle w:val="AllowPageBreak"/>
      </w:pPr>
    </w:p>
    <w:p w:rsidR="00000000" w:rsidRPr="00412A7F" w:rsidP="00412A7F">
      <w:pPr>
        <w:pStyle w:val="Heading1"/>
      </w:pPr>
      <w:bookmarkStart w:id="6" w:name="O_385740"/>
      <w:bookmarkEnd w:id="6"/>
      <w:r w:rsidRPr="00412A7F">
        <w:t>Employability Skills Information</w:t>
      </w:r>
    </w:p>
    <w:p w:rsidR="00000000" w:rsidRPr="00412A7F" w:rsidP="00412A7F">
      <w:pPr>
        <w:pStyle w:val="BodyText"/>
      </w:pPr>
      <w:r w:rsidRPr="00412A7F">
        <w:t>This unit contains employability skills.</w:t>
      </w:r>
    </w:p>
    <w:p w:rsidR="00000000" w:rsidRPr="00412A7F" w:rsidP="00412A7F">
      <w:pPr>
        <w:pStyle w:val="AllowPageBreak"/>
      </w:pPr>
    </w:p>
    <w:p w:rsidR="00000000" w:rsidRPr="00412A7F" w:rsidP="00412A7F">
      <w:pPr>
        <w:pStyle w:val="Heading1"/>
      </w:pPr>
      <w:bookmarkStart w:id="7" w:name="O_385741"/>
      <w:bookmarkEnd w:id="7"/>
      <w:r w:rsidRPr="00412A7F">
        <w:t>Elements and Performance Criteria Pre-Content</w:t>
      </w:r>
    </w:p>
    <w:tbl>
      <w:tblPr>
        <w:tblW w:w="0" w:type="auto"/>
        <w:tblLayout w:type="fixed"/>
        <w:tblCellMar>
          <w:left w:w="62" w:type="dxa"/>
          <w:right w:w="62" w:type="dxa"/>
        </w:tblCellMar>
        <w:tblLook w:val="0000"/>
      </w:tblPr>
      <w:tblGrid>
        <w:gridCol w:w="2532"/>
        <w:gridCol w:w="6528"/>
      </w:tblGrid>
      <w:tr w:rsidTr="00412A7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12A7F" w:rsidP="00412A7F">
            <w:pPr>
              <w:pStyle w:val="BodyText"/>
            </w:pPr>
            <w:r w:rsidRPr="00412A7F">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12A7F">
            <w:pPr>
              <w:pStyle w:val="BodyText"/>
              <w:rPr>
                <w:lang w:val="en-NZ"/>
              </w:rPr>
            </w:pPr>
            <w:r w:rsidRPr="00412A7F">
              <w:rPr>
                <w:rStyle w:val="SpecialBold"/>
              </w:rPr>
              <w:t>Performance Criteria</w:t>
            </w:r>
          </w:p>
        </w:tc>
      </w:tr>
      <w:tr w:rsidTr="00412A7F">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12A7F" w:rsidP="00412A7F">
            <w:pPr>
              <w:pStyle w:val="BodyText"/>
            </w:pPr>
            <w:r w:rsidRPr="00412A7F">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12A7F" w:rsidP="00412A7F">
            <w:pPr>
              <w:pStyle w:val="BodyText"/>
            </w:pPr>
            <w:r w:rsidRPr="00412A7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12A7F">
              <w:rPr>
                <w:rStyle w:val="Emphasis"/>
              </w:rPr>
              <w:t>nce is to be consistent with the evidence guide.</w:t>
            </w:r>
          </w:p>
        </w:tc>
      </w:tr>
    </w:tbl>
    <w:p w:rsidR="00000000" w:rsidRPr="00412A7F" w:rsidP="00412A7F">
      <w:pPr>
        <w:pStyle w:val="BodyText"/>
      </w:pPr>
    </w:p>
    <w:p w:rsidR="00000000" w:rsidRPr="00412A7F" w:rsidP="00412A7F">
      <w:pPr>
        <w:pStyle w:val="AllowPageBreak"/>
      </w:pPr>
    </w:p>
    <w:p w:rsidR="00000000" w:rsidRPr="00412A7F" w:rsidP="00412A7F">
      <w:pPr>
        <w:pStyle w:val="Heading1"/>
      </w:pPr>
      <w:bookmarkStart w:id="8" w:name="O_385742"/>
      <w:bookmarkEnd w:id="8"/>
      <w:r w:rsidRPr="00412A7F">
        <w:t>Elements and Performance Criteria</w:t>
      </w:r>
    </w:p>
    <w:tbl>
      <w:tblPr>
        <w:tblW w:w="0" w:type="auto"/>
        <w:tblLayout w:type="fixed"/>
        <w:tblCellMar>
          <w:left w:w="62" w:type="dxa"/>
          <w:right w:w="62" w:type="dxa"/>
        </w:tblCellMar>
        <w:tblLook w:val="0000"/>
      </w:tblPr>
      <w:tblGrid>
        <w:gridCol w:w="2556"/>
        <w:gridCol w:w="6504"/>
      </w:tblGrid>
      <w:tr w:rsidTr="00412A7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t>1. Confirm exhibition specifications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 xml:space="preserve">1.1 Review </w:t>
            </w:r>
            <w:r w:rsidRPr="00412A7F">
              <w:rPr>
                <w:rStyle w:val="BoldandItalics"/>
              </w:rPr>
              <w:t>exhibition documentation</w:t>
            </w:r>
            <w:r w:rsidRPr="00412A7F">
              <w:t xml:space="preserve"> and confirm </w:t>
            </w:r>
            <w:r w:rsidRPr="00412A7F">
              <w:rPr>
                <w:rStyle w:val="BoldandItalics"/>
              </w:rPr>
              <w:t>requirements</w:t>
            </w:r>
            <w:r w:rsidRPr="00412A7F">
              <w:t xml:space="preserve"> with </w:t>
            </w:r>
            <w:r w:rsidRPr="00412A7F">
              <w:rPr>
                <w:rStyle w:val="BoldandItalics"/>
              </w:rPr>
              <w:t>relevant personnel</w:t>
            </w:r>
          </w:p>
          <w:p w:rsidR="00000000" w:rsidRPr="00412A7F" w:rsidP="00412A7F">
            <w:pPr>
              <w:pStyle w:val="BodyText"/>
            </w:pPr>
            <w:r w:rsidRPr="00412A7F">
              <w:t>1.2 Identify materials, equipmen</w:t>
            </w:r>
            <w:r w:rsidRPr="00412A7F">
              <w:t>t and resources required for exhibitions with the assistance of relevant personnel</w:t>
            </w:r>
          </w:p>
          <w:p w:rsidR="00000000" w:rsidRPr="00412A7F" w:rsidP="00412A7F">
            <w:pPr>
              <w:pStyle w:val="BodyText"/>
            </w:pPr>
            <w:r w:rsidRPr="00412A7F">
              <w:t>1.3 Confirm procedures and responsibilities for handling collection material, and installing and dismantling exhibitions</w:t>
            </w:r>
          </w:p>
          <w:p w:rsidR="00000000" w:rsidP="00412A7F">
            <w:pPr>
              <w:pStyle w:val="BodyText"/>
              <w:rPr>
                <w:lang w:val="en-NZ"/>
              </w:rPr>
            </w:pPr>
            <w:r w:rsidRPr="00412A7F">
              <w:t>1.4 Establish an agreed project timeline with stakeholders</w:t>
            </w:r>
          </w:p>
        </w:tc>
      </w:tr>
      <w:tr w:rsidTr="00412A7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t>2. Prepare exhibition sites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 xml:space="preserve">2.1 Undertake necessary </w:t>
            </w:r>
            <w:r w:rsidRPr="00412A7F">
              <w:rPr>
                <w:rStyle w:val="BoldandItalics"/>
              </w:rPr>
              <w:t>site alterations</w:t>
            </w:r>
            <w:r w:rsidRPr="00412A7F">
              <w:t xml:space="preserve"> for installation purposes</w:t>
            </w:r>
          </w:p>
          <w:p w:rsidR="00000000" w:rsidRPr="00412A7F" w:rsidP="00412A7F">
            <w:pPr>
              <w:pStyle w:val="BodyText"/>
            </w:pPr>
            <w:r w:rsidRPr="00412A7F">
              <w:t>2.2 Ensure site is suitable and secure according to technical specifications</w:t>
            </w:r>
          </w:p>
          <w:p w:rsidR="00000000" w:rsidP="00412A7F">
            <w:pPr>
              <w:pStyle w:val="BodyText"/>
              <w:rPr>
                <w:lang w:val="en-NZ"/>
              </w:rPr>
            </w:pPr>
            <w:r w:rsidRPr="00412A7F">
              <w:t>2.3 Complete or organise</w:t>
            </w:r>
            <w:r w:rsidRPr="00412A7F">
              <w:t xml:space="preserve"> </w:t>
            </w:r>
            <w:r w:rsidRPr="00412A7F">
              <w:rPr>
                <w:rStyle w:val="BoldandItalics"/>
              </w:rPr>
              <w:t>on-site construction</w:t>
            </w:r>
            <w:r w:rsidRPr="00412A7F">
              <w:t xml:space="preserve"> as required</w:t>
            </w:r>
          </w:p>
        </w:tc>
      </w:tr>
      <w:tr w:rsidTr="00412A7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t>3. Position and remove exhibition elements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 xml:space="preserve">3.1 Install and dismantle </w:t>
            </w:r>
            <w:r w:rsidRPr="00412A7F">
              <w:rPr>
                <w:rStyle w:val="BoldandItalics"/>
              </w:rPr>
              <w:t>exhibition elements</w:t>
            </w:r>
            <w:r w:rsidRPr="00412A7F">
              <w:t xml:space="preserve"> according to </w:t>
            </w:r>
            <w:r w:rsidRPr="00412A7F">
              <w:rPr>
                <w:rStyle w:val="BoldandItalics"/>
              </w:rPr>
              <w:t xml:space="preserve">exhibition </w:t>
            </w:r>
            <w:r w:rsidRPr="00412A7F">
              <w:t>requirements, available floor plans, and safety and security requirements</w:t>
            </w:r>
          </w:p>
          <w:p w:rsidR="00000000" w:rsidRPr="00412A7F" w:rsidP="00412A7F">
            <w:pPr>
              <w:pStyle w:val="BodyText"/>
            </w:pPr>
            <w:r w:rsidRPr="00412A7F">
              <w:t xml:space="preserve">3.2 Pack, unpack, handle and move </w:t>
            </w:r>
            <w:r w:rsidRPr="00412A7F">
              <w:t xml:space="preserve">physical elements according to agreed plans and within </w:t>
            </w:r>
            <w:r w:rsidRPr="00412A7F">
              <w:rPr>
                <w:rStyle w:val="BoldandItalics"/>
              </w:rPr>
              <w:t>scope of individual responsibility</w:t>
            </w:r>
          </w:p>
          <w:p w:rsidR="00000000" w:rsidRPr="00412A7F" w:rsidP="00412A7F">
            <w:pPr>
              <w:pStyle w:val="BodyText"/>
            </w:pPr>
            <w:r w:rsidRPr="00412A7F">
              <w:t xml:space="preserve">3.3 Use safe manual-handling techniques consistent with </w:t>
            </w:r>
            <w:r w:rsidRPr="00412A7F">
              <w:rPr>
                <w:rStyle w:val="BoldandItalics"/>
              </w:rPr>
              <w:t>organisational procedures</w:t>
            </w:r>
            <w:r w:rsidRPr="00412A7F">
              <w:t xml:space="preserve"> respecting the integrity of exhibition elements</w:t>
            </w:r>
          </w:p>
          <w:p w:rsidR="00000000" w:rsidRPr="00412A7F" w:rsidP="00412A7F">
            <w:pPr>
              <w:pStyle w:val="BodyText"/>
            </w:pPr>
            <w:r w:rsidRPr="00412A7F">
              <w:t>3.4 Clear and clean work areas accor</w:t>
            </w:r>
            <w:r w:rsidRPr="00412A7F">
              <w:t>ding to organisational procedures, safety and sustainable work practices</w:t>
            </w:r>
          </w:p>
          <w:p w:rsidR="00000000" w:rsidRPr="00412A7F" w:rsidP="00412A7F">
            <w:pPr>
              <w:pStyle w:val="BodyText"/>
            </w:pPr>
            <w:r w:rsidRPr="00412A7F">
              <w:t>3.5 Return elements safely to appropriate locations according to exhibition documentation and plans</w:t>
            </w:r>
          </w:p>
          <w:p w:rsidR="00000000" w:rsidRPr="00412A7F" w:rsidP="00412A7F">
            <w:pPr>
              <w:pStyle w:val="BodyText"/>
            </w:pPr>
            <w:r w:rsidRPr="00412A7F">
              <w:t xml:space="preserve">3.6 Follow </w:t>
            </w:r>
            <w:r w:rsidRPr="00412A7F">
              <w:rPr>
                <w:rStyle w:val="BoldandItalics"/>
              </w:rPr>
              <w:t>record-keeping</w:t>
            </w:r>
            <w:r w:rsidRPr="00412A7F">
              <w:t xml:space="preserve"> p</w:t>
            </w:r>
            <w:r w:rsidRPr="00412A7F">
              <w:t>rocedures regarding installing and dismantling exhibition elements</w:t>
            </w:r>
          </w:p>
        </w:tc>
      </w:tr>
    </w:tbl>
    <w:p w:rsidR="00000000" w:rsidRPr="00412A7F" w:rsidP="00412A7F">
      <w:pPr>
        <w:pStyle w:val="BodyText"/>
      </w:pPr>
    </w:p>
    <w:p w:rsidR="00000000" w:rsidRPr="00412A7F" w:rsidP="00412A7F">
      <w:pPr>
        <w:pStyle w:val="AllowPageBreak"/>
      </w:pPr>
    </w:p>
    <w:p w:rsidR="00000000" w:rsidRPr="00412A7F" w:rsidP="00412A7F">
      <w:pPr>
        <w:pStyle w:val="Heading1"/>
      </w:pPr>
      <w:bookmarkStart w:id="9" w:name="O_385743"/>
      <w:bookmarkEnd w:id="9"/>
      <w:r w:rsidRPr="00412A7F">
        <w:t>Required Skills and Knowledge</w:t>
      </w:r>
    </w:p>
    <w:p w:rsidR="00000000" w:rsidRPr="00412A7F" w:rsidP="00412A7F">
      <w:pPr>
        <w:pStyle w:val="BodyText"/>
      </w:pPr>
      <w:r w:rsidRPr="00412A7F">
        <w:rPr>
          <w:rStyle w:val="Emphasis"/>
        </w:rPr>
        <w:t>This section describes the skills and knowledge required for this unit.</w:t>
      </w:r>
    </w:p>
    <w:p w:rsidR="00000000" w:rsidRPr="00412A7F" w:rsidP="00412A7F">
      <w:pPr>
        <w:pStyle w:val="BodyText"/>
      </w:pPr>
    </w:p>
    <w:p w:rsidR="00000000" w:rsidRPr="00412A7F" w:rsidP="00412A7F">
      <w:pPr>
        <w:pStyle w:val="BodyText"/>
      </w:pPr>
      <w:r w:rsidRPr="00412A7F">
        <w:rPr>
          <w:rStyle w:val="SpecialBold"/>
        </w:rPr>
        <w:t>Required skills</w:t>
      </w:r>
    </w:p>
    <w:p w:rsidR="00000000" w:rsidRPr="00412A7F" w:rsidP="00412A7F">
      <w:pPr>
        <w:pStyle w:val="ListBullet"/>
      </w:pPr>
      <w:r w:rsidRPr="00412A7F">
        <w:t>communication skills to:</w:t>
      </w:r>
    </w:p>
    <w:p w:rsidR="00000000" w:rsidRPr="00412A7F" w:rsidP="00412A7F">
      <w:pPr>
        <w:pStyle w:val="ListBullet2"/>
      </w:pPr>
      <w:r w:rsidRPr="00412A7F">
        <w:t>liaise and agree on work requirements</w:t>
      </w:r>
    </w:p>
    <w:p w:rsidR="00000000" w:rsidRPr="00412A7F" w:rsidP="00412A7F">
      <w:pPr>
        <w:pStyle w:val="ListBullet2"/>
      </w:pPr>
      <w:r w:rsidRPr="00412A7F">
        <w:t>refer problems to relevant personnel</w:t>
      </w:r>
    </w:p>
    <w:p w:rsidR="00000000" w:rsidRPr="00412A7F" w:rsidP="00412A7F">
      <w:pPr>
        <w:pStyle w:val="ListBullet"/>
      </w:pPr>
      <w:r w:rsidRPr="00412A7F">
        <w:t>literacy skills to:</w:t>
      </w:r>
    </w:p>
    <w:p w:rsidR="00000000" w:rsidRPr="00412A7F" w:rsidP="00412A7F">
      <w:pPr>
        <w:pStyle w:val="ListBullet2"/>
      </w:pPr>
      <w:r w:rsidRPr="00412A7F">
        <w:t>complete workplace documentation</w:t>
      </w:r>
    </w:p>
    <w:p w:rsidR="00000000" w:rsidRPr="00412A7F" w:rsidP="00412A7F">
      <w:pPr>
        <w:pStyle w:val="ListBullet2"/>
      </w:pPr>
      <w:r w:rsidRPr="00412A7F">
        <w:t>read and interpret procedures, drawings, work plans and exhibition documentation</w:t>
      </w:r>
    </w:p>
    <w:p w:rsidR="00000000" w:rsidRPr="00412A7F" w:rsidP="00412A7F">
      <w:pPr>
        <w:pStyle w:val="ListBullet"/>
      </w:pPr>
      <w:r w:rsidRPr="00412A7F">
        <w:t>numeracy skills to:</w:t>
      </w:r>
    </w:p>
    <w:p w:rsidR="00000000" w:rsidRPr="00412A7F" w:rsidP="00412A7F">
      <w:pPr>
        <w:pStyle w:val="ListBullet2"/>
      </w:pPr>
      <w:r w:rsidRPr="00412A7F">
        <w:t>calculate measurements</w:t>
      </w:r>
    </w:p>
    <w:p w:rsidR="00000000" w:rsidRPr="00412A7F" w:rsidP="00412A7F">
      <w:pPr>
        <w:pStyle w:val="ListBullet2"/>
      </w:pPr>
      <w:r w:rsidRPr="00412A7F">
        <w:t>count items</w:t>
      </w:r>
    </w:p>
    <w:p w:rsidR="00000000" w:rsidRPr="00412A7F" w:rsidP="00412A7F">
      <w:pPr>
        <w:pStyle w:val="ListBullet2"/>
      </w:pPr>
      <w:r w:rsidRPr="00412A7F">
        <w:t>estimate material requirements</w:t>
      </w:r>
    </w:p>
    <w:p w:rsidR="00000000" w:rsidRPr="00412A7F" w:rsidP="00412A7F">
      <w:pPr>
        <w:pStyle w:val="ListBullet"/>
      </w:pPr>
      <w:r w:rsidRPr="00412A7F">
        <w:t>planning and organising skills to:</w:t>
      </w:r>
    </w:p>
    <w:p w:rsidR="00000000" w:rsidRPr="00412A7F" w:rsidP="00412A7F">
      <w:pPr>
        <w:pStyle w:val="ListBullet2"/>
      </w:pPr>
      <w:r w:rsidRPr="00412A7F">
        <w:t>complete tasks in a logical order</w:t>
      </w:r>
    </w:p>
    <w:p w:rsidR="00000000" w:rsidRPr="00412A7F" w:rsidP="00412A7F">
      <w:pPr>
        <w:pStyle w:val="ListBullet2"/>
      </w:pPr>
      <w:r w:rsidRPr="00412A7F">
        <w:t>follow procedures according to agreed timelines</w:t>
      </w:r>
    </w:p>
    <w:p w:rsidR="00000000" w:rsidRPr="00412A7F" w:rsidP="00412A7F">
      <w:pPr>
        <w:pStyle w:val="ListBullet2"/>
      </w:pPr>
      <w:r w:rsidRPr="00412A7F">
        <w:t>organise equipment and materials</w:t>
      </w:r>
    </w:p>
    <w:p w:rsidR="00000000" w:rsidRPr="00412A7F" w:rsidP="00412A7F">
      <w:pPr>
        <w:pStyle w:val="ListBullet"/>
      </w:pPr>
      <w:r w:rsidRPr="00412A7F">
        <w:t>safety awareness skills to:</w:t>
      </w:r>
    </w:p>
    <w:p w:rsidR="00000000" w:rsidRPr="00412A7F" w:rsidP="00412A7F">
      <w:pPr>
        <w:pStyle w:val="ListBullet2"/>
      </w:pPr>
      <w:r w:rsidRPr="00412A7F">
        <w:t>handle collection material safely</w:t>
      </w:r>
    </w:p>
    <w:p w:rsidR="00000000" w:rsidRPr="00412A7F" w:rsidP="00412A7F">
      <w:pPr>
        <w:pStyle w:val="ListBullet2"/>
      </w:pPr>
      <w:r w:rsidRPr="00412A7F">
        <w:t>use equipment and tools safely</w:t>
      </w:r>
    </w:p>
    <w:p w:rsidR="00000000" w:rsidRPr="00412A7F" w:rsidP="00412A7F">
      <w:pPr>
        <w:pStyle w:val="ListBullet2"/>
      </w:pPr>
      <w:r w:rsidRPr="00412A7F">
        <w:t>minimise hazards</w:t>
      </w:r>
    </w:p>
    <w:p w:rsidR="00000000" w:rsidRPr="00412A7F" w:rsidP="00412A7F">
      <w:pPr>
        <w:pStyle w:val="ListBullet"/>
      </w:pPr>
      <w:r w:rsidRPr="00412A7F">
        <w:t>self-management skills to:</w:t>
      </w:r>
    </w:p>
    <w:p w:rsidR="00000000" w:rsidRPr="00412A7F" w:rsidP="00412A7F">
      <w:pPr>
        <w:pStyle w:val="ListBullet2"/>
      </w:pPr>
      <w:r w:rsidRPr="00412A7F">
        <w:t>follow workplace procedures</w:t>
      </w:r>
    </w:p>
    <w:p w:rsidR="00000000" w:rsidRPr="00412A7F" w:rsidP="00412A7F">
      <w:pPr>
        <w:pStyle w:val="ListBullet2"/>
      </w:pPr>
      <w:r w:rsidRPr="00412A7F">
        <w:t>prioritise work tasks and meet deadlines</w:t>
      </w:r>
    </w:p>
    <w:p w:rsidR="00000000" w:rsidRPr="00412A7F" w:rsidP="00412A7F">
      <w:pPr>
        <w:pStyle w:val="ListBullet"/>
      </w:pPr>
      <w:r w:rsidRPr="00412A7F">
        <w:t xml:space="preserve">teamwork skills to communicate and work with others involved in installing </w:t>
      </w:r>
      <w:r w:rsidRPr="00412A7F">
        <w:t>and dismantling exhibitions</w:t>
      </w:r>
    </w:p>
    <w:p w:rsidR="00000000" w:rsidRPr="00412A7F" w:rsidP="00412A7F">
      <w:pPr>
        <w:pStyle w:val="ListBullet"/>
      </w:pPr>
      <w:r w:rsidRPr="00412A7F">
        <w:t>technical skills to select and apply appropriate installation and dismantling techniques.</w:t>
      </w:r>
    </w:p>
    <w:p w:rsidR="00000000" w:rsidRPr="00412A7F" w:rsidP="00412A7F">
      <w:pPr>
        <w:pStyle w:val="BodyText"/>
      </w:pPr>
    </w:p>
    <w:p w:rsidR="00000000" w:rsidRPr="00412A7F" w:rsidP="00412A7F">
      <w:pPr>
        <w:pStyle w:val="BodyText"/>
      </w:pPr>
      <w:r w:rsidRPr="00412A7F">
        <w:rPr>
          <w:rStyle w:val="SpecialBold"/>
        </w:rPr>
        <w:t>Required knowledge</w:t>
      </w:r>
    </w:p>
    <w:p w:rsidR="00000000" w:rsidRPr="00412A7F" w:rsidP="00412A7F">
      <w:pPr>
        <w:pStyle w:val="ListBullet"/>
      </w:pPr>
      <w:r w:rsidRPr="00412A7F">
        <w:t>different exhibition components relevant to the work or industry context</w:t>
      </w:r>
    </w:p>
    <w:p w:rsidR="00000000" w:rsidRPr="00412A7F" w:rsidP="00412A7F">
      <w:pPr>
        <w:pStyle w:val="ListBullet"/>
      </w:pPr>
      <w:r w:rsidRPr="00412A7F">
        <w:t>typical procedures and processes for exhibition installation</w:t>
      </w:r>
    </w:p>
    <w:p w:rsidR="00000000" w:rsidRPr="00412A7F" w:rsidP="00412A7F">
      <w:pPr>
        <w:pStyle w:val="ListBullet"/>
      </w:pPr>
      <w:r w:rsidRPr="00412A7F">
        <w:t>roles and responsibilities of personnel involved in staging exhibitions</w:t>
      </w:r>
    </w:p>
    <w:p w:rsidR="00000000" w:rsidRPr="00412A7F" w:rsidP="00412A7F">
      <w:pPr>
        <w:pStyle w:val="ListBullet"/>
      </w:pPr>
      <w:r w:rsidRPr="00412A7F">
        <w:t>safe manual-handling techniques and broad safety issues associated with the movement of physical elements</w:t>
      </w:r>
    </w:p>
    <w:p w:rsidR="00000000" w:rsidRPr="00412A7F" w:rsidP="00412A7F">
      <w:pPr>
        <w:pStyle w:val="ListBullet"/>
      </w:pPr>
      <w:r w:rsidRPr="00412A7F">
        <w:t>relevant organisa</w:t>
      </w:r>
      <w:r w:rsidRPr="00412A7F">
        <w:t>tional and legislative work health and safety requirements relating to installing and dismantling exhibitions</w:t>
      </w:r>
    </w:p>
    <w:p w:rsidR="00000000" w:rsidRPr="00412A7F" w:rsidP="00412A7F">
      <w:pPr>
        <w:pStyle w:val="ListBullet"/>
      </w:pPr>
      <w:r w:rsidRPr="00412A7F">
        <w:t>packing materials and techniques used for a range of exhibition elements</w:t>
      </w:r>
    </w:p>
    <w:p w:rsidR="00000000" w:rsidRPr="00412A7F" w:rsidP="00412A7F">
      <w:pPr>
        <w:pStyle w:val="ListBullet"/>
      </w:pPr>
      <w:r w:rsidRPr="00412A7F">
        <w:t>range of tools commonly used for installing and dismantling exhibitions</w:t>
      </w:r>
    </w:p>
    <w:p w:rsidR="00000000" w:rsidRPr="00412A7F" w:rsidP="00412A7F">
      <w:pPr>
        <w:pStyle w:val="ListBullet"/>
      </w:pPr>
      <w:r w:rsidRPr="00412A7F">
        <w:t>c</w:t>
      </w:r>
      <w:r w:rsidRPr="00412A7F">
        <w:t>ultural protocols that impact on installing and dismantling, including those for Aboriginal or Torres Strait Islander material</w:t>
      </w:r>
    </w:p>
    <w:p w:rsidR="00000000" w:rsidRPr="00412A7F" w:rsidP="00412A7F">
      <w:pPr>
        <w:pStyle w:val="ListBullet"/>
      </w:pPr>
      <w:r w:rsidRPr="00412A7F">
        <w:t>conservation issues to be considered when handling collection material</w:t>
      </w:r>
    </w:p>
    <w:p w:rsidR="00000000" w:rsidRPr="00412A7F" w:rsidP="00412A7F">
      <w:pPr>
        <w:pStyle w:val="ListBullet"/>
      </w:pPr>
      <w:r w:rsidRPr="00412A7F">
        <w:t>security issues to be considered when work is underway</w:t>
      </w:r>
    </w:p>
    <w:p w:rsidR="00000000" w:rsidRPr="00412A7F" w:rsidP="00412A7F">
      <w:pPr>
        <w:pStyle w:val="ListBullet"/>
      </w:pPr>
      <w:r w:rsidRPr="00412A7F">
        <w:t>rec</w:t>
      </w:r>
      <w:r w:rsidRPr="00412A7F">
        <w:t>ord-keeping procedures</w:t>
      </w:r>
    </w:p>
    <w:p w:rsidR="00000000" w:rsidRPr="00412A7F" w:rsidP="00412A7F">
      <w:pPr>
        <w:pStyle w:val="ListBullet"/>
      </w:pPr>
      <w:r w:rsidRPr="00412A7F">
        <w:t>organisational procedures and guidelines relating to installing and dismantling exhibition elements.</w:t>
      </w:r>
    </w:p>
    <w:p w:rsidR="00000000" w:rsidRPr="00412A7F" w:rsidP="00412A7F">
      <w:pPr>
        <w:pStyle w:val="AllowPageBreak"/>
      </w:pPr>
    </w:p>
    <w:p w:rsidR="00000000" w:rsidRPr="00412A7F" w:rsidP="00412A7F">
      <w:pPr>
        <w:pStyle w:val="Heading1"/>
      </w:pPr>
      <w:bookmarkStart w:id="10" w:name="O_385744"/>
      <w:bookmarkEnd w:id="10"/>
      <w:r w:rsidRPr="00412A7F">
        <w:t>Evidence Guide</w:t>
      </w:r>
    </w:p>
    <w:p w:rsidR="00000000" w:rsidRPr="00412A7F" w:rsidP="00412A7F">
      <w:pPr>
        <w:pStyle w:val="BodyText"/>
      </w:pPr>
      <w:r w:rsidRPr="00412A7F">
        <w:rPr>
          <w:rStyle w:val="Emphasis"/>
        </w:rPr>
        <w:t>The evidence guide provides advice on assessment and must be read in conjunction with the performanc</w:t>
      </w:r>
      <w:r w:rsidRPr="00412A7F">
        <w:rPr>
          <w:rStyle w:val="Emphasis"/>
        </w:rPr>
        <w:t>e criteria, required skills and knowledge, range statement and the Assessment Guidelines for the Training Package.</w:t>
      </w:r>
    </w:p>
    <w:p w:rsidR="00000000" w:rsidRPr="00412A7F" w:rsidP="00412A7F">
      <w:pPr>
        <w:pStyle w:val="BodyText"/>
      </w:pPr>
    </w:p>
    <w:tbl>
      <w:tblPr>
        <w:tblW w:w="0" w:type="auto"/>
        <w:tblLayout w:type="fixed"/>
        <w:tblCellMar>
          <w:left w:w="62" w:type="dxa"/>
          <w:right w:w="62" w:type="dxa"/>
        </w:tblCellMar>
        <w:tblLook w:val="0000"/>
      </w:tblPr>
      <w:tblGrid>
        <w:gridCol w:w="2541"/>
        <w:gridCol w:w="6519"/>
      </w:tblGrid>
      <w:tr w:rsidTr="00412A7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p>
        </w:tc>
      </w:tr>
      <w:tr w:rsidTr="00412A7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Evidence of the ability to:</w:t>
            </w:r>
          </w:p>
          <w:p w:rsidR="00000000" w:rsidRPr="00412A7F" w:rsidP="00412A7F">
            <w:pPr>
              <w:pStyle w:val="ListBullet"/>
            </w:pPr>
            <w:r w:rsidRPr="00412A7F">
              <w:t>handle collection material with care, using safe manual-handling techniques</w:t>
            </w:r>
          </w:p>
          <w:p w:rsidR="00000000" w:rsidRPr="00412A7F" w:rsidP="00412A7F">
            <w:pPr>
              <w:pStyle w:val="ListBullet"/>
            </w:pPr>
            <w:r w:rsidRPr="00412A7F">
              <w:t>implement procedures and processes for installing and dismantling exhibitions</w:t>
            </w:r>
          </w:p>
          <w:p w:rsidR="00000000" w:rsidRPr="00412A7F" w:rsidP="00412A7F">
            <w:pPr>
              <w:pStyle w:val="ListBullet"/>
            </w:pPr>
            <w:r w:rsidRPr="00412A7F">
              <w:t>install and dismantle physical elements of exhibitions</w:t>
            </w:r>
          </w:p>
          <w:p w:rsidR="00000000" w:rsidP="00412A7F">
            <w:pPr>
              <w:pStyle w:val="ListBullet"/>
              <w:rPr>
                <w:lang w:val="en-NZ"/>
              </w:rPr>
            </w:pPr>
            <w:r w:rsidRPr="00412A7F">
              <w:t>work cooperatively</w:t>
            </w:r>
            <w:r w:rsidRPr="00412A7F">
              <w:t xml:space="preserve"> with others involved in staging exhibitions.</w:t>
            </w:r>
          </w:p>
        </w:tc>
      </w:tr>
      <w:tr w:rsidTr="00412A7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Assessment must ensure:</w:t>
            </w:r>
          </w:p>
          <w:p w:rsidR="00000000" w:rsidRPr="00412A7F" w:rsidP="00412A7F">
            <w:pPr>
              <w:pStyle w:val="ListBullet"/>
            </w:pPr>
            <w:r w:rsidRPr="00412A7F">
              <w:t>involvement of and interaction with a team during the installation or dismantling process</w:t>
            </w:r>
          </w:p>
          <w:p w:rsidR="00000000" w:rsidRPr="00412A7F" w:rsidP="00412A7F">
            <w:pPr>
              <w:pStyle w:val="ListBullet"/>
            </w:pPr>
            <w:r w:rsidRPr="00412A7F">
              <w:t>access to:</w:t>
            </w:r>
          </w:p>
          <w:p w:rsidR="00000000" w:rsidRPr="00412A7F" w:rsidP="00412A7F">
            <w:pPr>
              <w:pStyle w:val="ListBullet2"/>
            </w:pPr>
            <w:r w:rsidRPr="00412A7F">
              <w:t>plans and other exhibition docume</w:t>
            </w:r>
            <w:r w:rsidRPr="00412A7F">
              <w:t>ntation</w:t>
            </w:r>
          </w:p>
          <w:p w:rsidR="00000000" w:rsidRPr="00412A7F" w:rsidP="00412A7F">
            <w:pPr>
              <w:pStyle w:val="ListBullet2"/>
            </w:pPr>
            <w:r w:rsidRPr="00412A7F">
              <w:t>physical exhibition elements</w:t>
            </w:r>
          </w:p>
          <w:p w:rsidR="00000000" w:rsidP="00412A7F">
            <w:pPr>
              <w:pStyle w:val="ListBullet2"/>
              <w:rPr>
                <w:lang w:val="en-NZ"/>
              </w:rPr>
            </w:pPr>
            <w:r w:rsidRPr="00412A7F">
              <w:t>a physical venue to install or dismantle.</w:t>
            </w:r>
          </w:p>
        </w:tc>
      </w:tr>
      <w:tr w:rsidTr="00412A7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A range of assessment methods should be used to assess practical skills and knowledge. The following examples are appropriate for this unit:</w:t>
            </w:r>
          </w:p>
          <w:p w:rsidR="00000000" w:rsidRPr="00412A7F" w:rsidP="00412A7F">
            <w:pPr>
              <w:pStyle w:val="ListBullet"/>
            </w:pPr>
            <w:r w:rsidRPr="00412A7F">
              <w:t>direct questioning combined with review of portfolios of evidence and third-party workplace reports of on-the-job performance</w:t>
            </w:r>
          </w:p>
          <w:p w:rsidR="00000000" w:rsidRPr="00412A7F" w:rsidP="00412A7F">
            <w:pPr>
              <w:pStyle w:val="ListBullet"/>
            </w:pPr>
            <w:r w:rsidRPr="00412A7F">
              <w:t>direct observation of the candidate installing and dismantling physical elements of an exhibition</w:t>
            </w:r>
          </w:p>
          <w:p w:rsidR="00000000" w:rsidRPr="00412A7F" w:rsidP="00412A7F">
            <w:pPr>
              <w:pStyle w:val="ListBullet"/>
            </w:pPr>
            <w:r w:rsidRPr="00412A7F">
              <w:t>verbal or written questioning to assess knowledge of different types of exhibitions, and safety and security issues</w:t>
            </w:r>
          </w:p>
          <w:p w:rsidR="00000000" w:rsidRPr="00412A7F" w:rsidP="00412A7F">
            <w:pPr>
              <w:pStyle w:val="ListBullet"/>
            </w:pPr>
            <w:r w:rsidRPr="00412A7F">
              <w:t>analysis of problem-solving exercises undertaken by the candidate to assess ability to respond to different operational situations and conte</w:t>
            </w:r>
            <w:r w:rsidRPr="00412A7F">
              <w:t>xts.</w:t>
            </w:r>
          </w:p>
          <w:p w:rsidR="00000000" w:rsidP="00412A7F">
            <w:pPr>
              <w:pStyle w:val="BodyText"/>
              <w:rPr>
                <w:lang w:val="en-NZ"/>
              </w:rPr>
            </w:pPr>
            <w:r w:rsidRPr="00412A7F">
              <w:t>Assessment methods should closely reflect workplace demands and the needs of particular client groups (consider the requirements of different age groups, clients with English as a second language, clients with disabilities, remote library users, etc.)</w:t>
            </w:r>
            <w:r w:rsidRPr="00412A7F">
              <w:t>.</w:t>
            </w:r>
          </w:p>
        </w:tc>
      </w:tr>
      <w:tr w:rsidTr="00412A7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BodyText"/>
            </w:pPr>
            <w:r w:rsidRPr="00412A7F">
              <w:t>Holistic assessment with other units relevant to the industry sector, workplace and job role is recommended, for example:</w:t>
            </w:r>
          </w:p>
          <w:p w:rsidR="00000000" w:rsidRPr="00412A7F" w:rsidP="00412A7F">
            <w:pPr>
              <w:pStyle w:val="ListBullet"/>
            </w:pPr>
            <w:r w:rsidRPr="00412A7F">
              <w:t>CULEVP402A Design and develop interpretive displays.</w:t>
            </w:r>
          </w:p>
        </w:tc>
      </w:tr>
    </w:tbl>
    <w:p w:rsidR="00000000" w:rsidRPr="00412A7F" w:rsidP="00412A7F">
      <w:pPr>
        <w:pStyle w:val="BodyText"/>
      </w:pPr>
    </w:p>
    <w:p w:rsidR="00000000" w:rsidRPr="00412A7F" w:rsidP="00412A7F">
      <w:pPr>
        <w:pStyle w:val="AllowPageBreak"/>
      </w:pPr>
    </w:p>
    <w:p w:rsidR="00000000" w:rsidRPr="00412A7F" w:rsidP="00412A7F">
      <w:pPr>
        <w:pStyle w:val="Heading1"/>
      </w:pPr>
      <w:bookmarkStart w:id="11" w:name="O_385745"/>
      <w:bookmarkEnd w:id="11"/>
      <w:r w:rsidRPr="00412A7F">
        <w:t>Range Statement</w:t>
      </w:r>
    </w:p>
    <w:p w:rsidR="00000000" w:rsidRPr="00412A7F" w:rsidP="00412A7F">
      <w:pPr>
        <w:pStyle w:val="BodyText"/>
      </w:pPr>
      <w:r w:rsidRPr="00412A7F">
        <w:rPr>
          <w:rStyle w:val="Emphasis"/>
        </w:rPr>
        <w:t>The ra</w:t>
      </w:r>
      <w:r w:rsidRPr="00412A7F">
        <w:rPr>
          <w:rStyle w:val="Emphasis"/>
        </w:rPr>
        <w:t>nge statement relates to the unit of competency as a whole. It allows for different work environments and situations that may affect performance. Bold italicised wording, if used in the performance criteria, is detailed below. Essential operating condition</w:t>
      </w:r>
      <w:r w:rsidRPr="00412A7F">
        <w:rPr>
          <w:rStyle w:val="Emphasis"/>
        </w:rPr>
        <w:t>s that may be present with training and assessment (depending on the work situation, needs of the candidate, accessibility of the item, and local industry and regional contexts) may also be included.</w:t>
      </w:r>
    </w:p>
    <w:p w:rsidR="00000000" w:rsidRPr="00412A7F" w:rsidP="00412A7F">
      <w:pPr>
        <w:pStyle w:val="BodyText"/>
      </w:pPr>
    </w:p>
    <w:tbl>
      <w:tblPr>
        <w:tblW w:w="0" w:type="auto"/>
        <w:tblLayout w:type="fixed"/>
        <w:tblCellMar>
          <w:left w:w="62" w:type="dxa"/>
          <w:right w:w="62" w:type="dxa"/>
        </w:tblCellMar>
        <w:tblLook w:val="0000"/>
      </w:tblPr>
      <w:tblGrid>
        <w:gridCol w:w="2496"/>
        <w:gridCol w:w="6564"/>
      </w:tblGrid>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Exhibition documentation</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event orders</w:t>
            </w:r>
          </w:p>
          <w:p w:rsidR="00000000" w:rsidRPr="00412A7F" w:rsidP="00412A7F">
            <w:pPr>
              <w:pStyle w:val="ListBullet"/>
            </w:pPr>
            <w:r w:rsidRPr="00412A7F">
              <w:t>floor plans</w:t>
            </w:r>
          </w:p>
          <w:p w:rsidR="00000000" w:rsidRPr="00412A7F" w:rsidP="00412A7F">
            <w:pPr>
              <w:pStyle w:val="ListBullet"/>
            </w:pPr>
            <w:r w:rsidRPr="00412A7F">
              <w:t>handling notes</w:t>
            </w:r>
          </w:p>
          <w:p w:rsidR="00000000" w:rsidRPr="00412A7F" w:rsidP="00412A7F">
            <w:pPr>
              <w:pStyle w:val="ListBullet"/>
            </w:pPr>
            <w:r w:rsidRPr="00412A7F">
              <w:t>installation instructions</w:t>
            </w:r>
          </w:p>
          <w:p w:rsidR="00000000" w:rsidRPr="00412A7F" w:rsidP="00412A7F">
            <w:pPr>
              <w:pStyle w:val="ListBullet"/>
            </w:pPr>
            <w:r w:rsidRPr="00412A7F">
              <w:t>site plans</w:t>
            </w:r>
          </w:p>
          <w:p w:rsidR="00000000" w:rsidRPr="00412A7F" w:rsidP="00412A7F">
            <w:pPr>
              <w:pStyle w:val="ListBullet"/>
            </w:pPr>
            <w:r w:rsidRPr="00412A7F">
              <w:t>travelling condition reports</w:t>
            </w:r>
          </w:p>
          <w:p w:rsidR="00000000" w:rsidP="00412A7F">
            <w:pPr>
              <w:pStyle w:val="ListBullet"/>
              <w:rPr>
                <w:lang w:val="en-NZ"/>
              </w:rPr>
            </w:pPr>
            <w:r w:rsidRPr="00412A7F">
              <w:t>work instructions.</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Requirements</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deadlines</w:t>
            </w:r>
          </w:p>
          <w:p w:rsidR="00000000" w:rsidRPr="00412A7F" w:rsidP="00412A7F">
            <w:pPr>
              <w:pStyle w:val="ListBullet"/>
            </w:pPr>
            <w:r w:rsidRPr="00412A7F">
              <w:t>duration</w:t>
            </w:r>
          </w:p>
          <w:p w:rsidR="00000000" w:rsidRPr="00412A7F" w:rsidP="00412A7F">
            <w:pPr>
              <w:pStyle w:val="ListBullet"/>
            </w:pPr>
            <w:r w:rsidRPr="00412A7F">
              <w:t>permanent or temporary</w:t>
            </w:r>
          </w:p>
          <w:p w:rsidR="00000000" w:rsidRPr="00412A7F" w:rsidP="00412A7F">
            <w:pPr>
              <w:pStyle w:val="ListBullet"/>
            </w:pPr>
            <w:r w:rsidRPr="00412A7F">
              <w:t>restrictions</w:t>
            </w:r>
          </w:p>
          <w:p w:rsidR="00000000" w:rsidP="00412A7F">
            <w:pPr>
              <w:pStyle w:val="ListBullet"/>
              <w:rPr>
                <w:lang w:val="en-NZ"/>
              </w:rPr>
            </w:pPr>
            <w:r w:rsidRPr="00412A7F">
              <w:t>safety requirements.</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Relevant personnel</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collection manager</w:t>
            </w:r>
          </w:p>
          <w:p w:rsidR="00000000" w:rsidRPr="00412A7F" w:rsidP="00412A7F">
            <w:pPr>
              <w:pStyle w:val="ListBullet"/>
            </w:pPr>
            <w:r w:rsidRPr="00412A7F">
              <w:t>conservator</w:t>
            </w:r>
          </w:p>
          <w:p w:rsidR="00000000" w:rsidRPr="00412A7F" w:rsidP="00412A7F">
            <w:pPr>
              <w:pStyle w:val="ListBullet"/>
            </w:pPr>
            <w:r w:rsidRPr="00412A7F">
              <w:t>curator</w:t>
            </w:r>
          </w:p>
          <w:p w:rsidR="00000000" w:rsidRPr="00412A7F" w:rsidP="00412A7F">
            <w:pPr>
              <w:pStyle w:val="ListBullet"/>
            </w:pPr>
            <w:r w:rsidRPr="00412A7F">
              <w:t>exhibition designer</w:t>
            </w:r>
          </w:p>
          <w:p w:rsidR="00000000" w:rsidRPr="00412A7F" w:rsidP="00412A7F">
            <w:pPr>
              <w:pStyle w:val="ListBullet"/>
            </w:pPr>
            <w:r w:rsidRPr="00412A7F">
              <w:t>registrar</w:t>
            </w:r>
          </w:p>
          <w:p w:rsidR="00000000" w:rsidP="00412A7F">
            <w:pPr>
              <w:pStyle w:val="ListBullet"/>
              <w:rPr>
                <w:lang w:val="en-NZ"/>
              </w:rPr>
            </w:pPr>
            <w:r w:rsidRPr="00412A7F">
              <w:t>security personnel.</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Site alterations</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access to utilities</w:t>
            </w:r>
          </w:p>
          <w:p w:rsidR="00000000" w:rsidRPr="00412A7F" w:rsidP="00412A7F">
            <w:pPr>
              <w:pStyle w:val="ListBullet"/>
            </w:pPr>
            <w:r w:rsidRPr="00412A7F">
              <w:t>change to signage or access routes</w:t>
            </w:r>
          </w:p>
          <w:p w:rsidR="00000000" w:rsidRPr="00412A7F" w:rsidP="00412A7F">
            <w:pPr>
              <w:pStyle w:val="ListBullet"/>
            </w:pPr>
            <w:r w:rsidRPr="00412A7F">
              <w:t>clearing unnecessary items</w:t>
            </w:r>
          </w:p>
          <w:p w:rsidR="00000000" w:rsidRPr="00412A7F" w:rsidP="00412A7F">
            <w:pPr>
              <w:pStyle w:val="ListBullet"/>
            </w:pPr>
            <w:r w:rsidRPr="00412A7F">
              <w:t>installation requirements</w:t>
            </w:r>
          </w:p>
          <w:p w:rsidR="00000000" w:rsidRPr="00412A7F" w:rsidP="00412A7F">
            <w:pPr>
              <w:pStyle w:val="ListBullet"/>
            </w:pPr>
            <w:r w:rsidRPr="00412A7F">
              <w:t>introduction of new utiliti</w:t>
            </w:r>
            <w:r w:rsidRPr="00412A7F">
              <w:t>es or furniture</w:t>
            </w:r>
          </w:p>
          <w:p w:rsidR="00000000" w:rsidRPr="00412A7F" w:rsidP="00412A7F">
            <w:pPr>
              <w:pStyle w:val="ListBullet"/>
            </w:pPr>
            <w:r w:rsidRPr="00412A7F">
              <w:t>removal of existing fittings or displays</w:t>
            </w:r>
          </w:p>
          <w:p w:rsidR="00000000" w:rsidRPr="00412A7F" w:rsidP="00412A7F">
            <w:pPr>
              <w:pStyle w:val="ListBullet"/>
            </w:pPr>
            <w:r w:rsidRPr="00412A7F">
              <w:t>safety and licensing requirements</w:t>
            </w:r>
          </w:p>
          <w:p w:rsidR="00000000" w:rsidRPr="00412A7F" w:rsidP="00412A7F">
            <w:pPr>
              <w:pStyle w:val="ListBullet"/>
            </w:pPr>
            <w:r w:rsidRPr="00412A7F">
              <w:t>security</w:t>
            </w:r>
          </w:p>
          <w:p w:rsidR="00000000" w:rsidP="00412A7F">
            <w:pPr>
              <w:pStyle w:val="ListBullet"/>
              <w:rPr>
                <w:lang w:val="en-NZ"/>
              </w:rPr>
            </w:pPr>
            <w:r w:rsidRPr="00412A7F">
              <w:t>sustainable work practices.</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On-site construction</w:t>
            </w:r>
            <w:r w:rsidRPr="00412A7F">
              <w:t xml:space="preserve"> may be completed in-house or by external contractors, and many relate to:</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carpentry</w:t>
            </w:r>
          </w:p>
          <w:p w:rsidR="00000000" w:rsidRPr="00412A7F" w:rsidP="00412A7F">
            <w:pPr>
              <w:pStyle w:val="ListBullet"/>
            </w:pPr>
            <w:r w:rsidRPr="00412A7F">
              <w:t>electrical</w:t>
            </w:r>
          </w:p>
          <w:p w:rsidR="00000000" w:rsidRPr="00412A7F" w:rsidP="00412A7F">
            <w:pPr>
              <w:pStyle w:val="ListBullet"/>
            </w:pPr>
            <w:r w:rsidRPr="00412A7F">
              <w:t>installation requirements</w:t>
            </w:r>
          </w:p>
          <w:p w:rsidR="00000000" w:rsidRPr="00412A7F" w:rsidP="00412A7F">
            <w:pPr>
              <w:pStyle w:val="ListBullet"/>
            </w:pPr>
            <w:r w:rsidRPr="00412A7F">
              <w:t>metalwork</w:t>
            </w:r>
          </w:p>
          <w:p w:rsidR="00000000" w:rsidRPr="00412A7F" w:rsidP="00412A7F">
            <w:pPr>
              <w:pStyle w:val="ListBullet"/>
            </w:pPr>
            <w:r w:rsidRPr="00412A7F">
              <w:t>plumbing</w:t>
            </w:r>
          </w:p>
          <w:p w:rsidR="00000000" w:rsidRPr="00412A7F" w:rsidP="00412A7F">
            <w:pPr>
              <w:pStyle w:val="ListBullet"/>
            </w:pPr>
            <w:r w:rsidRPr="00412A7F">
              <w:t>safety and licensing requirements</w:t>
            </w:r>
          </w:p>
          <w:p w:rsidR="00000000" w:rsidP="00412A7F">
            <w:pPr>
              <w:pStyle w:val="ListBullet"/>
              <w:rPr>
                <w:lang w:val="en-NZ"/>
              </w:rPr>
            </w:pPr>
            <w:r w:rsidRPr="00412A7F">
              <w:t>security.</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Exhibition elements</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art works</w:t>
            </w:r>
          </w:p>
          <w:p w:rsidR="00000000" w:rsidRPr="00412A7F" w:rsidP="00412A7F">
            <w:pPr>
              <w:pStyle w:val="ListBullet"/>
            </w:pPr>
            <w:r w:rsidRPr="00412A7F">
              <w:t>computer equipment</w:t>
            </w:r>
          </w:p>
          <w:p w:rsidR="00000000" w:rsidRPr="00412A7F" w:rsidP="00412A7F">
            <w:pPr>
              <w:pStyle w:val="ListBullet"/>
            </w:pPr>
            <w:r w:rsidRPr="00412A7F">
              <w:t>customised supports</w:t>
            </w:r>
          </w:p>
          <w:p w:rsidR="00000000" w:rsidRPr="00412A7F" w:rsidP="00412A7F">
            <w:pPr>
              <w:pStyle w:val="ListBullet"/>
            </w:pPr>
            <w:r w:rsidRPr="00412A7F">
              <w:t>display cases</w:t>
            </w:r>
          </w:p>
          <w:p w:rsidR="00000000" w:rsidRPr="00412A7F" w:rsidP="00412A7F">
            <w:pPr>
              <w:pStyle w:val="ListBullet"/>
            </w:pPr>
            <w:r w:rsidRPr="00412A7F">
              <w:t>drawers</w:t>
            </w:r>
          </w:p>
          <w:p w:rsidR="00000000" w:rsidRPr="00412A7F" w:rsidP="00412A7F">
            <w:pPr>
              <w:pStyle w:val="ListBullet"/>
            </w:pPr>
            <w:r w:rsidRPr="00412A7F">
              <w:t>electronic support material</w:t>
            </w:r>
          </w:p>
          <w:p w:rsidR="00000000" w:rsidRPr="00412A7F" w:rsidP="00412A7F">
            <w:pPr>
              <w:pStyle w:val="ListBullet"/>
            </w:pPr>
            <w:r w:rsidRPr="00412A7F">
              <w:t>environmental monitoring and control systems</w:t>
            </w:r>
          </w:p>
          <w:p w:rsidR="00000000" w:rsidRPr="00412A7F" w:rsidP="00412A7F">
            <w:pPr>
              <w:pStyle w:val="ListBullet"/>
            </w:pPr>
            <w:r w:rsidRPr="00412A7F">
              <w:t>film and video screens</w:t>
            </w:r>
          </w:p>
          <w:p w:rsidR="00000000" w:rsidRPr="00412A7F" w:rsidP="00412A7F">
            <w:pPr>
              <w:pStyle w:val="ListBullet"/>
            </w:pPr>
            <w:r w:rsidRPr="00412A7F">
              <w:t>hanging system supports</w:t>
            </w:r>
          </w:p>
          <w:p w:rsidR="00000000" w:rsidRPr="00412A7F" w:rsidP="00412A7F">
            <w:pPr>
              <w:pStyle w:val="ListBullet"/>
            </w:pPr>
            <w:r w:rsidRPr="00412A7F">
              <w:t>light fittings</w:t>
            </w:r>
          </w:p>
          <w:p w:rsidR="00000000" w:rsidRPr="00412A7F" w:rsidP="00412A7F">
            <w:pPr>
              <w:pStyle w:val="ListBullet"/>
            </w:pPr>
            <w:r w:rsidRPr="00412A7F">
              <w:t>objects</w:t>
            </w:r>
          </w:p>
          <w:p w:rsidR="00000000" w:rsidRPr="00412A7F" w:rsidP="00412A7F">
            <w:pPr>
              <w:pStyle w:val="ListBullet"/>
            </w:pPr>
            <w:r w:rsidRPr="00412A7F">
              <w:t>plinths</w:t>
            </w:r>
          </w:p>
          <w:p w:rsidR="00000000" w:rsidRPr="00412A7F" w:rsidP="00412A7F">
            <w:pPr>
              <w:pStyle w:val="ListBullet"/>
            </w:pPr>
            <w:r w:rsidRPr="00412A7F">
              <w:t>racks</w:t>
            </w:r>
          </w:p>
          <w:p w:rsidR="00000000" w:rsidRPr="00412A7F" w:rsidP="00412A7F">
            <w:pPr>
              <w:pStyle w:val="ListBullet"/>
            </w:pPr>
            <w:r w:rsidRPr="00412A7F">
              <w:t>sound outlets</w:t>
            </w:r>
          </w:p>
          <w:p w:rsidR="00000000" w:rsidRPr="00412A7F" w:rsidP="00412A7F">
            <w:pPr>
              <w:pStyle w:val="ListBullet"/>
            </w:pPr>
            <w:r w:rsidRPr="00412A7F">
              <w:t>special exhibition features</w:t>
            </w:r>
          </w:p>
          <w:p w:rsidR="00000000" w:rsidRPr="00412A7F" w:rsidP="00412A7F">
            <w:pPr>
              <w:pStyle w:val="ListBullet"/>
            </w:pPr>
            <w:r w:rsidRPr="00412A7F">
              <w:t>stands</w:t>
            </w:r>
          </w:p>
          <w:p w:rsidR="00000000" w:rsidP="00412A7F">
            <w:pPr>
              <w:pStyle w:val="ListBullet"/>
              <w:rPr>
                <w:lang w:val="en-NZ"/>
              </w:rPr>
            </w:pPr>
            <w:r w:rsidRPr="00412A7F">
              <w:t>tracks.</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Exhibitions</w:t>
            </w:r>
            <w:r w:rsidRPr="00412A7F">
              <w:t xml:space="preserve"> may be: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developed in-house or externally</w:t>
            </w:r>
          </w:p>
          <w:p w:rsidR="00000000" w:rsidRPr="00412A7F" w:rsidP="00412A7F">
            <w:pPr>
              <w:pStyle w:val="ListBullet"/>
            </w:pPr>
            <w:r w:rsidRPr="00412A7F">
              <w:t>hired, borrowed or presented on behalf of another organisation or community group</w:t>
            </w:r>
          </w:p>
          <w:p w:rsidR="00000000" w:rsidRPr="00412A7F" w:rsidP="00412A7F">
            <w:pPr>
              <w:pStyle w:val="ListBullet"/>
            </w:pPr>
            <w:r w:rsidRPr="00412A7F">
              <w:t>permanent or temporary</w:t>
            </w:r>
          </w:p>
          <w:p w:rsidR="00000000" w:rsidRPr="00412A7F" w:rsidP="00412A7F">
            <w:pPr>
              <w:pStyle w:val="ListBullet"/>
            </w:pPr>
            <w:r w:rsidRPr="00412A7F">
              <w:t>travelling</w:t>
            </w:r>
          </w:p>
          <w:p w:rsidR="00000000" w:rsidRPr="00412A7F" w:rsidP="00412A7F">
            <w:pPr>
              <w:pStyle w:val="ListBullet"/>
            </w:pPr>
            <w:r w:rsidRPr="00412A7F">
              <w:t>staged in venues or events, such as:</w:t>
            </w:r>
          </w:p>
          <w:p w:rsidR="00000000" w:rsidRPr="00412A7F" w:rsidP="00412A7F">
            <w:pPr>
              <w:pStyle w:val="ListBullet2"/>
            </w:pPr>
            <w:r w:rsidRPr="00412A7F">
              <w:t>corporate events</w:t>
            </w:r>
          </w:p>
          <w:p w:rsidR="00000000" w:rsidRPr="00412A7F" w:rsidP="00412A7F">
            <w:pPr>
              <w:pStyle w:val="ListBullet2"/>
            </w:pPr>
            <w:r w:rsidRPr="00412A7F">
              <w:t>festivals</w:t>
            </w:r>
          </w:p>
          <w:p w:rsidR="00000000" w:rsidRPr="00412A7F" w:rsidP="00412A7F">
            <w:pPr>
              <w:pStyle w:val="ListBullet2"/>
            </w:pPr>
            <w:r w:rsidRPr="00412A7F">
              <w:t>galleries</w:t>
            </w:r>
          </w:p>
          <w:p w:rsidR="00000000" w:rsidRPr="00412A7F" w:rsidP="00412A7F">
            <w:pPr>
              <w:pStyle w:val="ListBullet2"/>
            </w:pPr>
            <w:r w:rsidRPr="00412A7F">
              <w:t>libraries</w:t>
            </w:r>
          </w:p>
          <w:p w:rsidR="00000000" w:rsidRPr="00412A7F" w:rsidP="00412A7F">
            <w:pPr>
              <w:pStyle w:val="ListBullet2"/>
            </w:pPr>
            <w:r w:rsidRPr="00412A7F">
              <w:t>museums</w:t>
            </w:r>
          </w:p>
          <w:p w:rsidR="00000000" w:rsidRPr="00412A7F" w:rsidP="00412A7F">
            <w:pPr>
              <w:pStyle w:val="ListBullet2"/>
            </w:pPr>
            <w:r w:rsidRPr="00412A7F">
              <w:t>other visitor attractions</w:t>
            </w:r>
          </w:p>
          <w:p w:rsidR="00000000" w:rsidP="00412A7F">
            <w:pPr>
              <w:pStyle w:val="ListBullet2"/>
              <w:rPr>
                <w:lang w:val="en-NZ"/>
              </w:rPr>
            </w:pPr>
            <w:r w:rsidRPr="00412A7F">
              <w:t>theme parks.</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Scope of individual responsibility</w:t>
            </w:r>
            <w:r w:rsidRPr="00412A7F">
              <w:t xml:space="preserve"> may relate to:</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authority to handle certain objects</w:t>
            </w:r>
          </w:p>
          <w:p w:rsidR="00000000" w:rsidP="00412A7F">
            <w:pPr>
              <w:pStyle w:val="ListBullet"/>
              <w:rPr>
                <w:lang w:val="en-NZ"/>
              </w:rPr>
            </w:pPr>
            <w:r w:rsidRPr="00412A7F">
              <w:t>licensing requirements for undertaking particular types of work.</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Organisational procedures</w:t>
            </w:r>
            <w:r w:rsidRPr="00412A7F">
              <w:t xml:space="preserve"> may relate to:</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cleaning</w:t>
            </w:r>
          </w:p>
          <w:p w:rsidR="00000000" w:rsidRPr="00412A7F" w:rsidP="00412A7F">
            <w:pPr>
              <w:pStyle w:val="ListBullet"/>
            </w:pPr>
            <w:r w:rsidRPr="00412A7F">
              <w:t>conservation</w:t>
            </w:r>
          </w:p>
          <w:p w:rsidR="00000000" w:rsidRPr="00412A7F" w:rsidP="00412A7F">
            <w:pPr>
              <w:pStyle w:val="ListBullet"/>
            </w:pPr>
            <w:r w:rsidRPr="00412A7F">
              <w:t>environment</w:t>
            </w:r>
          </w:p>
          <w:p w:rsidR="00000000" w:rsidRPr="00412A7F" w:rsidP="00412A7F">
            <w:pPr>
              <w:pStyle w:val="ListBullet"/>
            </w:pPr>
            <w:r w:rsidRPr="00412A7F">
              <w:t>handling methods</w:t>
            </w:r>
          </w:p>
          <w:p w:rsidR="00000000" w:rsidRPr="00412A7F" w:rsidP="00412A7F">
            <w:pPr>
              <w:pStyle w:val="ListBullet"/>
            </w:pPr>
            <w:r w:rsidRPr="00412A7F">
              <w:t>national and international standards relating to installing and dismantling exhibition elements</w:t>
            </w:r>
          </w:p>
          <w:p w:rsidR="00000000" w:rsidRPr="00412A7F" w:rsidP="00412A7F">
            <w:pPr>
              <w:pStyle w:val="ListBullet"/>
            </w:pPr>
            <w:r w:rsidRPr="00412A7F">
              <w:t>purchasing</w:t>
            </w:r>
          </w:p>
          <w:p w:rsidR="00000000" w:rsidRPr="00412A7F" w:rsidP="00412A7F">
            <w:pPr>
              <w:pStyle w:val="ListBullet"/>
            </w:pPr>
            <w:r w:rsidRPr="00412A7F">
              <w:t>security</w:t>
            </w:r>
          </w:p>
          <w:p w:rsidR="00000000" w:rsidRPr="00412A7F" w:rsidP="00412A7F">
            <w:pPr>
              <w:pStyle w:val="ListBullet"/>
            </w:pPr>
            <w:r w:rsidRPr="00412A7F">
              <w:t>storage of packaging materials</w:t>
            </w:r>
          </w:p>
          <w:p w:rsidR="00000000" w:rsidP="00412A7F">
            <w:pPr>
              <w:pStyle w:val="ListBullet"/>
              <w:rPr>
                <w:lang w:val="en-NZ"/>
              </w:rPr>
            </w:pPr>
            <w:r w:rsidRPr="00412A7F">
              <w:t>waste disposal.</w:t>
            </w:r>
          </w:p>
        </w:tc>
      </w:tr>
      <w:tr w:rsidTr="00412A7F">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A7F">
            <w:pPr>
              <w:pStyle w:val="BodyText"/>
              <w:rPr>
                <w:lang w:val="en-NZ"/>
              </w:rPr>
            </w:pPr>
            <w:r w:rsidRPr="00412A7F">
              <w:rPr>
                <w:rStyle w:val="BoldandItalics"/>
              </w:rPr>
              <w:t>Recordkeeping</w:t>
            </w:r>
            <w:r w:rsidRPr="00412A7F">
              <w:t xml:space="preserve"> may include:</w:t>
            </w:r>
          </w:p>
        </w:tc>
        <w:tc>
          <w:tcPr>
            <w:tcW w:w="6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A7F" w:rsidP="00412A7F">
            <w:pPr>
              <w:pStyle w:val="ListBullet"/>
            </w:pPr>
            <w:r w:rsidRPr="00412A7F">
              <w:t>electronic files and databases</w:t>
            </w:r>
          </w:p>
          <w:p w:rsidR="00000000" w:rsidRPr="00412A7F" w:rsidP="00412A7F">
            <w:pPr>
              <w:pStyle w:val="ListBullet"/>
            </w:pPr>
            <w:r w:rsidRPr="00412A7F">
              <w:t>logs and registers</w:t>
            </w:r>
          </w:p>
          <w:p w:rsidR="00000000" w:rsidRPr="00412A7F" w:rsidP="00412A7F">
            <w:pPr>
              <w:pStyle w:val="ListBullet"/>
            </w:pPr>
            <w:r w:rsidRPr="00412A7F">
              <w:t>paper documents.</w:t>
            </w:r>
          </w:p>
        </w:tc>
      </w:tr>
    </w:tbl>
    <w:p w:rsidR="00000000" w:rsidRPr="00412A7F" w:rsidP="00412A7F">
      <w:pPr>
        <w:pStyle w:val="BodyText"/>
      </w:pPr>
    </w:p>
    <w:p w:rsidR="00000000" w:rsidRPr="00412A7F" w:rsidP="00412A7F">
      <w:pPr>
        <w:pStyle w:val="AllowPageBreak"/>
      </w:pPr>
    </w:p>
    <w:p w:rsidR="00000000" w:rsidRPr="00412A7F" w:rsidP="00412A7F">
      <w:pPr>
        <w:pStyle w:val="Heading1"/>
      </w:pPr>
      <w:bookmarkStart w:id="12" w:name="O_385746"/>
      <w:bookmarkEnd w:id="12"/>
      <w:r w:rsidRPr="00412A7F">
        <w:t>Unit Sector(s)</w:t>
      </w:r>
    </w:p>
    <w:p w:rsidR="00000000" w:rsidRPr="00412A7F" w:rsidP="00412A7F">
      <w:pPr>
        <w:pStyle w:val="BodyText"/>
      </w:pPr>
      <w:r w:rsidRPr="00412A7F">
        <w:t>Cultural services - Exhibitions and visitor programs</w:t>
      </w:r>
    </w:p>
    <w:p w:rsidR="00000000" w:rsidRPr="00412A7F" w:rsidP="00412A7F"/>
    <w:sectPr w:rsidSect="00412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5E5" w:rsidP="00BC0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E5" w:rsidP="00412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05E5" w:rsidP="00412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5E5" w:rsidP="00412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5E5" w:rsidP="00BC05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5E5" w:rsidP="00412A7F">
    <w:pPr>
      <w:pStyle w:val="Header"/>
      <w:framePr w:wrap="around"/>
    </w:pPr>
    <w:r>
      <w:fldChar w:fldCharType="begin"/>
    </w:r>
    <w:r>
      <w:instrText xml:space="preserve"> TITLE   \* MERGEFORMAT </w:instrText>
    </w:r>
    <w:r>
      <w:fldChar w:fldCharType="separate"/>
    </w:r>
    <w:r>
      <w:t>CULEVP403A Install and dismantle exhibition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05E5" w:rsidP="00412A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8F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6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8E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A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A7F"/>
    <w:pPr>
      <w:spacing w:before="360" w:after="60"/>
      <w:outlineLvl w:val="0"/>
    </w:pPr>
    <w:rPr>
      <w:sz w:val="32"/>
    </w:rPr>
  </w:style>
  <w:style w:type="paragraph" w:styleId="Heading2">
    <w:name w:val="heading 2"/>
    <w:basedOn w:val="HeadingBase"/>
    <w:next w:val="BodyText"/>
    <w:link w:val="Heading2Char"/>
    <w:qFormat/>
    <w:rsid w:val="00412A7F"/>
    <w:pPr>
      <w:keepLines/>
      <w:spacing w:before="240" w:after="120"/>
      <w:outlineLvl w:val="1"/>
    </w:pPr>
    <w:rPr>
      <w:sz w:val="28"/>
      <w:szCs w:val="40"/>
    </w:rPr>
  </w:style>
  <w:style w:type="paragraph" w:styleId="Heading3">
    <w:name w:val="heading 3"/>
    <w:basedOn w:val="HeadingBase"/>
    <w:next w:val="BodyText"/>
    <w:link w:val="Heading3Char"/>
    <w:qFormat/>
    <w:rsid w:val="00412A7F"/>
    <w:pPr>
      <w:spacing w:before="180" w:after="120"/>
      <w:outlineLvl w:val="2"/>
    </w:pPr>
    <w:rPr>
      <w:spacing w:val="-10"/>
      <w:kern w:val="32"/>
    </w:rPr>
  </w:style>
  <w:style w:type="paragraph" w:styleId="Heading4">
    <w:name w:val="heading 4"/>
    <w:basedOn w:val="HeadingBase"/>
    <w:next w:val="BodyText"/>
    <w:link w:val="Heading4Char"/>
    <w:qFormat/>
    <w:rsid w:val="00412A7F"/>
    <w:pPr>
      <w:spacing w:before="160" w:after="120"/>
      <w:outlineLvl w:val="3"/>
    </w:pPr>
    <w:rPr>
      <w:sz w:val="22"/>
    </w:rPr>
  </w:style>
  <w:style w:type="paragraph" w:styleId="Heading5">
    <w:name w:val="heading 5"/>
    <w:basedOn w:val="HeadingBase"/>
    <w:next w:val="Normal"/>
    <w:link w:val="Heading5Char"/>
    <w:qFormat/>
    <w:rsid w:val="00412A7F"/>
    <w:pPr>
      <w:spacing w:before="80"/>
      <w:outlineLvl w:val="4"/>
    </w:pPr>
    <w:rPr>
      <w:color w:val="918585"/>
      <w:sz w:val="20"/>
    </w:rPr>
  </w:style>
  <w:style w:type="paragraph" w:styleId="Heading6">
    <w:name w:val="heading 6"/>
    <w:basedOn w:val="HeadingBase"/>
    <w:next w:val="Normal"/>
    <w:link w:val="Heading6Char"/>
    <w:qFormat/>
    <w:rsid w:val="00412A7F"/>
    <w:pPr>
      <w:spacing w:before="60"/>
      <w:outlineLvl w:val="5"/>
    </w:pPr>
    <w:rPr>
      <w:color w:val="918585"/>
      <w:sz w:val="20"/>
    </w:rPr>
  </w:style>
  <w:style w:type="paragraph" w:styleId="Heading7">
    <w:name w:val="heading 7"/>
    <w:basedOn w:val="Normal"/>
    <w:next w:val="Normal"/>
    <w:link w:val="Heading7Char"/>
    <w:qFormat/>
    <w:rsid w:val="00412A7F"/>
    <w:pPr>
      <w:ind w:left="720"/>
      <w:outlineLvl w:val="6"/>
    </w:pPr>
    <w:rPr>
      <w:i/>
    </w:rPr>
  </w:style>
  <w:style w:type="paragraph" w:styleId="Heading8">
    <w:name w:val="heading 8"/>
    <w:basedOn w:val="Normal"/>
    <w:next w:val="Normal"/>
    <w:link w:val="Heading8Char"/>
    <w:qFormat/>
    <w:rsid w:val="00412A7F"/>
    <w:pPr>
      <w:ind w:left="720"/>
      <w:outlineLvl w:val="7"/>
    </w:pPr>
    <w:rPr>
      <w:i/>
    </w:rPr>
  </w:style>
  <w:style w:type="paragraph" w:styleId="Heading9">
    <w:name w:val="heading 9"/>
    <w:basedOn w:val="Normal"/>
    <w:next w:val="Normal"/>
    <w:link w:val="Heading9Char"/>
    <w:qFormat/>
    <w:rsid w:val="00412A7F"/>
    <w:pPr>
      <w:ind w:left="720"/>
      <w:outlineLvl w:val="8"/>
    </w:pPr>
    <w:rPr>
      <w:i/>
    </w:rPr>
  </w:style>
  <w:style w:type="character" w:default="1" w:styleId="DefaultParagraphFont">
    <w:name w:val="Default Paragraph Font"/>
    <w:uiPriority w:val="1"/>
    <w:unhideWhenUsed/>
    <w:rsid w:val="00412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A7F"/>
  </w:style>
  <w:style w:type="character" w:customStyle="1" w:styleId="Heading1Char">
    <w:name w:val="Heading 1 Char"/>
    <w:basedOn w:val="DefaultParagraphFont"/>
    <w:link w:val="Heading1"/>
    <w:rsid w:val="00412A7F"/>
    <w:rPr>
      <w:rFonts w:ascii="Times New Roman" w:eastAsia="Times New Roman" w:hAnsi="Times New Roman" w:cs="Times New Roman"/>
      <w:b/>
      <w:sz w:val="32"/>
      <w:szCs w:val="20"/>
      <w:lang w:eastAsia="en-US"/>
    </w:rPr>
  </w:style>
  <w:style w:type="paragraph" w:styleId="BodyText">
    <w:name w:val="Body Text"/>
    <w:basedOn w:val="Normal"/>
    <w:link w:val="BodyTextChar"/>
    <w:rsid w:val="00412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A7F"/>
    <w:rPr>
      <w:rFonts w:ascii="Times New Roman" w:eastAsia="Times New Roman" w:hAnsi="Times New Roman" w:cs="Times New Roman"/>
      <w:sz w:val="24"/>
      <w:lang w:val="en-US" w:eastAsia="en-US"/>
    </w:rPr>
  </w:style>
  <w:style w:type="paragraph" w:styleId="Footer">
    <w:name w:val="footer"/>
    <w:basedOn w:val="Normal"/>
    <w:link w:val="FooterChar"/>
    <w:rsid w:val="00412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A7F"/>
    <w:rPr>
      <w:rFonts w:ascii="Times New Roman" w:eastAsia="Times New Roman" w:hAnsi="Times New Roman" w:cs="Times New Roman"/>
      <w:sz w:val="16"/>
      <w:lang w:val="en-US" w:eastAsia="en-US"/>
    </w:rPr>
  </w:style>
  <w:style w:type="paragraph" w:styleId="ListBullet">
    <w:name w:val="List Bullet"/>
    <w:basedOn w:val="List"/>
    <w:rsid w:val="00412A7F"/>
    <w:pPr>
      <w:numPr>
        <w:numId w:val="13"/>
      </w:numPr>
      <w:tabs>
        <w:tab w:val="clear" w:pos="340"/>
      </w:tabs>
      <w:spacing w:before="40" w:after="40"/>
    </w:pPr>
  </w:style>
  <w:style w:type="character" w:customStyle="1" w:styleId="SpecialBold">
    <w:name w:val="Special Bold"/>
    <w:basedOn w:val="DefaultParagraphFont"/>
    <w:rsid w:val="00412A7F"/>
    <w:rPr>
      <w:b/>
      <w:spacing w:val="0"/>
    </w:rPr>
  </w:style>
  <w:style w:type="paragraph" w:styleId="ListBullet2">
    <w:name w:val="List Bullet 2"/>
    <w:basedOn w:val="List2"/>
    <w:rsid w:val="00412A7F"/>
    <w:pPr>
      <w:numPr>
        <w:numId w:val="14"/>
      </w:numPr>
      <w:tabs>
        <w:tab w:val="clear" w:pos="680"/>
      </w:tabs>
    </w:pPr>
  </w:style>
  <w:style w:type="paragraph" w:styleId="Header">
    <w:name w:val="header"/>
    <w:basedOn w:val="Normal"/>
    <w:link w:val="HeaderChar"/>
    <w:rsid w:val="00412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A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2A7F"/>
    <w:rPr>
      <w:i/>
    </w:rPr>
  </w:style>
  <w:style w:type="paragraph" w:customStyle="1" w:styleId="SuperHeading">
    <w:name w:val="SuperHeading"/>
    <w:basedOn w:val="Normal"/>
    <w:rsid w:val="00412A7F"/>
    <w:pPr>
      <w:spacing w:before="240" w:after="120"/>
      <w:outlineLvl w:val="0"/>
    </w:pPr>
    <w:rPr>
      <w:rFonts w:ascii="Times New Roman" w:hAnsi="Times New Roman"/>
      <w:b/>
      <w:sz w:val="28"/>
    </w:rPr>
  </w:style>
  <w:style w:type="paragraph" w:customStyle="1" w:styleId="AllowPageBreak">
    <w:name w:val="AllowPageBreak"/>
    <w:rsid w:val="00412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2A7F"/>
    <w:rPr>
      <w:b/>
      <w:i/>
      <w:u w:val="none"/>
    </w:rPr>
  </w:style>
  <w:style w:type="character" w:customStyle="1" w:styleId="Heading2Char">
    <w:name w:val="Heading 2 Char"/>
    <w:basedOn w:val="DefaultParagraphFont"/>
    <w:link w:val="Heading2"/>
    <w:rsid w:val="00412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A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A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A7F"/>
    <w:rPr>
      <w:rFonts w:ascii="Courier New" w:eastAsia="Times New Roman" w:hAnsi="Courier New" w:cs="Times New Roman"/>
      <w:i/>
      <w:szCs w:val="20"/>
      <w:lang w:val="en-US" w:eastAsia="en-US"/>
    </w:rPr>
  </w:style>
  <w:style w:type="paragraph" w:customStyle="1" w:styleId="HeadingBase">
    <w:name w:val="Heading Base"/>
    <w:rsid w:val="00412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A7F"/>
    <w:pPr>
      <w:tabs>
        <w:tab w:val="right" w:leader="dot" w:pos="9072"/>
      </w:tabs>
      <w:ind w:left="567"/>
    </w:pPr>
    <w:rPr>
      <w:szCs w:val="22"/>
    </w:rPr>
  </w:style>
  <w:style w:type="paragraph" w:customStyle="1" w:styleId="TOCBase">
    <w:name w:val="TOC Base"/>
    <w:rsid w:val="00412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A7F"/>
    <w:pPr>
      <w:tabs>
        <w:tab w:val="right" w:leader="dot" w:pos="9072"/>
      </w:tabs>
      <w:spacing w:before="40" w:after="40"/>
      <w:ind w:left="284"/>
    </w:pPr>
    <w:rPr>
      <w:rFonts w:ascii="Times New Roman" w:hAnsi="Times New Roman"/>
    </w:rPr>
  </w:style>
  <w:style w:type="paragraph" w:styleId="TOC1">
    <w:name w:val="toc 1"/>
    <w:basedOn w:val="TOCBase"/>
    <w:next w:val="Normal"/>
    <w:rsid w:val="00412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A7F"/>
    <w:pPr>
      <w:spacing w:before="5040"/>
      <w:jc w:val="center"/>
    </w:pPr>
    <w:rPr>
      <w:sz w:val="48"/>
      <w:szCs w:val="72"/>
      <w:lang w:val="en-US"/>
    </w:rPr>
  </w:style>
  <w:style w:type="character" w:customStyle="1" w:styleId="TitleChar">
    <w:name w:val="Title Char"/>
    <w:basedOn w:val="DefaultParagraphFont"/>
    <w:link w:val="Title"/>
    <w:rsid w:val="00412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A7F"/>
    <w:pPr>
      <w:tabs>
        <w:tab w:val="left" w:pos="3600"/>
        <w:tab w:val="left" w:pos="3958"/>
      </w:tabs>
    </w:pPr>
  </w:style>
  <w:style w:type="paragraph" w:styleId="List">
    <w:name w:val="List"/>
    <w:basedOn w:val="BodyText"/>
    <w:next w:val="BodyText"/>
    <w:rsid w:val="00412A7F"/>
    <w:pPr>
      <w:tabs>
        <w:tab w:val="left" w:pos="340"/>
      </w:tabs>
      <w:spacing w:before="60" w:after="60"/>
      <w:ind w:left="340" w:hanging="340"/>
    </w:pPr>
  </w:style>
  <w:style w:type="paragraph" w:customStyle="1" w:styleId="Note">
    <w:name w:val="Note"/>
    <w:basedOn w:val="BodyText"/>
    <w:rsid w:val="00412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A7F"/>
    <w:pPr>
      <w:framePr w:wrap="auto" w:hAnchor="text" w:y="6049"/>
    </w:pPr>
    <w:rPr>
      <w:color w:val="000000"/>
      <w:sz w:val="40"/>
    </w:rPr>
  </w:style>
  <w:style w:type="paragraph" w:customStyle="1" w:styleId="TOCTitle">
    <w:name w:val="TOCTitle"/>
    <w:basedOn w:val="Heading1"/>
    <w:rsid w:val="00412A7F"/>
    <w:pPr>
      <w:spacing w:after="240"/>
      <w:jc w:val="center"/>
      <w:outlineLvl w:val="9"/>
    </w:pPr>
    <w:rPr>
      <w:caps/>
    </w:rPr>
  </w:style>
  <w:style w:type="paragraph" w:customStyle="1" w:styleId="Version">
    <w:name w:val="Version"/>
    <w:rsid w:val="00412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A7F"/>
    <w:pPr>
      <w:keepNext w:val="0"/>
      <w:tabs>
        <w:tab w:val="right" w:pos="4176"/>
      </w:tabs>
      <w:ind w:left="198" w:hanging="198"/>
    </w:pPr>
    <w:rPr>
      <w:rFonts w:ascii="Garamond" w:hAnsi="Garamond"/>
    </w:rPr>
  </w:style>
  <w:style w:type="paragraph" w:styleId="IndexHeading">
    <w:name w:val="index heading"/>
    <w:basedOn w:val="Normal"/>
    <w:next w:val="Index1"/>
    <w:semiHidden/>
    <w:rsid w:val="00412A7F"/>
    <w:pPr>
      <w:spacing w:before="120" w:after="120"/>
    </w:pPr>
    <w:rPr>
      <w:rFonts w:ascii="Arial" w:hAnsi="Arial"/>
      <w:b/>
      <w:color w:val="918585"/>
      <w:sz w:val="24"/>
    </w:rPr>
  </w:style>
  <w:style w:type="paragraph" w:customStyle="1" w:styleId="Chapter">
    <w:name w:val="Chapter"/>
    <w:basedOn w:val="Normal"/>
    <w:rsid w:val="00412A7F"/>
    <w:pPr>
      <w:spacing w:before="240"/>
    </w:pPr>
    <w:rPr>
      <w:rFonts w:ascii="Times New Roman" w:hAnsi="Times New Roman"/>
      <w:smallCaps/>
      <w:spacing w:val="80"/>
      <w:sz w:val="28"/>
    </w:rPr>
  </w:style>
  <w:style w:type="paragraph" w:customStyle="1" w:styleId="InChapter">
    <w:name w:val="InChapter"/>
    <w:basedOn w:val="Heading3"/>
    <w:rsid w:val="00412A7F"/>
    <w:pPr>
      <w:spacing w:after="240"/>
      <w:outlineLvl w:val="9"/>
    </w:pPr>
    <w:rPr>
      <w:noProof/>
    </w:rPr>
  </w:style>
  <w:style w:type="paragraph" w:styleId="Index2">
    <w:name w:val="index 2"/>
    <w:basedOn w:val="Normal"/>
    <w:next w:val="Normal"/>
    <w:semiHidden/>
    <w:rsid w:val="00412A7F"/>
    <w:pPr>
      <w:tabs>
        <w:tab w:val="right" w:pos="4176"/>
      </w:tabs>
      <w:ind w:left="568" w:hanging="284"/>
    </w:pPr>
    <w:rPr>
      <w:rFonts w:ascii="Garamond" w:hAnsi="Garamond"/>
    </w:rPr>
  </w:style>
  <w:style w:type="paragraph" w:customStyle="1" w:styleId="Byline">
    <w:name w:val="Byline"/>
    <w:rsid w:val="00412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A7F"/>
    <w:pPr>
      <w:tabs>
        <w:tab w:val="clear" w:pos="3600"/>
        <w:tab w:val="clear" w:pos="3958"/>
      </w:tabs>
      <w:jc w:val="right"/>
    </w:pPr>
  </w:style>
  <w:style w:type="paragraph" w:styleId="Caption">
    <w:name w:val="caption"/>
    <w:basedOn w:val="BodyText"/>
    <w:next w:val="Normal"/>
    <w:qFormat/>
    <w:rsid w:val="00412A7F"/>
    <w:pPr>
      <w:framePr w:w="2268" w:hSpace="181" w:vSpace="181" w:wrap="around" w:vAnchor="text" w:hAnchor="page" w:x="1135" w:y="285" w:anchorLock="1"/>
    </w:pPr>
    <w:rPr>
      <w:i/>
    </w:rPr>
  </w:style>
  <w:style w:type="paragraph" w:customStyle="1" w:styleId="MiniTOCTitle">
    <w:name w:val="MiniTOCTitle"/>
    <w:basedOn w:val="Heading4"/>
    <w:rsid w:val="00412A7F"/>
    <w:pPr>
      <w:spacing w:before="240"/>
      <w:outlineLvl w:val="9"/>
    </w:pPr>
    <w:rPr>
      <w:noProof/>
      <w:sz w:val="24"/>
    </w:rPr>
  </w:style>
  <w:style w:type="paragraph" w:customStyle="1" w:styleId="MiniTOCItem">
    <w:name w:val="MiniTOCItem"/>
    <w:basedOn w:val="ListBullet"/>
    <w:rsid w:val="00412A7F"/>
    <w:pPr>
      <w:numPr>
        <w:numId w:val="0"/>
      </w:numPr>
      <w:tabs>
        <w:tab w:val="right" w:leader="dot" w:pos="6521"/>
      </w:tabs>
      <w:spacing w:before="0" w:after="0"/>
    </w:pPr>
  </w:style>
  <w:style w:type="paragraph" w:customStyle="1" w:styleId="TOFTitle">
    <w:name w:val="TOFTitle"/>
    <w:basedOn w:val="TOCTitle"/>
    <w:rsid w:val="00412A7F"/>
  </w:style>
  <w:style w:type="paragraph" w:styleId="TableofFigures">
    <w:name w:val="table of figures"/>
    <w:basedOn w:val="Normal"/>
    <w:next w:val="Normal"/>
    <w:semiHidden/>
    <w:rsid w:val="00412A7F"/>
    <w:pPr>
      <w:tabs>
        <w:tab w:val="right" w:leader="dot" w:pos="9072"/>
      </w:tabs>
      <w:ind w:left="970" w:hanging="403"/>
    </w:pPr>
    <w:rPr>
      <w:rFonts w:ascii="Times New Roman" w:hAnsi="Times New Roman"/>
      <w:b/>
    </w:rPr>
  </w:style>
  <w:style w:type="paragraph" w:styleId="ListNumber">
    <w:name w:val="List Number"/>
    <w:basedOn w:val="List"/>
    <w:rsid w:val="00412A7F"/>
    <w:pPr>
      <w:numPr>
        <w:numId w:val="11"/>
      </w:numPr>
    </w:pPr>
  </w:style>
  <w:style w:type="character" w:customStyle="1" w:styleId="WingdingSymbols">
    <w:name w:val="Wingding Symbols"/>
    <w:rsid w:val="00412A7F"/>
    <w:rPr>
      <w:rFonts w:ascii="Wingdings" w:hAnsi="Wingdings"/>
    </w:rPr>
  </w:style>
  <w:style w:type="paragraph" w:customStyle="1" w:styleId="TableHeading">
    <w:name w:val="Table Heading"/>
    <w:basedOn w:val="HeadingBase"/>
    <w:rsid w:val="00412A7F"/>
    <w:pPr>
      <w:keepLines/>
      <w:pBdr>
        <w:bottom w:val="single" w:sz="6" w:space="1" w:color="918585"/>
      </w:pBdr>
      <w:spacing w:before="240"/>
    </w:pPr>
  </w:style>
  <w:style w:type="character" w:customStyle="1" w:styleId="HotSpot">
    <w:name w:val="HotSpot"/>
    <w:rsid w:val="00412A7F"/>
    <w:rPr>
      <w:color w:val="0033CC"/>
      <w:u w:val="none"/>
    </w:rPr>
  </w:style>
  <w:style w:type="paragraph" w:customStyle="1" w:styleId="BodyTextRight">
    <w:name w:val="Body Text Right"/>
    <w:basedOn w:val="BodyText"/>
    <w:rsid w:val="00412A7F"/>
    <w:pPr>
      <w:spacing w:before="0" w:after="0"/>
      <w:jc w:val="right"/>
    </w:pPr>
  </w:style>
  <w:style w:type="paragraph" w:styleId="Index3">
    <w:name w:val="index 3"/>
    <w:basedOn w:val="ListNumber2"/>
    <w:next w:val="Normal"/>
    <w:semiHidden/>
    <w:rsid w:val="00412A7F"/>
    <w:pPr>
      <w:numPr>
        <w:numId w:val="0"/>
      </w:numPr>
      <w:tabs>
        <w:tab w:val="right" w:leader="dot" w:pos="4176"/>
      </w:tabs>
    </w:pPr>
  </w:style>
  <w:style w:type="paragraph" w:styleId="ListNumber2">
    <w:name w:val="List Number 2"/>
    <w:basedOn w:val="List2"/>
    <w:rsid w:val="00412A7F"/>
    <w:pPr>
      <w:numPr>
        <w:numId w:val="10"/>
      </w:numPr>
      <w:tabs>
        <w:tab w:val="clear" w:pos="1060"/>
      </w:tabs>
    </w:pPr>
  </w:style>
  <w:style w:type="paragraph" w:customStyle="1" w:styleId="MarginNote">
    <w:name w:val="Margin Note"/>
    <w:basedOn w:val="BodyText"/>
    <w:rsid w:val="00412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A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A7F"/>
    <w:rPr>
      <w:sz w:val="32"/>
    </w:rPr>
  </w:style>
  <w:style w:type="paragraph" w:customStyle="1" w:styleId="HeadingProcedure">
    <w:name w:val="Heading Procedure"/>
    <w:basedOn w:val="HeadingBase"/>
    <w:next w:val="Normal"/>
    <w:rsid w:val="00412A7F"/>
    <w:pPr>
      <w:tabs>
        <w:tab w:val="left" w:pos="0"/>
      </w:tabs>
      <w:spacing w:before="120" w:after="60"/>
    </w:pPr>
    <w:rPr>
      <w:i/>
      <w:color w:val="918585"/>
      <w:sz w:val="22"/>
    </w:rPr>
  </w:style>
  <w:style w:type="paragraph" w:customStyle="1" w:styleId="TableBodyText">
    <w:name w:val="Table Body Text"/>
    <w:basedOn w:val="BodyText"/>
    <w:rsid w:val="00412A7F"/>
    <w:pPr>
      <w:spacing w:before="60" w:after="60"/>
    </w:pPr>
  </w:style>
  <w:style w:type="paragraph" w:styleId="ListContinue">
    <w:name w:val="List Continue"/>
    <w:basedOn w:val="List"/>
    <w:rsid w:val="00412A7F"/>
    <w:pPr>
      <w:ind w:firstLine="0"/>
    </w:pPr>
  </w:style>
  <w:style w:type="paragraph" w:customStyle="1" w:styleId="ListNote">
    <w:name w:val="List Note"/>
    <w:basedOn w:val="List"/>
    <w:rsid w:val="00412A7F"/>
    <w:pPr>
      <w:pBdr>
        <w:top w:val="single" w:sz="6" w:space="2" w:color="918585"/>
        <w:bottom w:val="single" w:sz="6" w:space="2" w:color="918585"/>
      </w:pBdr>
      <w:tabs>
        <w:tab w:val="left" w:pos="1021"/>
      </w:tabs>
      <w:ind w:firstLine="0"/>
    </w:pPr>
  </w:style>
  <w:style w:type="paragraph" w:customStyle="1" w:styleId="Warning">
    <w:name w:val="Warning"/>
    <w:basedOn w:val="BodyText"/>
    <w:rsid w:val="00412A7F"/>
    <w:pPr>
      <w:shd w:val="clear" w:color="auto" w:fill="D9D9D9"/>
      <w:tabs>
        <w:tab w:val="left" w:pos="992"/>
      </w:tabs>
      <w:ind w:left="119" w:right="119"/>
    </w:pPr>
    <w:rPr>
      <w:sz w:val="20"/>
    </w:rPr>
  </w:style>
  <w:style w:type="paragraph" w:customStyle="1" w:styleId="MarginIcons">
    <w:name w:val="Margin Icons"/>
    <w:basedOn w:val="BodyText"/>
    <w:rsid w:val="00412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A7F"/>
    <w:rPr>
      <w:rFonts w:ascii="Courier New" w:hAnsi="Courier New"/>
    </w:rPr>
  </w:style>
  <w:style w:type="paragraph" w:customStyle="1" w:styleId="NoteBullet">
    <w:name w:val="Note Bullet"/>
    <w:basedOn w:val="Note"/>
    <w:rsid w:val="00412A7F"/>
    <w:pPr>
      <w:tabs>
        <w:tab w:val="clear" w:pos="680"/>
      </w:tabs>
      <w:spacing w:before="60" w:after="60"/>
    </w:pPr>
  </w:style>
  <w:style w:type="paragraph" w:customStyle="1" w:styleId="SubHeading2">
    <w:name w:val="SubHeading2"/>
    <w:basedOn w:val="HeadingBase"/>
    <w:rsid w:val="00412A7F"/>
    <w:pPr>
      <w:spacing w:before="240" w:after="60"/>
    </w:pPr>
    <w:rPr>
      <w:sz w:val="20"/>
    </w:rPr>
  </w:style>
  <w:style w:type="paragraph" w:customStyle="1" w:styleId="SubHeading1">
    <w:name w:val="SubHeading1"/>
    <w:basedOn w:val="HeadingBase"/>
    <w:rsid w:val="00412A7F"/>
    <w:pPr>
      <w:spacing w:before="240" w:after="60"/>
    </w:pPr>
    <w:rPr>
      <w:color w:val="918585"/>
      <w:sz w:val="22"/>
    </w:rPr>
  </w:style>
  <w:style w:type="paragraph" w:customStyle="1" w:styleId="SideHeading">
    <w:name w:val="Side Heading"/>
    <w:basedOn w:val="HeadingBase"/>
    <w:rsid w:val="00412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A7F"/>
    <w:pPr>
      <w:numPr>
        <w:numId w:val="12"/>
      </w:numPr>
    </w:pPr>
  </w:style>
  <w:style w:type="paragraph" w:styleId="PlainText">
    <w:name w:val="Plain Text"/>
    <w:basedOn w:val="Normal"/>
    <w:link w:val="PlainTextChar"/>
    <w:rsid w:val="00412A7F"/>
    <w:rPr>
      <w:sz w:val="20"/>
    </w:rPr>
  </w:style>
  <w:style w:type="character" w:customStyle="1" w:styleId="PlainTextChar">
    <w:name w:val="Plain Text Char"/>
    <w:basedOn w:val="DefaultParagraphFont"/>
    <w:link w:val="PlainText"/>
    <w:rsid w:val="00412A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A7F"/>
    <w:rPr>
      <w:b/>
      <w:smallCaps/>
    </w:rPr>
  </w:style>
  <w:style w:type="paragraph" w:customStyle="1" w:styleId="TableListNumber">
    <w:name w:val="Table List Number"/>
    <w:basedOn w:val="ListNumber"/>
    <w:rsid w:val="00412A7F"/>
    <w:pPr>
      <w:numPr>
        <w:numId w:val="0"/>
      </w:numPr>
    </w:pPr>
  </w:style>
  <w:style w:type="paragraph" w:styleId="TOC4">
    <w:name w:val="toc 4"/>
    <w:basedOn w:val="TOCBase"/>
    <w:next w:val="Normal"/>
    <w:semiHidden/>
    <w:rsid w:val="00412A7F"/>
    <w:pPr>
      <w:tabs>
        <w:tab w:val="right" w:leader="dot" w:pos="9071"/>
      </w:tabs>
      <w:ind w:left="1701"/>
    </w:pPr>
  </w:style>
  <w:style w:type="paragraph" w:customStyle="1" w:styleId="ListAlpha">
    <w:name w:val="List Alpha"/>
    <w:basedOn w:val="List"/>
    <w:rsid w:val="00412A7F"/>
    <w:pPr>
      <w:numPr>
        <w:numId w:val="9"/>
      </w:numPr>
    </w:pPr>
  </w:style>
  <w:style w:type="paragraph" w:customStyle="1" w:styleId="ListAlpha2">
    <w:name w:val="List Alpha 2"/>
    <w:basedOn w:val="List2"/>
    <w:rsid w:val="00412A7F"/>
    <w:pPr>
      <w:numPr>
        <w:numId w:val="8"/>
      </w:numPr>
    </w:pPr>
  </w:style>
  <w:style w:type="paragraph" w:styleId="List2">
    <w:name w:val="List 2"/>
    <w:basedOn w:val="BodyText"/>
    <w:rsid w:val="00412A7F"/>
    <w:pPr>
      <w:tabs>
        <w:tab w:val="left" w:pos="680"/>
      </w:tabs>
      <w:spacing w:before="60" w:after="60"/>
      <w:ind w:left="680" w:hanging="340"/>
    </w:pPr>
  </w:style>
  <w:style w:type="paragraph" w:styleId="List3">
    <w:name w:val="List 3"/>
    <w:basedOn w:val="BodyText"/>
    <w:rsid w:val="00412A7F"/>
    <w:pPr>
      <w:tabs>
        <w:tab w:val="left" w:pos="1021"/>
      </w:tabs>
      <w:spacing w:before="60" w:after="60"/>
      <w:ind w:left="1020" w:hanging="340"/>
    </w:pPr>
  </w:style>
  <w:style w:type="paragraph" w:styleId="List4">
    <w:name w:val="List 4"/>
    <w:basedOn w:val="BodyText"/>
    <w:rsid w:val="00412A7F"/>
    <w:pPr>
      <w:tabs>
        <w:tab w:val="left" w:pos="1361"/>
      </w:tabs>
      <w:spacing w:before="60" w:after="60"/>
      <w:ind w:left="1361" w:hanging="340"/>
    </w:pPr>
  </w:style>
  <w:style w:type="paragraph" w:styleId="List5">
    <w:name w:val="List 5"/>
    <w:basedOn w:val="BodyText"/>
    <w:rsid w:val="00412A7F"/>
    <w:pPr>
      <w:tabs>
        <w:tab w:val="left" w:pos="1701"/>
      </w:tabs>
      <w:spacing w:before="60" w:after="60"/>
      <w:ind w:left="1701" w:hanging="340"/>
    </w:pPr>
  </w:style>
  <w:style w:type="paragraph" w:styleId="ListBullet3">
    <w:name w:val="List Bullet 3"/>
    <w:basedOn w:val="List3"/>
    <w:rsid w:val="00412A7F"/>
    <w:pPr>
      <w:numPr>
        <w:numId w:val="15"/>
      </w:numPr>
      <w:tabs>
        <w:tab w:val="clear" w:pos="1021"/>
      </w:tabs>
      <w:ind w:left="1037" w:hanging="357"/>
    </w:pPr>
  </w:style>
  <w:style w:type="paragraph" w:styleId="ListBullet4">
    <w:name w:val="List Bullet 4"/>
    <w:basedOn w:val="List4"/>
    <w:rsid w:val="00412A7F"/>
    <w:pPr>
      <w:numPr>
        <w:numId w:val="3"/>
      </w:numPr>
    </w:pPr>
  </w:style>
  <w:style w:type="paragraph" w:styleId="ListBullet5">
    <w:name w:val="List Bullet 5"/>
    <w:basedOn w:val="List5"/>
    <w:rsid w:val="00412A7F"/>
    <w:pPr>
      <w:numPr>
        <w:numId w:val="4"/>
      </w:numPr>
    </w:pPr>
  </w:style>
  <w:style w:type="paragraph" w:styleId="ListContinue2">
    <w:name w:val="List Continue 2"/>
    <w:basedOn w:val="List2"/>
    <w:rsid w:val="00412A7F"/>
    <w:pPr>
      <w:ind w:firstLine="0"/>
    </w:pPr>
  </w:style>
  <w:style w:type="paragraph" w:styleId="ListContinue3">
    <w:name w:val="List Continue 3"/>
    <w:basedOn w:val="List3"/>
    <w:rsid w:val="00412A7F"/>
    <w:pPr>
      <w:ind w:left="1021" w:firstLine="0"/>
    </w:pPr>
  </w:style>
  <w:style w:type="paragraph" w:styleId="ListContinue4">
    <w:name w:val="List Continue 4"/>
    <w:basedOn w:val="List4"/>
    <w:rsid w:val="00412A7F"/>
    <w:pPr>
      <w:ind w:firstLine="0"/>
    </w:pPr>
  </w:style>
  <w:style w:type="paragraph" w:styleId="ListContinue5">
    <w:name w:val="List Continue 5"/>
    <w:basedOn w:val="List5"/>
    <w:rsid w:val="00412A7F"/>
    <w:pPr>
      <w:ind w:firstLine="0"/>
    </w:pPr>
  </w:style>
  <w:style w:type="paragraph" w:styleId="ListNumber3">
    <w:name w:val="List Number 3"/>
    <w:basedOn w:val="List3"/>
    <w:rsid w:val="00412A7F"/>
    <w:pPr>
      <w:numPr>
        <w:numId w:val="5"/>
      </w:numPr>
    </w:pPr>
  </w:style>
  <w:style w:type="paragraph" w:styleId="ListNumber4">
    <w:name w:val="List Number 4"/>
    <w:basedOn w:val="List4"/>
    <w:rsid w:val="00412A7F"/>
    <w:pPr>
      <w:numPr>
        <w:numId w:val="6"/>
      </w:numPr>
    </w:pPr>
  </w:style>
  <w:style w:type="paragraph" w:styleId="ListNumber5">
    <w:name w:val="List Number 5"/>
    <w:basedOn w:val="List5"/>
    <w:rsid w:val="00412A7F"/>
    <w:pPr>
      <w:numPr>
        <w:numId w:val="7"/>
      </w:numPr>
    </w:pPr>
  </w:style>
  <w:style w:type="paragraph" w:styleId="BlockText">
    <w:name w:val="Block Text"/>
    <w:basedOn w:val="Normal"/>
    <w:rsid w:val="00412A7F"/>
    <w:pPr>
      <w:spacing w:after="120"/>
      <w:ind w:left="1440" w:right="1440"/>
    </w:pPr>
  </w:style>
  <w:style w:type="character" w:customStyle="1" w:styleId="Subscript">
    <w:name w:val="Subscript"/>
    <w:basedOn w:val="DefaultParagraphFont"/>
    <w:rsid w:val="00412A7F"/>
    <w:rPr>
      <w:sz w:val="16"/>
      <w:vertAlign w:val="subscript"/>
    </w:rPr>
  </w:style>
  <w:style w:type="character" w:customStyle="1" w:styleId="Superscript">
    <w:name w:val="Superscript"/>
    <w:basedOn w:val="DefaultParagraphFont"/>
    <w:rsid w:val="00412A7F"/>
    <w:rPr>
      <w:sz w:val="16"/>
      <w:vertAlign w:val="superscript"/>
    </w:rPr>
  </w:style>
  <w:style w:type="character" w:customStyle="1" w:styleId="Symbols">
    <w:name w:val="Symbols"/>
    <w:basedOn w:val="DefaultParagraphFont"/>
    <w:rsid w:val="00412A7F"/>
    <w:rPr>
      <w:rFonts w:ascii="Symbol" w:hAnsi="Symbol"/>
    </w:rPr>
  </w:style>
  <w:style w:type="character" w:customStyle="1" w:styleId="MenuOptions">
    <w:name w:val="Menu Options"/>
    <w:basedOn w:val="DefaultParagraphFont"/>
    <w:rsid w:val="00412A7F"/>
    <w:rPr>
      <w:rFonts w:ascii="Arial Narrow" w:hAnsi="Arial Narrow"/>
      <w:smallCaps/>
    </w:rPr>
  </w:style>
  <w:style w:type="character" w:customStyle="1" w:styleId="Buttons">
    <w:name w:val="Buttons"/>
    <w:basedOn w:val="DefaultParagraphFont"/>
    <w:rsid w:val="00412A7F"/>
    <w:rPr>
      <w:b/>
    </w:rPr>
  </w:style>
  <w:style w:type="character" w:customStyle="1" w:styleId="Underlined">
    <w:name w:val="Underlined"/>
    <w:basedOn w:val="DefaultParagraphFont"/>
    <w:rsid w:val="00412A7F"/>
    <w:rPr>
      <w:u w:val="single"/>
    </w:rPr>
  </w:style>
  <w:style w:type="paragraph" w:customStyle="1" w:styleId="TableBodyTextRight">
    <w:name w:val="Table Body Text Right"/>
    <w:basedOn w:val="TableBodyText"/>
    <w:rsid w:val="00412A7F"/>
    <w:pPr>
      <w:widowControl w:val="0"/>
      <w:autoSpaceDE w:val="0"/>
      <w:autoSpaceDN w:val="0"/>
      <w:adjustRightInd w:val="0"/>
      <w:jc w:val="right"/>
    </w:pPr>
    <w:rPr>
      <w:rFonts w:cs="Arial"/>
      <w:szCs w:val="18"/>
    </w:rPr>
  </w:style>
  <w:style w:type="paragraph" w:customStyle="1" w:styleId="CopyrightText">
    <w:name w:val="Copyright Text"/>
    <w:basedOn w:val="BodyText"/>
    <w:rsid w:val="00412A7F"/>
    <w:rPr>
      <w:sz w:val="18"/>
    </w:rPr>
  </w:style>
  <w:style w:type="paragraph" w:customStyle="1" w:styleId="BodySmallRight">
    <w:name w:val="Body Small Right"/>
    <w:basedOn w:val="BodyTextRight"/>
    <w:rsid w:val="00412A7F"/>
    <w:rPr>
      <w:sz w:val="18"/>
      <w:szCs w:val="18"/>
    </w:rPr>
  </w:style>
  <w:style w:type="paragraph" w:customStyle="1" w:styleId="MarginEdition">
    <w:name w:val="Margin Edition"/>
    <w:basedOn w:val="MarginNote"/>
    <w:rsid w:val="00412A7F"/>
    <w:pPr>
      <w:spacing w:before="0" w:after="0"/>
    </w:pPr>
    <w:rPr>
      <w:rFonts w:ascii="Times New Roman" w:hAnsi="Times New Roman"/>
      <w:color w:val="999999"/>
    </w:rPr>
  </w:style>
  <w:style w:type="paragraph" w:customStyle="1" w:styleId="Spacer">
    <w:name w:val="Spacer"/>
    <w:basedOn w:val="Normal"/>
    <w:rsid w:val="00412A7F"/>
    <w:rPr>
      <w:sz w:val="2"/>
      <w:szCs w:val="2"/>
    </w:rPr>
  </w:style>
  <w:style w:type="character" w:customStyle="1" w:styleId="Small">
    <w:name w:val="Small"/>
    <w:basedOn w:val="DefaultParagraphFont"/>
    <w:rsid w:val="00412A7F"/>
    <w:rPr>
      <w:sz w:val="16"/>
    </w:rPr>
  </w:style>
  <w:style w:type="paragraph" w:customStyle="1" w:styleId="WideTable">
    <w:name w:val="Wide Table"/>
    <w:basedOn w:val="Normal"/>
    <w:rsid w:val="00412A7F"/>
    <w:pPr>
      <w:ind w:left="-1418"/>
    </w:pPr>
    <w:rPr>
      <w:sz w:val="2"/>
      <w:szCs w:val="2"/>
    </w:rPr>
  </w:style>
  <w:style w:type="character" w:styleId="PageNumber">
    <w:name w:val="page number"/>
    <w:basedOn w:val="DefaultParagraphFont"/>
    <w:rsid w:val="00412A7F"/>
  </w:style>
  <w:style w:type="paragraph" w:styleId="Quote">
    <w:name w:val="Quote"/>
    <w:basedOn w:val="Heading1"/>
    <w:link w:val="QuoteChar"/>
    <w:qFormat/>
    <w:rsid w:val="00412A7F"/>
    <w:rPr>
      <w:b w:val="0"/>
      <w:sz w:val="72"/>
      <w:szCs w:val="72"/>
      <w:lang w:val="en-NZ"/>
    </w:rPr>
  </w:style>
  <w:style w:type="character" w:customStyle="1" w:styleId="QuoteChar">
    <w:name w:val="Quote Char"/>
    <w:basedOn w:val="DefaultParagraphFont"/>
    <w:link w:val="Quote"/>
    <w:rsid w:val="00412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A7F"/>
    <w:pPr>
      <w:pageBreakBefore/>
    </w:pPr>
  </w:style>
  <w:style w:type="paragraph" w:customStyle="1" w:styleId="Border">
    <w:name w:val="Border"/>
    <w:basedOn w:val="Normal"/>
    <w:qFormat/>
    <w:rsid w:val="00412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A7F"/>
    <w:rPr>
      <w:b/>
      <w:bCs/>
      <w:i/>
      <w:iCs/>
      <w:color w:val="auto"/>
    </w:rPr>
  </w:style>
  <w:style w:type="paragraph" w:styleId="IntenseQuote">
    <w:name w:val="Intense Quote"/>
    <w:basedOn w:val="Normal"/>
    <w:next w:val="Normal"/>
    <w:link w:val="IntenseQuoteChar"/>
    <w:uiPriority w:val="30"/>
    <w:qFormat/>
    <w:rsid w:val="00412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A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A7F"/>
    <w:rPr>
      <w:smallCaps/>
      <w:color w:val="auto"/>
      <w:u w:val="single"/>
    </w:rPr>
  </w:style>
  <w:style w:type="character" w:styleId="IntenseReference">
    <w:name w:val="Intense Reference"/>
    <w:basedOn w:val="DefaultParagraphFont"/>
    <w:uiPriority w:val="32"/>
    <w:qFormat/>
    <w:rsid w:val="00412A7F"/>
    <w:rPr>
      <w:b/>
      <w:bCs/>
      <w:smallCaps/>
      <w:color w:val="auto"/>
      <w:spacing w:val="5"/>
      <w:u w:val="single"/>
    </w:rPr>
  </w:style>
  <w:style w:type="paragraph" w:customStyle="1" w:styleId="2ColumnHeading">
    <w:name w:val="2Column Heading"/>
    <w:basedOn w:val="BodyText"/>
    <w:qFormat/>
    <w:rsid w:val="00412A7F"/>
    <w:pPr>
      <w:spacing w:after="60"/>
      <w:ind w:left="-2268"/>
    </w:pPr>
    <w:rPr>
      <w:b/>
    </w:rPr>
  </w:style>
  <w:style w:type="paragraph" w:customStyle="1" w:styleId="Heading1TOC">
    <w:name w:val="Heading1 TOC"/>
    <w:basedOn w:val="Normal"/>
    <w:qFormat/>
    <w:rsid w:val="00412A7F"/>
    <w:pPr>
      <w:spacing w:before="240" w:after="120"/>
    </w:pPr>
    <w:rPr>
      <w:rFonts w:ascii="Times New Roman" w:hAnsi="Times New Roman"/>
      <w:b/>
      <w:sz w:val="32"/>
    </w:rPr>
  </w:style>
  <w:style w:type="paragraph" w:customStyle="1" w:styleId="Heading2TOC">
    <w:name w:val="Heading2 TOC"/>
    <w:basedOn w:val="Normal"/>
    <w:qFormat/>
    <w:rsid w:val="00412A7F"/>
    <w:pPr>
      <w:spacing w:before="240" w:after="60"/>
    </w:pPr>
    <w:rPr>
      <w:rFonts w:ascii="Times New Roman" w:hAnsi="Times New Roman"/>
      <w:b/>
      <w:sz w:val="28"/>
    </w:rPr>
  </w:style>
  <w:style w:type="character" w:customStyle="1" w:styleId="Underline">
    <w:name w:val="Underline"/>
    <w:basedOn w:val="DefaultParagraphFont"/>
    <w:qFormat/>
    <w:rsid w:val="00412A7F"/>
    <w:rPr>
      <w:u w:val="single"/>
    </w:rPr>
  </w:style>
  <w:style w:type="paragraph" w:styleId="BalloonText">
    <w:name w:val="Balloon Text"/>
    <w:basedOn w:val="Normal"/>
    <w:link w:val="BalloonTextChar"/>
    <w:rsid w:val="00412A7F"/>
    <w:rPr>
      <w:rFonts w:ascii="Tahoma" w:hAnsi="Tahoma" w:cs="Tahoma"/>
      <w:sz w:val="16"/>
      <w:szCs w:val="16"/>
    </w:rPr>
  </w:style>
  <w:style w:type="character" w:customStyle="1" w:styleId="BalloonTextChar">
    <w:name w:val="Balloon Text Char"/>
    <w:basedOn w:val="DefaultParagraphFont"/>
    <w:link w:val="BalloonText"/>
    <w:rsid w:val="00412A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A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8344</Characters>
  <Application>Microsoft Office Word</Application>
  <DocSecurity>0</DocSecurity>
  <Lines>304</Lines>
  <Paragraphs>198</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CULEVP403A Install and dismantle exhibition elements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