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CB2" w:rsidP="00546CB2">
      <w:pPr>
        <w:pStyle w:val="Title"/>
      </w:pPr>
      <w:r>
        <w:fldChar w:fldCharType="begin"/>
      </w:r>
      <w:r>
        <w:instrText xml:space="preserve"> TITLE   \* MERGEFORMAT </w:instrText>
      </w:r>
      <w:r>
        <w:fldChar w:fldCharType="separate"/>
      </w:r>
      <w:r>
        <w:t>CULEVP402A Design and develop interpretive displays</w:t>
      </w:r>
      <w:r>
        <w:fldChar w:fldCharType="end"/>
      </w:r>
    </w:p>
    <w:p w:rsidR="00546CB2" w:rsidP="00546CB2">
      <w:pPr>
        <w:pStyle w:val="Version"/>
        <w:sectPr w:rsidSect="00CB1A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A92" w:rsidP="00CB1A92">
      <w:pPr>
        <w:pStyle w:val="SuperHeading"/>
      </w:pPr>
      <w:r w:rsidRPr="00CB1A92">
        <w:t>CULEVP402A Design and develop interpretive displays</w:t>
      </w:r>
    </w:p>
    <w:p w:rsidR="00000000" w:rsidRPr="00CB1A92" w:rsidP="00CB1A92">
      <w:pPr>
        <w:pStyle w:val="Heading1"/>
      </w:pPr>
      <w:bookmarkStart w:id="1" w:name="O_385720"/>
      <w:bookmarkEnd w:id="1"/>
      <w:r w:rsidRPr="00CB1A92">
        <w:t>Modification History</w:t>
      </w:r>
    </w:p>
    <w:tbl>
      <w:tblPr>
        <w:tblW w:w="0" w:type="auto"/>
        <w:tblLayout w:type="fixed"/>
        <w:tblCellMar>
          <w:left w:w="62" w:type="dxa"/>
          <w:right w:w="62" w:type="dxa"/>
        </w:tblCellMar>
        <w:tblLook w:val="0000"/>
      </w:tblPr>
      <w:tblGrid>
        <w:gridCol w:w="3153"/>
        <w:gridCol w:w="5873"/>
      </w:tblGrid>
      <w:tr w:rsidTr="00CB1A9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92" w:rsidP="00CB1A92">
            <w:pPr>
              <w:pStyle w:val="BodyText"/>
            </w:pPr>
            <w:r w:rsidRPr="00CB1A9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92">
            <w:pPr>
              <w:pStyle w:val="BodyText"/>
              <w:rPr>
                <w:lang w:val="en-NZ"/>
              </w:rPr>
            </w:pPr>
            <w:r w:rsidRPr="00CB1A92">
              <w:rPr>
                <w:rStyle w:val="SpecialBold"/>
              </w:rPr>
              <w:t>Comments</w:t>
            </w:r>
          </w:p>
        </w:tc>
      </w:tr>
      <w:tr w:rsidTr="00CB1A9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92">
            <w:pPr>
              <w:pStyle w:val="BodyText"/>
              <w:rPr>
                <w:lang w:val="en-NZ"/>
              </w:rPr>
            </w:pPr>
            <w:r w:rsidRPr="00CB1A9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92" w:rsidP="00CB1A92">
            <w:pPr>
              <w:pStyle w:val="BodyText"/>
            </w:pPr>
            <w:r w:rsidRPr="00CB1A92">
              <w:t xml:space="preserve">This unit of competency first released with </w:t>
            </w:r>
            <w:r w:rsidRPr="00CB1A92">
              <w:rPr>
                <w:rStyle w:val="Emphasis"/>
              </w:rPr>
              <w:t>CUL11 Library, Information and Cultural Services Training Package version 1.0</w:t>
            </w:r>
          </w:p>
        </w:tc>
      </w:tr>
    </w:tbl>
    <w:p w:rsidR="00000000" w:rsidRPr="00CB1A92" w:rsidP="00CB1A92">
      <w:pPr>
        <w:pStyle w:val="BodyText"/>
      </w:pPr>
    </w:p>
    <w:p w:rsidR="00000000" w:rsidRPr="00CB1A92" w:rsidP="00CB1A92">
      <w:pPr>
        <w:pStyle w:val="AllowPageBreak"/>
      </w:pPr>
    </w:p>
    <w:p w:rsidR="00000000" w:rsidRPr="00CB1A92" w:rsidP="00CB1A92">
      <w:pPr>
        <w:pStyle w:val="Heading1"/>
      </w:pPr>
      <w:bookmarkStart w:id="2" w:name="O_385721"/>
      <w:bookmarkEnd w:id="2"/>
      <w:r w:rsidRPr="00CB1A92">
        <w:t>Unit Descriptor</w:t>
      </w:r>
    </w:p>
    <w:p w:rsidR="00000000" w:rsidRPr="00CB1A92" w:rsidP="00CB1A92">
      <w:pPr>
        <w:pStyle w:val="BodyText"/>
      </w:pPr>
      <w:r w:rsidRPr="00CB1A92">
        <w:t>This unit describes the performance outcomes, skills and knowledge required to design and develop small displays to assist in the interpretation of collections or sites.</w:t>
      </w:r>
    </w:p>
    <w:p w:rsidR="00000000" w:rsidRPr="00CB1A92" w:rsidP="00CB1A92">
      <w:pPr>
        <w:pStyle w:val="AllowPageBreak"/>
      </w:pPr>
    </w:p>
    <w:p w:rsidR="00000000" w:rsidRPr="00CB1A92" w:rsidP="00CB1A92">
      <w:pPr>
        <w:pStyle w:val="Heading1"/>
      </w:pPr>
      <w:bookmarkStart w:id="3" w:name="O_385722"/>
      <w:bookmarkEnd w:id="3"/>
      <w:r w:rsidRPr="00CB1A92">
        <w:t>Application of the Unit</w:t>
      </w:r>
    </w:p>
    <w:p w:rsidR="00000000" w:rsidRPr="00CB1A92" w:rsidP="00CB1A92">
      <w:pPr>
        <w:pStyle w:val="BodyText"/>
      </w:pPr>
      <w:r w:rsidRPr="00CB1A92">
        <w:t>This unit applies to individuals who develop small interpretive displays of collection material.</w:t>
      </w:r>
    </w:p>
    <w:p w:rsidR="00000000" w:rsidRPr="00CB1A92" w:rsidP="00CB1A92">
      <w:pPr>
        <w:pStyle w:val="BodyText"/>
      </w:pPr>
      <w:r w:rsidRPr="00CB1A92">
        <w:t>The unit is most relevant to people working independently or in small organisations, who apply visual design and interpretive skills to present material in cre</w:t>
      </w:r>
      <w:r w:rsidRPr="00CB1A92">
        <w:t xml:space="preserve">ative and interesting ways. </w:t>
      </w:r>
    </w:p>
    <w:p w:rsidR="00000000" w:rsidRPr="00CB1A92" w:rsidP="00CB1A92">
      <w:pPr>
        <w:pStyle w:val="AllowPageBreak"/>
      </w:pPr>
    </w:p>
    <w:p w:rsidR="00000000" w:rsidRPr="00CB1A92" w:rsidP="00CB1A92">
      <w:pPr>
        <w:pStyle w:val="Heading1"/>
      </w:pPr>
      <w:bookmarkStart w:id="4" w:name="O_385723"/>
      <w:bookmarkEnd w:id="4"/>
      <w:r w:rsidRPr="00CB1A92">
        <w:t>Licensing/Regulatory Information</w:t>
      </w:r>
    </w:p>
    <w:p w:rsidR="00000000" w:rsidRPr="00CB1A92" w:rsidP="00CB1A92">
      <w:pPr>
        <w:pStyle w:val="BodyText"/>
      </w:pPr>
      <w:r w:rsidRPr="00CB1A92">
        <w:t>No licensing, legislative, regulatory or certification requirements apply to this unit at the time of endorsement.</w:t>
      </w:r>
    </w:p>
    <w:p w:rsidR="00000000" w:rsidRPr="00CB1A92" w:rsidP="00CB1A92">
      <w:pPr>
        <w:pStyle w:val="AllowPageBreak"/>
      </w:pPr>
    </w:p>
    <w:p w:rsidR="00000000" w:rsidRPr="00CB1A92" w:rsidP="00CB1A92">
      <w:pPr>
        <w:pStyle w:val="Heading1"/>
      </w:pPr>
      <w:bookmarkStart w:id="5" w:name="O_385724"/>
      <w:bookmarkEnd w:id="5"/>
      <w:r w:rsidRPr="00CB1A92">
        <w:t>Pre-Requisites</w:t>
      </w:r>
    </w:p>
    <w:p w:rsidR="00000000" w:rsidRPr="00CB1A92" w:rsidP="00CB1A92">
      <w:pPr>
        <w:pStyle w:val="BodyText"/>
      </w:pPr>
      <w:r w:rsidRPr="00CB1A92">
        <w:t>Not applicable.</w:t>
      </w:r>
    </w:p>
    <w:p w:rsidR="00000000" w:rsidRPr="00CB1A92" w:rsidP="00CB1A92">
      <w:pPr>
        <w:pStyle w:val="AllowPageBreak"/>
      </w:pPr>
    </w:p>
    <w:p w:rsidR="00000000" w:rsidRPr="00CB1A92" w:rsidP="00CB1A92">
      <w:pPr>
        <w:pStyle w:val="Heading1"/>
      </w:pPr>
      <w:bookmarkStart w:id="6" w:name="O_385725"/>
      <w:bookmarkEnd w:id="6"/>
      <w:r w:rsidRPr="00CB1A92">
        <w:t>Employability Skills Information</w:t>
      </w:r>
    </w:p>
    <w:p w:rsidR="00000000" w:rsidRPr="00CB1A92" w:rsidP="00CB1A92">
      <w:pPr>
        <w:pStyle w:val="BodyText"/>
      </w:pPr>
      <w:r w:rsidRPr="00CB1A92">
        <w:t>This unit contains employability skills.</w:t>
      </w:r>
    </w:p>
    <w:p w:rsidR="00000000" w:rsidRPr="00CB1A92" w:rsidP="00CB1A92">
      <w:pPr>
        <w:pStyle w:val="AllowPageBreak"/>
      </w:pPr>
    </w:p>
    <w:p w:rsidR="00000000" w:rsidRPr="00CB1A92" w:rsidP="00CB1A92">
      <w:pPr>
        <w:pStyle w:val="Heading1"/>
      </w:pPr>
      <w:bookmarkStart w:id="7" w:name="O_385726"/>
      <w:bookmarkEnd w:id="7"/>
      <w:r w:rsidRPr="00CB1A92">
        <w:t>Elements and Performance Criteria Pre-Content</w:t>
      </w:r>
    </w:p>
    <w:tbl>
      <w:tblPr>
        <w:tblW w:w="0" w:type="auto"/>
        <w:tblLayout w:type="fixed"/>
        <w:tblCellMar>
          <w:left w:w="62" w:type="dxa"/>
          <w:right w:w="62" w:type="dxa"/>
        </w:tblCellMar>
        <w:tblLook w:val="0000"/>
      </w:tblPr>
      <w:tblGrid>
        <w:gridCol w:w="2532"/>
        <w:gridCol w:w="6528"/>
      </w:tblGrid>
      <w:tr w:rsidTr="00CB1A92">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B1A92" w:rsidP="00CB1A92">
            <w:pPr>
              <w:pStyle w:val="BodyText"/>
            </w:pPr>
            <w:r w:rsidRPr="00CB1A92">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B1A92">
            <w:pPr>
              <w:pStyle w:val="BodyText"/>
              <w:rPr>
                <w:lang w:val="en-NZ"/>
              </w:rPr>
            </w:pPr>
            <w:r w:rsidRPr="00CB1A92">
              <w:rPr>
                <w:rStyle w:val="SpecialBold"/>
              </w:rPr>
              <w:t>Performance Criteria</w:t>
            </w:r>
          </w:p>
        </w:tc>
      </w:tr>
      <w:tr w:rsidTr="00CB1A92">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B1A92" w:rsidP="00CB1A92">
            <w:pPr>
              <w:pStyle w:val="BodyText"/>
            </w:pPr>
            <w:r w:rsidRPr="00CB1A92">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B1A92" w:rsidP="00CB1A92">
            <w:pPr>
              <w:pStyle w:val="BodyText"/>
            </w:pPr>
            <w:r w:rsidRPr="00CB1A9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B1A92">
              <w:rPr>
                <w:rStyle w:val="Emphasis"/>
              </w:rPr>
              <w:t>nce is to be consistent with the evidence guide.</w:t>
            </w:r>
          </w:p>
        </w:tc>
      </w:tr>
    </w:tbl>
    <w:p w:rsidR="00000000" w:rsidRPr="00CB1A92" w:rsidP="00CB1A92">
      <w:pPr>
        <w:pStyle w:val="BodyText"/>
      </w:pPr>
    </w:p>
    <w:p w:rsidR="00000000" w:rsidRPr="00CB1A92" w:rsidP="00CB1A92">
      <w:pPr>
        <w:pStyle w:val="AllowPageBreak"/>
      </w:pPr>
    </w:p>
    <w:p w:rsidR="00000000" w:rsidRPr="00CB1A92" w:rsidP="00CB1A92">
      <w:pPr>
        <w:pStyle w:val="Heading1"/>
      </w:pPr>
      <w:bookmarkStart w:id="8" w:name="O_385727"/>
      <w:bookmarkEnd w:id="8"/>
      <w:r w:rsidRPr="00CB1A92">
        <w:t>Elements and Performance Criteria</w:t>
      </w:r>
    </w:p>
    <w:tbl>
      <w:tblPr>
        <w:tblW w:w="0" w:type="auto"/>
        <w:tblLayout w:type="fixed"/>
        <w:tblCellMar>
          <w:left w:w="62" w:type="dxa"/>
          <w:right w:w="62" w:type="dxa"/>
        </w:tblCellMar>
        <w:tblLook w:val="0000"/>
      </w:tblPr>
      <w:tblGrid>
        <w:gridCol w:w="2534"/>
        <w:gridCol w:w="6526"/>
      </w:tblGrid>
      <w:tr w:rsidTr="00CB1A92">
        <w:tblPrEx>
          <w:tblW w:w="0" w:type="auto"/>
          <w:tblLayout w:type="fixed"/>
          <w:tblCellMar>
            <w:left w:w="62" w:type="dxa"/>
            <w:right w:w="62" w:type="dxa"/>
          </w:tblCellMar>
          <w:tblLook w:val="0000"/>
        </w:tblPrEx>
        <w:trPr>
          <w:trHeight w:val="4467"/>
        </w:trPr>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92">
            <w:pPr>
              <w:pStyle w:val="BodyText"/>
              <w:rPr>
                <w:lang w:val="en-NZ"/>
              </w:rPr>
            </w:pPr>
            <w:r w:rsidRPr="00CB1A92">
              <w:t>1. Develop ideas for displays</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92" w:rsidP="00CB1A92">
            <w:pPr>
              <w:pStyle w:val="BodyText"/>
            </w:pPr>
            <w:r w:rsidRPr="00CB1A92">
              <w:t xml:space="preserve">1.1 Consult with colleagues and other </w:t>
            </w:r>
            <w:r w:rsidRPr="00CB1A92">
              <w:rPr>
                <w:rStyle w:val="BoldandItalics"/>
              </w:rPr>
              <w:t>stakeholders</w:t>
            </w:r>
            <w:r w:rsidRPr="00CB1A92">
              <w:t xml:space="preserve"> to confirm exhibition or display objectives</w:t>
            </w:r>
          </w:p>
          <w:p w:rsidR="00000000" w:rsidRPr="00CB1A92" w:rsidP="00CB1A92">
            <w:pPr>
              <w:pStyle w:val="BodyText"/>
            </w:pPr>
            <w:r w:rsidRPr="00CB1A92">
              <w:t xml:space="preserve">1.2 Explore </w:t>
            </w:r>
            <w:r w:rsidRPr="00CB1A92">
              <w:rPr>
                <w:rStyle w:val="BoldandItalics"/>
              </w:rPr>
              <w:t>interpretive disp</w:t>
            </w:r>
            <w:r w:rsidRPr="00CB1A92">
              <w:rPr>
                <w:rStyle w:val="BoldandItalics"/>
              </w:rPr>
              <w:t>lay ideas</w:t>
            </w:r>
            <w:r w:rsidRPr="00CB1A92">
              <w:t xml:space="preserve"> in the context of the collection</w:t>
            </w:r>
          </w:p>
          <w:p w:rsidR="00000000" w:rsidRPr="00CB1A92" w:rsidP="00CB1A92">
            <w:pPr>
              <w:pStyle w:val="BodyText"/>
            </w:pPr>
            <w:r w:rsidRPr="00CB1A92">
              <w:t xml:space="preserve">1.3 Research relevant </w:t>
            </w:r>
            <w:r w:rsidRPr="00CB1A92">
              <w:rPr>
                <w:rStyle w:val="BoldandItalics"/>
              </w:rPr>
              <w:t>information on audience profile</w:t>
            </w:r>
            <w:r w:rsidRPr="00CB1A92">
              <w:t xml:space="preserve"> and need to inform interpretive approaches</w:t>
            </w:r>
          </w:p>
          <w:p w:rsidR="00000000" w:rsidRPr="00CB1A92" w:rsidP="00CB1A92">
            <w:pPr>
              <w:pStyle w:val="BodyText"/>
            </w:pPr>
            <w:r w:rsidRPr="00CB1A92">
              <w:t xml:space="preserve">1.4 Obtain and assess </w:t>
            </w:r>
            <w:r w:rsidRPr="00CB1A92">
              <w:rPr>
                <w:rStyle w:val="BoldandItalics"/>
              </w:rPr>
              <w:t>operational information</w:t>
            </w:r>
            <w:r w:rsidRPr="00CB1A92">
              <w:t xml:space="preserve"> which may impact on the development of displays</w:t>
            </w:r>
          </w:p>
          <w:p w:rsidR="00000000" w:rsidRPr="00CB1A92" w:rsidP="00CB1A92">
            <w:pPr>
              <w:pStyle w:val="BodyText"/>
            </w:pPr>
            <w:r w:rsidRPr="00CB1A92">
              <w:t>1.5 Evaluate existing storylines and conduct research to develop new themes or storylines</w:t>
            </w:r>
          </w:p>
          <w:p w:rsidR="00000000" w:rsidRPr="00CB1A92" w:rsidP="00CB1A92">
            <w:pPr>
              <w:pStyle w:val="BodyText"/>
            </w:pPr>
            <w:r w:rsidRPr="00CB1A92">
              <w:t>1.6 Identify the need for and seek assistance from interpretive or subject matter specialists</w:t>
            </w:r>
          </w:p>
          <w:p w:rsidR="00000000" w:rsidP="00CB1A92">
            <w:pPr>
              <w:pStyle w:val="BodyText"/>
              <w:rPr>
                <w:lang w:val="en-NZ"/>
              </w:rPr>
            </w:pPr>
            <w:r w:rsidRPr="00CB1A92">
              <w:t>1.7 Prepare interpretive display proposals for approval as required</w:t>
            </w:r>
          </w:p>
        </w:tc>
      </w:tr>
      <w:tr w:rsidTr="00CB1A92">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92">
            <w:pPr>
              <w:pStyle w:val="BodyText"/>
              <w:rPr>
                <w:lang w:val="en-NZ"/>
              </w:rPr>
            </w:pPr>
            <w:r w:rsidRPr="00CB1A92">
              <w:t xml:space="preserve">2. </w:t>
            </w:r>
            <w:r w:rsidRPr="00CB1A92">
              <w:t>Create interpretive displays</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92" w:rsidP="00CB1A92">
            <w:pPr>
              <w:pStyle w:val="BodyText"/>
            </w:pPr>
            <w:r w:rsidRPr="00CB1A92">
              <w:t xml:space="preserve">2.1 Plan and schedule display approaches and communication media using established </w:t>
            </w:r>
            <w:r w:rsidRPr="00CB1A92">
              <w:rPr>
                <w:rStyle w:val="BoldandItalics"/>
              </w:rPr>
              <w:t>techniques</w:t>
            </w:r>
            <w:r w:rsidRPr="00CB1A92">
              <w:t xml:space="preserve"> and available resources</w:t>
            </w:r>
          </w:p>
          <w:p w:rsidR="00000000" w:rsidRPr="00CB1A92" w:rsidP="00CB1A92">
            <w:pPr>
              <w:pStyle w:val="BodyText"/>
            </w:pPr>
            <w:r w:rsidRPr="00CB1A92">
              <w:t xml:space="preserve">2.2 Organise display spaces that meet intended objectives and reflect the principles of universal access </w:t>
            </w:r>
          </w:p>
          <w:p w:rsidR="00000000" w:rsidRPr="00CB1A92" w:rsidP="00CB1A92">
            <w:pPr>
              <w:pStyle w:val="BodyText"/>
            </w:pPr>
            <w:r w:rsidRPr="00CB1A92">
              <w:t>2.3</w:t>
            </w:r>
            <w:r w:rsidRPr="00CB1A92">
              <w:t xml:space="preserve"> Select and organise relevant </w:t>
            </w:r>
            <w:r w:rsidRPr="00CB1A92">
              <w:rPr>
                <w:rStyle w:val="BoldandItalics"/>
              </w:rPr>
              <w:t>materials and equipment</w:t>
            </w:r>
            <w:r w:rsidRPr="00CB1A92">
              <w:t xml:space="preserve"> making </w:t>
            </w:r>
            <w:r w:rsidRPr="00CB1A92">
              <w:rPr>
                <w:rStyle w:val="BoldandItalics"/>
              </w:rPr>
              <w:t>creative use</w:t>
            </w:r>
            <w:r w:rsidRPr="00CB1A92">
              <w:t xml:space="preserve"> of available materials and supplies</w:t>
            </w:r>
          </w:p>
          <w:p w:rsidR="00000000" w:rsidRPr="00CB1A92" w:rsidP="00CB1A92">
            <w:pPr>
              <w:pStyle w:val="BodyText"/>
            </w:pPr>
            <w:r w:rsidRPr="00CB1A92">
              <w:t>2.4 Participate in the creation and installation of displays according to organisational procedures</w:t>
            </w:r>
          </w:p>
          <w:p w:rsidR="00000000" w:rsidP="00CB1A92">
            <w:pPr>
              <w:pStyle w:val="BodyText"/>
              <w:rPr>
                <w:lang w:val="en-NZ"/>
              </w:rPr>
            </w:pPr>
            <w:r w:rsidRPr="00CB1A92">
              <w:t>2.5 Maintain displays in line with organisatio</w:t>
            </w:r>
            <w:r w:rsidRPr="00CB1A92">
              <w:t xml:space="preserve">nal procedures </w:t>
            </w:r>
          </w:p>
        </w:tc>
      </w:tr>
      <w:tr w:rsidTr="00CB1A92">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92">
            <w:pPr>
              <w:pStyle w:val="BodyText"/>
              <w:rPr>
                <w:lang w:val="en-NZ"/>
              </w:rPr>
            </w:pPr>
            <w:r w:rsidRPr="00CB1A92">
              <w:t>3. Evaluate interpretive displays</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92" w:rsidP="00CB1A92">
            <w:pPr>
              <w:pStyle w:val="BodyText"/>
            </w:pPr>
            <w:r w:rsidRPr="00CB1A92">
              <w:t>3.1 Obtain formal and informal feedback from customers on effectiveness of display materials</w:t>
            </w:r>
          </w:p>
          <w:p w:rsidR="00000000" w:rsidRPr="00CB1A92" w:rsidP="00CB1A92">
            <w:pPr>
              <w:pStyle w:val="BodyText"/>
            </w:pPr>
            <w:r w:rsidRPr="00CB1A92">
              <w:t>3.2 Challenge and test designs through own evaluation and consultation</w:t>
            </w:r>
          </w:p>
          <w:p w:rsidR="00000000" w:rsidRPr="00CB1A92" w:rsidP="00CB1A92">
            <w:pPr>
              <w:pStyle w:val="BodyText"/>
            </w:pPr>
            <w:r w:rsidRPr="00CB1A92">
              <w:t>3.3 Seek feedback from colleagues to enha</w:t>
            </w:r>
            <w:r w:rsidRPr="00CB1A92">
              <w:t>nce current and future displays</w:t>
            </w:r>
          </w:p>
        </w:tc>
      </w:tr>
    </w:tbl>
    <w:p w:rsidR="00000000" w:rsidRPr="00CB1A92" w:rsidP="00CB1A92">
      <w:pPr>
        <w:pStyle w:val="BodyText"/>
      </w:pPr>
    </w:p>
    <w:p w:rsidR="00000000" w:rsidRPr="00CB1A92" w:rsidP="00CB1A92">
      <w:pPr>
        <w:pStyle w:val="AllowPageBreak"/>
      </w:pPr>
    </w:p>
    <w:p w:rsidR="00000000" w:rsidRPr="00CB1A92" w:rsidP="00CB1A92">
      <w:pPr>
        <w:pStyle w:val="Heading1"/>
      </w:pPr>
      <w:bookmarkStart w:id="9" w:name="O_385728"/>
      <w:bookmarkEnd w:id="9"/>
      <w:r w:rsidRPr="00CB1A92">
        <w:t>Required Skills and Knowledge</w:t>
      </w:r>
    </w:p>
    <w:p w:rsidR="00000000" w:rsidRPr="00CB1A92" w:rsidP="00CB1A92">
      <w:pPr>
        <w:pStyle w:val="BodyText"/>
      </w:pPr>
      <w:r w:rsidRPr="00CB1A92">
        <w:rPr>
          <w:rStyle w:val="Emphasis"/>
        </w:rPr>
        <w:t>This section describes the skills and knowledge required for this unit.</w:t>
      </w:r>
    </w:p>
    <w:p w:rsidR="00000000" w:rsidRPr="00CB1A92" w:rsidP="00CB1A92">
      <w:pPr>
        <w:pStyle w:val="BodyText"/>
      </w:pPr>
    </w:p>
    <w:p w:rsidR="00000000" w:rsidRPr="00CB1A92" w:rsidP="00CB1A92">
      <w:pPr>
        <w:pStyle w:val="BodyText"/>
      </w:pPr>
      <w:r w:rsidRPr="00CB1A92">
        <w:rPr>
          <w:rStyle w:val="SpecialBold"/>
        </w:rPr>
        <w:t>Required skills</w:t>
      </w:r>
    </w:p>
    <w:p w:rsidR="00000000" w:rsidRPr="00CB1A92" w:rsidP="00CB1A92">
      <w:pPr>
        <w:pStyle w:val="ListBullet"/>
      </w:pPr>
      <w:r w:rsidRPr="00CB1A92">
        <w:t>communication skills to:</w:t>
      </w:r>
    </w:p>
    <w:p w:rsidR="00000000" w:rsidRPr="00CB1A92" w:rsidP="00CB1A92">
      <w:pPr>
        <w:pStyle w:val="ListBullet2"/>
      </w:pPr>
      <w:r w:rsidRPr="00CB1A92">
        <w:t>consult with colleagues and stakeholders</w:t>
      </w:r>
    </w:p>
    <w:p w:rsidR="00000000" w:rsidRPr="00CB1A92" w:rsidP="00CB1A92">
      <w:pPr>
        <w:pStyle w:val="ListBullet2"/>
      </w:pPr>
      <w:r w:rsidRPr="00CB1A92">
        <w:t>gain feedback from customers on interpretive displays</w:t>
      </w:r>
    </w:p>
    <w:p w:rsidR="00000000" w:rsidRPr="00CB1A92" w:rsidP="00CB1A92">
      <w:pPr>
        <w:pStyle w:val="ListBullet2"/>
      </w:pPr>
      <w:r w:rsidRPr="00CB1A92">
        <w:t>liaise with stakeholders</w:t>
      </w:r>
    </w:p>
    <w:p w:rsidR="00000000" w:rsidRPr="00CB1A92" w:rsidP="00CB1A92">
      <w:pPr>
        <w:pStyle w:val="ListBullet"/>
      </w:pPr>
      <w:r w:rsidRPr="00CB1A92">
        <w:t>initiative and enterprise skills to:</w:t>
      </w:r>
    </w:p>
    <w:p w:rsidR="00000000" w:rsidRPr="00CB1A92" w:rsidP="00CB1A92">
      <w:pPr>
        <w:pStyle w:val="ListBullet2"/>
      </w:pPr>
      <w:r w:rsidRPr="00CB1A92">
        <w:t>assess audience profiles</w:t>
      </w:r>
    </w:p>
    <w:p w:rsidR="00000000" w:rsidRPr="00CB1A92" w:rsidP="00CB1A92">
      <w:pPr>
        <w:pStyle w:val="ListBullet2"/>
      </w:pPr>
      <w:r w:rsidRPr="00CB1A92">
        <w:t>create displays that engage audiences while meeting design and technical principles</w:t>
      </w:r>
    </w:p>
    <w:p w:rsidR="00000000" w:rsidRPr="00CB1A92" w:rsidP="00CB1A92">
      <w:pPr>
        <w:pStyle w:val="ListBullet2"/>
      </w:pPr>
      <w:r w:rsidRPr="00CB1A92">
        <w:t>identify themes and storyline</w:t>
      </w:r>
      <w:r w:rsidRPr="00CB1A92">
        <w:t>s for interpretive displays</w:t>
      </w:r>
    </w:p>
    <w:p w:rsidR="00000000" w:rsidRPr="00CB1A92" w:rsidP="00CB1A92">
      <w:pPr>
        <w:pStyle w:val="ListBullet"/>
      </w:pPr>
      <w:r w:rsidRPr="00CB1A92">
        <w:t>literacy skills to:</w:t>
      </w:r>
    </w:p>
    <w:p w:rsidR="00000000" w:rsidRPr="00CB1A92" w:rsidP="00CB1A92">
      <w:pPr>
        <w:pStyle w:val="ListBullet2"/>
      </w:pPr>
      <w:r w:rsidRPr="00CB1A92">
        <w:t>develop interpretive labels and other materials</w:t>
      </w:r>
    </w:p>
    <w:p w:rsidR="00000000" w:rsidRPr="00CB1A92" w:rsidP="00CB1A92">
      <w:pPr>
        <w:pStyle w:val="ListBullet2"/>
      </w:pPr>
      <w:r w:rsidRPr="00CB1A92">
        <w:t>prepare display proposals</w:t>
      </w:r>
    </w:p>
    <w:p w:rsidR="00000000" w:rsidRPr="00CB1A92" w:rsidP="00CB1A92">
      <w:pPr>
        <w:pStyle w:val="ListBullet"/>
      </w:pPr>
      <w:r w:rsidRPr="00CB1A92">
        <w:t>planning and organising skills to:</w:t>
      </w:r>
    </w:p>
    <w:p w:rsidR="00000000" w:rsidRPr="00CB1A92" w:rsidP="00CB1A92">
      <w:pPr>
        <w:pStyle w:val="ListBullet2"/>
      </w:pPr>
      <w:r w:rsidRPr="00CB1A92">
        <w:t>coordinate processes and resources for displays</w:t>
      </w:r>
    </w:p>
    <w:p w:rsidR="00000000" w:rsidRPr="00CB1A92" w:rsidP="00CB1A92">
      <w:pPr>
        <w:pStyle w:val="ListBullet2"/>
      </w:pPr>
      <w:r w:rsidRPr="00CB1A92">
        <w:t>plan and stage displays</w:t>
      </w:r>
    </w:p>
    <w:p w:rsidR="00000000" w:rsidRPr="00CB1A92" w:rsidP="00CB1A92">
      <w:pPr>
        <w:pStyle w:val="ListBullet2"/>
      </w:pPr>
      <w:r w:rsidRPr="00CB1A92">
        <w:t>schedule activities</w:t>
      </w:r>
    </w:p>
    <w:p w:rsidR="00000000" w:rsidRPr="00CB1A92" w:rsidP="00CB1A92">
      <w:pPr>
        <w:pStyle w:val="ListBullet"/>
      </w:pPr>
      <w:r w:rsidRPr="00CB1A92">
        <w:t>self-management skills to:</w:t>
      </w:r>
    </w:p>
    <w:p w:rsidR="00000000" w:rsidRPr="00CB1A92" w:rsidP="00CB1A92">
      <w:pPr>
        <w:pStyle w:val="ListBullet2"/>
      </w:pPr>
      <w:r w:rsidRPr="00CB1A92">
        <w:t>follow workplace procedures</w:t>
      </w:r>
    </w:p>
    <w:p w:rsidR="00000000" w:rsidRPr="00CB1A92" w:rsidP="00CB1A92">
      <w:pPr>
        <w:pStyle w:val="ListBullet2"/>
      </w:pPr>
      <w:r w:rsidRPr="00CB1A92">
        <w:t>prioritise work tasks and meet deadlines</w:t>
      </w:r>
    </w:p>
    <w:p w:rsidR="00000000" w:rsidRPr="00CB1A92" w:rsidP="00CB1A92">
      <w:pPr>
        <w:pStyle w:val="ListBullet"/>
      </w:pPr>
      <w:r w:rsidRPr="00CB1A92">
        <w:t>teamwork skills to work collaboratively with colleagues</w:t>
      </w:r>
    </w:p>
    <w:p w:rsidR="00000000" w:rsidRPr="00CB1A92" w:rsidP="00CB1A92">
      <w:pPr>
        <w:pStyle w:val="ListBullet"/>
      </w:pPr>
      <w:r w:rsidRPr="00CB1A92">
        <w:t>technical skills to use:</w:t>
      </w:r>
    </w:p>
    <w:p w:rsidR="00000000" w:rsidRPr="00CB1A92" w:rsidP="00CB1A92">
      <w:pPr>
        <w:pStyle w:val="ListBullet2"/>
      </w:pPr>
      <w:r w:rsidRPr="00CB1A92">
        <w:t>audiovisual equipment for interpretive displays</w:t>
      </w:r>
    </w:p>
    <w:p w:rsidR="00000000" w:rsidRPr="00CB1A92" w:rsidP="00CB1A92">
      <w:pPr>
        <w:pStyle w:val="ListBullet2"/>
      </w:pPr>
      <w:r w:rsidRPr="00CB1A92">
        <w:t>materials and equipment in t</w:t>
      </w:r>
      <w:r w:rsidRPr="00CB1A92">
        <w:t>he development of interpretive displays</w:t>
      </w:r>
    </w:p>
    <w:p w:rsidR="00000000" w:rsidRPr="00CB1A92" w:rsidP="00CB1A92">
      <w:pPr>
        <w:pStyle w:val="ListBullet"/>
      </w:pPr>
      <w:r w:rsidRPr="00CB1A92">
        <w:t>visual literacy skills to:</w:t>
      </w:r>
    </w:p>
    <w:p w:rsidR="00000000" w:rsidRPr="00CB1A92" w:rsidP="00CB1A92">
      <w:pPr>
        <w:pStyle w:val="ListBullet2"/>
      </w:pPr>
      <w:r w:rsidRPr="00CB1A92">
        <w:t>creatively use materials to enhance displays</w:t>
      </w:r>
    </w:p>
    <w:p w:rsidR="00000000" w:rsidRPr="00CB1A92" w:rsidP="00CB1A92">
      <w:pPr>
        <w:pStyle w:val="ListBullet2"/>
      </w:pPr>
      <w:r w:rsidRPr="00CB1A92">
        <w:t>design displays</w:t>
      </w:r>
    </w:p>
    <w:p w:rsidR="00000000" w:rsidRPr="00CB1A92" w:rsidP="00CB1A92">
      <w:pPr>
        <w:pStyle w:val="ListBullet2"/>
      </w:pPr>
      <w:r w:rsidRPr="00CB1A92">
        <w:t>evaluate storylines</w:t>
      </w:r>
    </w:p>
    <w:p w:rsidR="00000000" w:rsidRPr="00CB1A92" w:rsidP="00CB1A92">
      <w:pPr>
        <w:pStyle w:val="ListBullet2"/>
      </w:pPr>
      <w:r w:rsidRPr="00CB1A92">
        <w:t>work at a basic level with colour, shape and layout.</w:t>
      </w:r>
    </w:p>
    <w:p w:rsidR="00000000" w:rsidRPr="00CB1A92" w:rsidP="00CB1A92">
      <w:pPr>
        <w:pStyle w:val="BodyText"/>
      </w:pPr>
    </w:p>
    <w:p w:rsidR="00000000" w:rsidRPr="00CB1A92" w:rsidP="00CB1A92">
      <w:pPr>
        <w:pStyle w:val="BodyText"/>
      </w:pPr>
      <w:r w:rsidRPr="00CB1A92">
        <w:rPr>
          <w:rStyle w:val="SpecialBold"/>
        </w:rPr>
        <w:t>Required knowledge</w:t>
      </w:r>
    </w:p>
    <w:p w:rsidR="00000000" w:rsidRPr="00CB1A92" w:rsidP="00CB1A92">
      <w:pPr>
        <w:pStyle w:val="ListBullet"/>
      </w:pPr>
      <w:r w:rsidRPr="00CB1A92">
        <w:t>basic principles of design</w:t>
      </w:r>
    </w:p>
    <w:p w:rsidR="00000000" w:rsidRPr="00CB1A92" w:rsidP="00CB1A92">
      <w:pPr>
        <w:pStyle w:val="ListBullet"/>
      </w:pPr>
      <w:r w:rsidRPr="00CB1A92">
        <w:t>copyright, moral rights and intellectual property issues and legislation that impact on the development of display materials</w:t>
      </w:r>
    </w:p>
    <w:p w:rsidR="00000000" w:rsidRPr="00CB1A92" w:rsidP="00CB1A92">
      <w:pPr>
        <w:pStyle w:val="ListBullet"/>
      </w:pPr>
      <w:r w:rsidRPr="00CB1A92">
        <w:t>cultural protocols to be observed in the display of cultural material, including those for the exhibition of Aboriginal or Torres S</w:t>
      </w:r>
      <w:r w:rsidRPr="00CB1A92">
        <w:t>trait Islander material</w:t>
      </w:r>
    </w:p>
    <w:p w:rsidR="00000000" w:rsidRPr="00CB1A92" w:rsidP="00CB1A92">
      <w:pPr>
        <w:pStyle w:val="ListBullet"/>
      </w:pPr>
      <w:r w:rsidRPr="00CB1A92">
        <w:t>work health and safety (WHS) requirements in relation to use of equipment and the overall safety of displays</w:t>
      </w:r>
    </w:p>
    <w:p w:rsidR="00000000" w:rsidRPr="00CB1A92" w:rsidP="00CB1A92">
      <w:pPr>
        <w:pStyle w:val="ListBullet"/>
      </w:pPr>
      <w:r w:rsidRPr="00CB1A92">
        <w:t>organisational procedures for displays</w:t>
      </w:r>
    </w:p>
    <w:p w:rsidR="00000000" w:rsidRPr="00CB1A92" w:rsidP="00CB1A92">
      <w:pPr>
        <w:pStyle w:val="ListBullet"/>
      </w:pPr>
      <w:r w:rsidRPr="00CB1A92">
        <w:t>potential uses of technology in interpretive displays</w:t>
      </w:r>
    </w:p>
    <w:p w:rsidR="00000000" w:rsidRPr="00CB1A92" w:rsidP="00CB1A92">
      <w:pPr>
        <w:pStyle w:val="ListBullet"/>
      </w:pPr>
      <w:r w:rsidRPr="00CB1A92">
        <w:t>principles of universal access in relation to displays</w:t>
      </w:r>
    </w:p>
    <w:p w:rsidR="00000000" w:rsidRPr="00CB1A92" w:rsidP="00CB1A92">
      <w:pPr>
        <w:pStyle w:val="ListBullet"/>
      </w:pPr>
      <w:r w:rsidRPr="00CB1A92">
        <w:t>range of materials and equipment used for interpretive displays</w:t>
      </w:r>
    </w:p>
    <w:p w:rsidR="00000000" w:rsidRPr="00CB1A92" w:rsidP="00CB1A92">
      <w:pPr>
        <w:pStyle w:val="ListBullet"/>
      </w:pPr>
      <w:r w:rsidRPr="00CB1A92">
        <w:t>role of interpretive displays in enhancing access to cultural material</w:t>
      </w:r>
    </w:p>
    <w:p w:rsidR="00000000" w:rsidRPr="00CB1A92" w:rsidP="00CB1A92">
      <w:pPr>
        <w:pStyle w:val="ListBullet"/>
      </w:pPr>
      <w:r w:rsidRPr="00CB1A92">
        <w:t>techniques and conventions for:</w:t>
      </w:r>
    </w:p>
    <w:p w:rsidR="00000000" w:rsidRPr="00CB1A92" w:rsidP="00CB1A92">
      <w:pPr>
        <w:pStyle w:val="ListBullet2"/>
      </w:pPr>
      <w:r w:rsidRPr="00CB1A92">
        <w:t>creating small displays</w:t>
      </w:r>
    </w:p>
    <w:p w:rsidR="00000000" w:rsidRPr="00CB1A92" w:rsidP="00CB1A92">
      <w:pPr>
        <w:pStyle w:val="ListBullet2"/>
      </w:pPr>
      <w:r w:rsidRPr="00CB1A92">
        <w:t>effective</w:t>
      </w:r>
      <w:r w:rsidRPr="00CB1A92">
        <w:t xml:space="preserve"> label development, including production and installation.</w:t>
      </w:r>
    </w:p>
    <w:p w:rsidR="00000000" w:rsidRPr="00CB1A92" w:rsidP="00CB1A92">
      <w:pPr>
        <w:pStyle w:val="AllowPageBreak"/>
      </w:pPr>
    </w:p>
    <w:p w:rsidR="00000000" w:rsidRPr="00CB1A92" w:rsidP="00CB1A92">
      <w:pPr>
        <w:pStyle w:val="Heading1"/>
      </w:pPr>
      <w:bookmarkStart w:id="10" w:name="O_385729"/>
      <w:bookmarkEnd w:id="10"/>
      <w:r w:rsidRPr="00CB1A92">
        <w:t>Evidence Guide</w:t>
      </w:r>
    </w:p>
    <w:p w:rsidR="00000000" w:rsidRPr="00CB1A92" w:rsidP="00CB1A92">
      <w:pPr>
        <w:pStyle w:val="BodyText"/>
      </w:pPr>
      <w:r w:rsidRPr="00CB1A92">
        <w:rPr>
          <w:rStyle w:val="Emphasis"/>
        </w:rPr>
        <w:t>The evidence guide provides advice on assessment and must be read in conjunction with the performance criteria, required skills and knowledge, range statement and th</w:t>
      </w:r>
      <w:r w:rsidRPr="00CB1A92">
        <w:rPr>
          <w:rStyle w:val="Emphasis"/>
        </w:rPr>
        <w:t>e Assessment Guidelines for the Training Package.</w:t>
      </w:r>
    </w:p>
    <w:p w:rsidR="00000000" w:rsidRPr="00CB1A92" w:rsidP="00CB1A92">
      <w:pPr>
        <w:pStyle w:val="BodyText"/>
      </w:pPr>
    </w:p>
    <w:tbl>
      <w:tblPr>
        <w:tblW w:w="0" w:type="auto"/>
        <w:tblLayout w:type="fixed"/>
        <w:tblCellMar>
          <w:left w:w="62" w:type="dxa"/>
          <w:right w:w="62" w:type="dxa"/>
        </w:tblCellMar>
        <w:tblLook w:val="0000"/>
      </w:tblPr>
      <w:tblGrid>
        <w:gridCol w:w="2542"/>
        <w:gridCol w:w="6518"/>
      </w:tblGrid>
      <w:tr w:rsidTr="00CB1A92">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92">
            <w:pPr>
              <w:pStyle w:val="BodyText"/>
              <w:rPr>
                <w:lang w:val="en-NZ"/>
              </w:rPr>
            </w:pPr>
            <w:r w:rsidRPr="00CB1A92">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92">
            <w:pPr>
              <w:pStyle w:val="BodyText"/>
              <w:rPr>
                <w:lang w:val="en-NZ"/>
              </w:rPr>
            </w:pPr>
          </w:p>
        </w:tc>
      </w:tr>
      <w:tr w:rsidTr="00CB1A92">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92">
            <w:pPr>
              <w:pStyle w:val="BodyText"/>
              <w:rPr>
                <w:lang w:val="en-NZ"/>
              </w:rPr>
            </w:pPr>
            <w:r w:rsidRPr="00CB1A92">
              <w:rPr>
                <w:rStyle w:val="SpecialBold"/>
              </w:rPr>
              <w:t>Critical aspects for assessment and evidence required to demonstrate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92" w:rsidP="00CB1A92">
            <w:pPr>
              <w:pStyle w:val="BodyText"/>
            </w:pPr>
            <w:r w:rsidRPr="00CB1A92">
              <w:t>Evidence of the ability to:</w:t>
            </w:r>
          </w:p>
          <w:p w:rsidR="00000000" w:rsidRPr="00CB1A92" w:rsidP="00CB1A92">
            <w:pPr>
              <w:pStyle w:val="ListBullet"/>
            </w:pPr>
            <w:r w:rsidRPr="00CB1A92">
              <w:t>research and develop new ideas for interpretive displays</w:t>
            </w:r>
          </w:p>
          <w:p w:rsidR="00000000" w:rsidRPr="00CB1A92" w:rsidP="00CB1A92">
            <w:pPr>
              <w:pStyle w:val="ListBullet"/>
            </w:pPr>
            <w:r w:rsidRPr="00CB1A92">
              <w:t>apply different display techniques when developing interpretive displays</w:t>
            </w:r>
          </w:p>
          <w:p w:rsidR="00000000" w:rsidP="00CB1A92">
            <w:pPr>
              <w:pStyle w:val="ListBullet"/>
              <w:rPr>
                <w:lang w:val="en-NZ"/>
              </w:rPr>
            </w:pPr>
            <w:r w:rsidRPr="00CB1A92">
              <w:t>design and develop displays to address specific audience profiles.</w:t>
            </w:r>
          </w:p>
        </w:tc>
      </w:tr>
      <w:tr w:rsidTr="00CB1A92">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92">
            <w:pPr>
              <w:pStyle w:val="BodyText"/>
              <w:rPr>
                <w:lang w:val="en-NZ"/>
              </w:rPr>
            </w:pPr>
            <w:r w:rsidRPr="00CB1A92">
              <w:rPr>
                <w:rStyle w:val="SpecialBold"/>
              </w:rPr>
              <w:t>Context of and specific resources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92" w:rsidP="00CB1A92">
            <w:pPr>
              <w:pStyle w:val="BodyText"/>
            </w:pPr>
            <w:r w:rsidRPr="00CB1A92">
              <w:t>Assessment must ensure:</w:t>
            </w:r>
          </w:p>
          <w:p w:rsidR="00000000" w:rsidRPr="00CB1A92" w:rsidP="00CB1A92">
            <w:pPr>
              <w:pStyle w:val="ListBullet"/>
            </w:pPr>
            <w:r w:rsidRPr="00CB1A92">
              <w:t>access to:</w:t>
            </w:r>
          </w:p>
          <w:p w:rsidR="00000000" w:rsidRPr="00CB1A92" w:rsidP="00CB1A92">
            <w:pPr>
              <w:pStyle w:val="ListBullet2"/>
            </w:pPr>
            <w:r w:rsidRPr="00CB1A92">
              <w:t>a collection or site</w:t>
            </w:r>
          </w:p>
          <w:p w:rsidR="00000000" w:rsidRPr="00CB1A92" w:rsidP="00CB1A92">
            <w:pPr>
              <w:pStyle w:val="ListBullet2"/>
            </w:pPr>
            <w:r w:rsidRPr="00CB1A92">
              <w:t>materials and equipment</w:t>
            </w:r>
          </w:p>
          <w:p w:rsidR="00000000" w:rsidP="00CB1A92">
            <w:pPr>
              <w:pStyle w:val="ListBullet"/>
              <w:rPr>
                <w:lang w:val="en-NZ"/>
              </w:rPr>
            </w:pPr>
            <w:r w:rsidRPr="00CB1A92">
              <w:t>information on audience profile.</w:t>
            </w:r>
          </w:p>
        </w:tc>
      </w:tr>
      <w:tr w:rsidTr="00CB1A92">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92">
            <w:pPr>
              <w:pStyle w:val="BodyText"/>
              <w:rPr>
                <w:lang w:val="en-NZ"/>
              </w:rPr>
            </w:pPr>
            <w:r w:rsidRPr="00CB1A92">
              <w:rPr>
                <w:rStyle w:val="SpecialBold"/>
              </w:rPr>
              <w:t>Method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92" w:rsidP="00CB1A92">
            <w:pPr>
              <w:pStyle w:val="BodyText"/>
            </w:pPr>
            <w:r w:rsidRPr="00CB1A92">
              <w:t>A range of assessment methods should be used to assess practical skills and knowledge. The following examples are appropriate for this unit:</w:t>
            </w:r>
          </w:p>
          <w:p w:rsidR="00000000" w:rsidRPr="00CB1A92" w:rsidP="00CB1A92">
            <w:pPr>
              <w:pStyle w:val="ListBullet"/>
            </w:pPr>
            <w:r w:rsidRPr="00CB1A92">
              <w:t>direct questioning combined with r</w:t>
            </w:r>
            <w:r w:rsidRPr="00CB1A92">
              <w:t>eview of portfolios of evidence and third-party workplace reports of on-the-job performance</w:t>
            </w:r>
          </w:p>
          <w:p w:rsidR="00000000" w:rsidRPr="00CB1A92" w:rsidP="00CB1A92">
            <w:pPr>
              <w:pStyle w:val="ListBullet"/>
            </w:pPr>
            <w:r w:rsidRPr="00CB1A92">
              <w:t>evaluation of displays developed by the candidate</w:t>
            </w:r>
          </w:p>
          <w:p w:rsidR="00000000" w:rsidRPr="00CB1A92" w:rsidP="00CB1A92">
            <w:pPr>
              <w:pStyle w:val="ListBullet"/>
            </w:pPr>
            <w:r w:rsidRPr="00CB1A92">
              <w:t>evaluation of candidate’s ability to design displays for different collection and site scenarios</w:t>
            </w:r>
          </w:p>
          <w:p w:rsidR="00000000" w:rsidRPr="00CB1A92" w:rsidP="00CB1A92">
            <w:pPr>
              <w:pStyle w:val="ListBullet"/>
            </w:pPr>
            <w:r w:rsidRPr="00CB1A92">
              <w:t>verbal or written questioning to assess knowledge of display techniques and conventions</w:t>
            </w:r>
          </w:p>
          <w:p w:rsidR="00000000" w:rsidRPr="00CB1A92" w:rsidP="00CB1A92">
            <w:pPr>
              <w:pStyle w:val="ListBullet"/>
            </w:pPr>
            <w:r w:rsidRPr="00CB1A92">
              <w:t>evaluation of formal and informal feedback processes developed by the candidate.</w:t>
            </w:r>
          </w:p>
          <w:p w:rsidR="00000000" w:rsidP="00CB1A92">
            <w:pPr>
              <w:pStyle w:val="BodyText"/>
              <w:rPr>
                <w:lang w:val="en-NZ"/>
              </w:rPr>
            </w:pPr>
            <w:r w:rsidRPr="00CB1A92">
              <w:t>Assessment methods should closely reflect workplace demands and the needs of particular</w:t>
            </w:r>
            <w:r w:rsidRPr="00CB1A92">
              <w:t xml:space="preserve"> client groups (consider the requirements of different age groups, clients with English as a second language, clients with disabilities, remote library users, etc.).</w:t>
            </w:r>
          </w:p>
        </w:tc>
      </w:tr>
      <w:tr w:rsidTr="00CB1A92">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92">
            <w:pPr>
              <w:pStyle w:val="BodyText"/>
              <w:rPr>
                <w:lang w:val="en-NZ"/>
              </w:rPr>
            </w:pPr>
            <w:r w:rsidRPr="00CB1A92">
              <w:rPr>
                <w:rStyle w:val="SpecialBold"/>
              </w:rPr>
              <w:t>Guidance information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92" w:rsidP="00CB1A92">
            <w:pPr>
              <w:pStyle w:val="BodyText"/>
            </w:pPr>
            <w:r w:rsidRPr="00CB1A92">
              <w:t xml:space="preserve">Holistic assessment with other units relevant to the </w:t>
            </w:r>
            <w:r w:rsidRPr="00CB1A92">
              <w:t>industry sector, workplace and job role is recommended, for example:</w:t>
            </w:r>
          </w:p>
          <w:p w:rsidR="00000000" w:rsidRPr="00CB1A92" w:rsidP="00CB1A92">
            <w:pPr>
              <w:pStyle w:val="ListBullet"/>
            </w:pPr>
            <w:r w:rsidRPr="00CB1A92">
              <w:t>CULEVP401A Present information on activities, events and public programs.</w:t>
            </w:r>
          </w:p>
        </w:tc>
      </w:tr>
    </w:tbl>
    <w:p w:rsidR="00000000" w:rsidRPr="00CB1A92" w:rsidP="00CB1A92">
      <w:pPr>
        <w:pStyle w:val="BodyText"/>
      </w:pPr>
    </w:p>
    <w:p w:rsidR="00000000" w:rsidRPr="00CB1A92" w:rsidP="00CB1A92">
      <w:pPr>
        <w:pStyle w:val="AllowPageBreak"/>
      </w:pPr>
    </w:p>
    <w:p w:rsidR="00000000" w:rsidRPr="00CB1A92" w:rsidP="00CB1A92">
      <w:pPr>
        <w:pStyle w:val="Heading1"/>
      </w:pPr>
      <w:bookmarkStart w:id="11" w:name="O_385730"/>
      <w:bookmarkEnd w:id="11"/>
      <w:r w:rsidRPr="00CB1A92">
        <w:t>Range Statement</w:t>
      </w:r>
    </w:p>
    <w:p w:rsidR="00000000" w:rsidRPr="00CB1A92" w:rsidP="00CB1A92">
      <w:pPr>
        <w:pStyle w:val="BodyText"/>
      </w:pPr>
      <w:r w:rsidRPr="00CB1A92">
        <w:rPr>
          <w:rStyle w:val="Emphasis"/>
        </w:rPr>
        <w:t>The range statement relates to the unit of competency as a whole. It allows f</w:t>
      </w:r>
      <w:r w:rsidRPr="00CB1A92">
        <w:rPr>
          <w:rStyle w:val="Emphasis"/>
        </w:rPr>
        <w:t>or different work environments and situations that may affect performance. Bold italicised wording, if used in the performance criteria, is detailed below. Essential operating conditions that may be present with training and assessment (depending on the wo</w:t>
      </w:r>
      <w:r w:rsidRPr="00CB1A92">
        <w:rPr>
          <w:rStyle w:val="Emphasis"/>
        </w:rPr>
        <w:t>rk situation, needs of the candidate, accessibility of the item, and local industry and regional contexts) may also be included.</w:t>
      </w:r>
    </w:p>
    <w:p w:rsidR="00000000" w:rsidRPr="00CB1A92" w:rsidP="00CB1A92">
      <w:pPr>
        <w:pStyle w:val="BodyText"/>
      </w:pPr>
    </w:p>
    <w:tbl>
      <w:tblPr>
        <w:tblW w:w="0" w:type="auto"/>
        <w:tblLayout w:type="fixed"/>
        <w:tblCellMar>
          <w:left w:w="62" w:type="dxa"/>
          <w:right w:w="62" w:type="dxa"/>
        </w:tblCellMar>
        <w:tblLook w:val="0000"/>
      </w:tblPr>
      <w:tblGrid>
        <w:gridCol w:w="2538"/>
        <w:gridCol w:w="6522"/>
      </w:tblGrid>
      <w:tr w:rsidTr="00CB1A92">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92">
            <w:pPr>
              <w:pStyle w:val="BodyText"/>
              <w:rPr>
                <w:lang w:val="en-NZ"/>
              </w:rPr>
            </w:pPr>
            <w:r w:rsidRPr="00CB1A92">
              <w:rPr>
                <w:rStyle w:val="BoldandItalics"/>
              </w:rPr>
              <w:t>Stakeholders</w:t>
            </w:r>
            <w:r w:rsidRPr="00CB1A92">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92" w:rsidP="00CB1A92">
            <w:pPr>
              <w:pStyle w:val="ListBullet"/>
            </w:pPr>
            <w:r w:rsidRPr="00CB1A92">
              <w:t>access specialists</w:t>
            </w:r>
          </w:p>
          <w:p w:rsidR="00000000" w:rsidRPr="00CB1A92" w:rsidP="00CB1A92">
            <w:pPr>
              <w:pStyle w:val="ListBullet"/>
            </w:pPr>
            <w:r w:rsidRPr="00CB1A92">
              <w:t>boards of management</w:t>
            </w:r>
          </w:p>
          <w:p w:rsidR="00000000" w:rsidRPr="00CB1A92" w:rsidP="00CB1A92">
            <w:pPr>
              <w:pStyle w:val="ListBullet"/>
            </w:pPr>
            <w:r w:rsidRPr="00CB1A92">
              <w:t>conservators</w:t>
            </w:r>
          </w:p>
          <w:p w:rsidR="00000000" w:rsidRPr="00CB1A92" w:rsidP="00CB1A92">
            <w:pPr>
              <w:pStyle w:val="ListBullet"/>
            </w:pPr>
            <w:r w:rsidRPr="00CB1A92">
              <w:t>cultural groups</w:t>
            </w:r>
          </w:p>
          <w:p w:rsidR="00000000" w:rsidRPr="00CB1A92" w:rsidP="00CB1A92">
            <w:pPr>
              <w:pStyle w:val="ListBullet"/>
            </w:pPr>
            <w:r w:rsidRPr="00CB1A92">
              <w:t>curators</w:t>
            </w:r>
          </w:p>
          <w:p w:rsidR="00000000" w:rsidRPr="00CB1A92" w:rsidP="00CB1A92">
            <w:pPr>
              <w:pStyle w:val="ListBullet"/>
            </w:pPr>
            <w:r w:rsidRPr="00CB1A92">
              <w:t>designers</w:t>
            </w:r>
          </w:p>
          <w:p w:rsidR="00000000" w:rsidRPr="00CB1A92" w:rsidP="00CB1A92">
            <w:pPr>
              <w:pStyle w:val="ListBullet"/>
            </w:pPr>
            <w:r w:rsidRPr="00CB1A92">
              <w:t>display specialists</w:t>
            </w:r>
          </w:p>
          <w:p w:rsidR="00000000" w:rsidRPr="00CB1A92" w:rsidP="00CB1A92">
            <w:pPr>
              <w:pStyle w:val="ListBullet"/>
            </w:pPr>
            <w:r w:rsidRPr="00CB1A92">
              <w:t>local community members</w:t>
            </w:r>
          </w:p>
          <w:p w:rsidR="00000000" w:rsidRPr="00CB1A92" w:rsidP="00CB1A92">
            <w:pPr>
              <w:pStyle w:val="ListBullet"/>
            </w:pPr>
            <w:r w:rsidRPr="00CB1A92">
              <w:t>school or education specialists</w:t>
            </w:r>
          </w:p>
          <w:p w:rsidR="00000000" w:rsidRPr="00CB1A92" w:rsidP="00CB1A92">
            <w:pPr>
              <w:pStyle w:val="ListBullet"/>
            </w:pPr>
            <w:r w:rsidRPr="00CB1A92">
              <w:t>subject matter experts</w:t>
            </w:r>
          </w:p>
          <w:p w:rsidR="00000000" w:rsidP="00CB1A92">
            <w:pPr>
              <w:pStyle w:val="ListBullet"/>
              <w:rPr>
                <w:lang w:val="en-NZ"/>
              </w:rPr>
            </w:pPr>
            <w:r w:rsidRPr="00CB1A92">
              <w:t>visitors.</w:t>
            </w:r>
          </w:p>
        </w:tc>
      </w:tr>
      <w:tr w:rsidTr="00CB1A92">
        <w:tblPrEx>
          <w:tblW w:w="0" w:type="auto"/>
          <w:tblLayout w:type="fixed"/>
          <w:tblCellMar>
            <w:left w:w="62" w:type="dxa"/>
            <w:right w:w="62" w:type="dxa"/>
          </w:tblCellMar>
          <w:tblLook w:val="0000"/>
        </w:tblPrEx>
        <w:trPr>
          <w:trHeight w:val="405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92">
            <w:pPr>
              <w:pStyle w:val="BodyText"/>
              <w:rPr>
                <w:lang w:val="en-NZ"/>
              </w:rPr>
            </w:pPr>
            <w:r w:rsidRPr="00CB1A92">
              <w:rPr>
                <w:rStyle w:val="BoldandItalics"/>
              </w:rPr>
              <w:t>Interpretive display ideas</w:t>
            </w:r>
            <w:r w:rsidRPr="00CB1A92">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92" w:rsidP="00CB1A92">
            <w:pPr>
              <w:pStyle w:val="ListBullet"/>
            </w:pPr>
            <w:r w:rsidRPr="00CB1A92">
              <w:t>charts</w:t>
            </w:r>
          </w:p>
          <w:p w:rsidR="00000000" w:rsidRPr="00CB1A92" w:rsidP="00CB1A92">
            <w:pPr>
              <w:pStyle w:val="ListBullet"/>
            </w:pPr>
            <w:r w:rsidRPr="00CB1A92">
              <w:t>diagrams</w:t>
            </w:r>
          </w:p>
          <w:p w:rsidR="00000000" w:rsidRPr="00CB1A92" w:rsidP="00CB1A92">
            <w:pPr>
              <w:pStyle w:val="ListBullet"/>
            </w:pPr>
            <w:r w:rsidRPr="00CB1A92">
              <w:t>display stands</w:t>
            </w:r>
          </w:p>
          <w:p w:rsidR="00000000" w:rsidRPr="00CB1A92" w:rsidP="00CB1A92">
            <w:pPr>
              <w:pStyle w:val="ListBullet"/>
            </w:pPr>
            <w:r w:rsidRPr="00CB1A92">
              <w:t>electronic presentations</w:t>
            </w:r>
          </w:p>
          <w:p w:rsidR="00000000" w:rsidRPr="00CB1A92" w:rsidP="00CB1A92">
            <w:pPr>
              <w:pStyle w:val="ListBullet"/>
            </w:pPr>
            <w:r w:rsidRPr="00CB1A92">
              <w:t>labels</w:t>
            </w:r>
          </w:p>
          <w:p w:rsidR="00000000" w:rsidRPr="00CB1A92" w:rsidP="00CB1A92">
            <w:pPr>
              <w:pStyle w:val="ListBullet"/>
            </w:pPr>
            <w:r w:rsidRPr="00CB1A92">
              <w:t>maps</w:t>
            </w:r>
          </w:p>
          <w:p w:rsidR="00000000" w:rsidRPr="00CB1A92" w:rsidP="00CB1A92">
            <w:pPr>
              <w:pStyle w:val="ListBullet"/>
            </w:pPr>
            <w:r w:rsidRPr="00CB1A92">
              <w:t>photographs</w:t>
            </w:r>
          </w:p>
          <w:p w:rsidR="00000000" w:rsidRPr="00CB1A92" w:rsidP="00CB1A92">
            <w:pPr>
              <w:pStyle w:val="ListBullet"/>
            </w:pPr>
            <w:r w:rsidRPr="00CB1A92">
              <w:t>signs</w:t>
            </w:r>
          </w:p>
          <w:p w:rsidR="00000000" w:rsidRPr="00CB1A92" w:rsidP="00CB1A92">
            <w:pPr>
              <w:pStyle w:val="ListBullet"/>
            </w:pPr>
            <w:r w:rsidRPr="00CB1A92">
              <w:t>support materials, such as:</w:t>
            </w:r>
          </w:p>
          <w:p w:rsidR="00000000" w:rsidRPr="00CB1A92" w:rsidP="00CB1A92">
            <w:pPr>
              <w:pStyle w:val="ListBullet2"/>
            </w:pPr>
            <w:r w:rsidRPr="00CB1A92">
              <w:t>activity books</w:t>
            </w:r>
          </w:p>
          <w:p w:rsidR="00000000" w:rsidRPr="00CB1A92" w:rsidP="00CB1A92">
            <w:pPr>
              <w:pStyle w:val="ListBullet2"/>
            </w:pPr>
            <w:r w:rsidRPr="00CB1A92">
              <w:t>guides</w:t>
            </w:r>
          </w:p>
          <w:p w:rsidR="00000000" w:rsidRPr="00CB1A92" w:rsidP="00CB1A92">
            <w:pPr>
              <w:pStyle w:val="ListBullet2"/>
            </w:pPr>
            <w:r w:rsidRPr="00CB1A92">
              <w:t>handouts</w:t>
            </w:r>
          </w:p>
          <w:p w:rsidR="00000000" w:rsidP="00CB1A92">
            <w:pPr>
              <w:pStyle w:val="ListBullet2"/>
              <w:rPr>
                <w:lang w:val="en-NZ"/>
              </w:rPr>
            </w:pPr>
            <w:r w:rsidRPr="00CB1A92">
              <w:t>publications.</w:t>
            </w:r>
          </w:p>
        </w:tc>
      </w:tr>
      <w:tr w:rsidTr="00CB1A92">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92">
            <w:pPr>
              <w:pStyle w:val="BodyText"/>
              <w:rPr>
                <w:lang w:val="en-NZ"/>
              </w:rPr>
            </w:pPr>
            <w:r w:rsidRPr="00CB1A92">
              <w:rPr>
                <w:rStyle w:val="BoldandItalics"/>
              </w:rPr>
              <w:t>Information on audience profile</w:t>
            </w:r>
            <w:r w:rsidRPr="00CB1A92">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92" w:rsidP="00CB1A92">
            <w:pPr>
              <w:pStyle w:val="ListBullet"/>
            </w:pPr>
            <w:r w:rsidRPr="00CB1A92">
              <w:t>age</w:t>
            </w:r>
          </w:p>
          <w:p w:rsidR="00000000" w:rsidRPr="00CB1A92" w:rsidP="00CB1A92">
            <w:pPr>
              <w:pStyle w:val="ListBullet"/>
            </w:pPr>
            <w:r w:rsidRPr="00CB1A92">
              <w:t>cultural preferences</w:t>
            </w:r>
          </w:p>
          <w:p w:rsidR="00000000" w:rsidRPr="00CB1A92" w:rsidP="00CB1A92">
            <w:pPr>
              <w:pStyle w:val="ListBullet"/>
            </w:pPr>
            <w:r w:rsidRPr="00CB1A92">
              <w:t>cultural diversity</w:t>
            </w:r>
          </w:p>
          <w:p w:rsidR="00000000" w:rsidRPr="00CB1A92" w:rsidP="00CB1A92">
            <w:pPr>
              <w:pStyle w:val="ListBullet"/>
            </w:pPr>
            <w:r w:rsidRPr="00CB1A92">
              <w:t>disability access required</w:t>
            </w:r>
          </w:p>
          <w:p w:rsidR="00000000" w:rsidRPr="00CB1A92" w:rsidP="00CB1A92">
            <w:pPr>
              <w:pStyle w:val="ListBullet"/>
            </w:pPr>
            <w:r w:rsidRPr="00CB1A92">
              <w:t>educational level</w:t>
            </w:r>
          </w:p>
          <w:p w:rsidR="00000000" w:rsidRPr="00CB1A92" w:rsidP="00CB1A92">
            <w:pPr>
              <w:pStyle w:val="ListBullet"/>
            </w:pPr>
            <w:r w:rsidRPr="00CB1A92">
              <w:t>familiarity with collections or sites</w:t>
            </w:r>
          </w:p>
          <w:p w:rsidR="00000000" w:rsidRPr="00CB1A92" w:rsidP="00CB1A92">
            <w:pPr>
              <w:pStyle w:val="ListBullet"/>
            </w:pPr>
            <w:r w:rsidRPr="00CB1A92">
              <w:t>gender</w:t>
            </w:r>
          </w:p>
          <w:p w:rsidR="00000000" w:rsidRPr="00CB1A92" w:rsidP="00CB1A92">
            <w:pPr>
              <w:pStyle w:val="ListBullet"/>
            </w:pPr>
            <w:r w:rsidRPr="00CB1A92">
              <w:t>physical capabilities</w:t>
            </w:r>
          </w:p>
          <w:p w:rsidR="00000000" w:rsidP="00CB1A92">
            <w:pPr>
              <w:pStyle w:val="ListBullet"/>
              <w:rPr>
                <w:lang w:val="en-NZ"/>
              </w:rPr>
            </w:pPr>
            <w:r w:rsidRPr="00CB1A92">
              <w:t>special interests.</w:t>
            </w:r>
          </w:p>
        </w:tc>
      </w:tr>
      <w:tr w:rsidTr="00CB1A92">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92">
            <w:pPr>
              <w:pStyle w:val="BodyText"/>
              <w:rPr>
                <w:lang w:val="en-NZ"/>
              </w:rPr>
            </w:pPr>
            <w:r w:rsidRPr="00CB1A92">
              <w:rPr>
                <w:rStyle w:val="BoldandItalics"/>
              </w:rPr>
              <w:t>Operational information</w:t>
            </w:r>
            <w:r w:rsidRPr="00CB1A92">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92" w:rsidP="00CB1A92">
            <w:pPr>
              <w:pStyle w:val="ListBullet"/>
            </w:pPr>
            <w:r w:rsidRPr="00CB1A92">
              <w:t>budget allocation</w:t>
            </w:r>
          </w:p>
          <w:p w:rsidR="00000000" w:rsidRPr="00CB1A92" w:rsidP="00CB1A92">
            <w:pPr>
              <w:pStyle w:val="ListBullet"/>
            </w:pPr>
            <w:r w:rsidRPr="00CB1A92">
              <w:t>collection needs</w:t>
            </w:r>
          </w:p>
          <w:p w:rsidR="00000000" w:rsidRPr="00CB1A92" w:rsidP="00CB1A92">
            <w:pPr>
              <w:pStyle w:val="ListBullet"/>
            </w:pPr>
            <w:r w:rsidRPr="00CB1A92">
              <w:t>duration of exhibition</w:t>
            </w:r>
          </w:p>
          <w:p w:rsidR="00000000" w:rsidRPr="00CB1A92" w:rsidP="00CB1A92">
            <w:pPr>
              <w:pStyle w:val="ListBullet"/>
            </w:pPr>
            <w:r w:rsidRPr="00CB1A92">
              <w:t>floor plans</w:t>
            </w:r>
          </w:p>
          <w:p w:rsidR="00000000" w:rsidRPr="00CB1A92" w:rsidP="00CB1A92">
            <w:pPr>
              <w:pStyle w:val="ListBullet"/>
            </w:pPr>
            <w:r w:rsidRPr="00CB1A92">
              <w:t>lighting</w:t>
            </w:r>
          </w:p>
          <w:p w:rsidR="00000000" w:rsidRPr="00CB1A92" w:rsidP="00CB1A92">
            <w:pPr>
              <w:pStyle w:val="ListBullet"/>
            </w:pPr>
            <w:r w:rsidRPr="00CB1A92">
              <w:t>movement of visitors through the space</w:t>
            </w:r>
          </w:p>
          <w:p w:rsidR="00000000" w:rsidRPr="00CB1A92" w:rsidP="00CB1A92">
            <w:pPr>
              <w:pStyle w:val="ListBullet"/>
            </w:pPr>
            <w:r w:rsidRPr="00CB1A92">
              <w:t>need for utilities, such as:</w:t>
            </w:r>
          </w:p>
          <w:p w:rsidR="00000000" w:rsidRPr="00CB1A92" w:rsidP="00CB1A92">
            <w:pPr>
              <w:pStyle w:val="ListBullet2"/>
            </w:pPr>
            <w:r w:rsidRPr="00CB1A92">
              <w:t>electricity</w:t>
            </w:r>
          </w:p>
          <w:p w:rsidR="00000000" w:rsidRPr="00CB1A92" w:rsidP="00CB1A92">
            <w:pPr>
              <w:pStyle w:val="ListBullet2"/>
            </w:pPr>
            <w:r w:rsidRPr="00CB1A92">
              <w:t>water</w:t>
            </w:r>
          </w:p>
          <w:p w:rsidR="00000000" w:rsidRPr="00CB1A92" w:rsidP="00CB1A92">
            <w:pPr>
              <w:pStyle w:val="ListBullet"/>
            </w:pPr>
            <w:r w:rsidRPr="00CB1A92">
              <w:t>security issues</w:t>
            </w:r>
          </w:p>
          <w:p w:rsidR="00000000" w:rsidRPr="00CB1A92" w:rsidP="00CB1A92">
            <w:pPr>
              <w:pStyle w:val="ListBullet"/>
            </w:pPr>
            <w:r w:rsidRPr="00CB1A92">
              <w:t>set-up times and duration</w:t>
            </w:r>
          </w:p>
          <w:p w:rsidR="00000000" w:rsidRPr="00CB1A92" w:rsidP="00CB1A92">
            <w:pPr>
              <w:pStyle w:val="ListBullet"/>
            </w:pPr>
            <w:r w:rsidRPr="00CB1A92">
              <w:t>size of display areas, such as:</w:t>
            </w:r>
          </w:p>
          <w:p w:rsidR="00000000" w:rsidRPr="00CB1A92" w:rsidP="00CB1A92">
            <w:pPr>
              <w:pStyle w:val="ListBullet2"/>
            </w:pPr>
            <w:r w:rsidRPr="00CB1A92">
              <w:t>booth</w:t>
            </w:r>
          </w:p>
          <w:p w:rsidR="00000000" w:rsidRPr="00CB1A92" w:rsidP="00CB1A92">
            <w:pPr>
              <w:pStyle w:val="ListBullet2"/>
            </w:pPr>
            <w:r w:rsidRPr="00CB1A92">
              <w:t>stage</w:t>
            </w:r>
          </w:p>
          <w:p w:rsidR="00000000" w:rsidRPr="00CB1A92" w:rsidP="00CB1A92">
            <w:pPr>
              <w:pStyle w:val="ListBullet"/>
            </w:pPr>
            <w:r w:rsidRPr="00CB1A92">
              <w:t>structure of walls</w:t>
            </w:r>
          </w:p>
          <w:p w:rsidR="00000000" w:rsidRPr="00CB1A92" w:rsidP="00CB1A92">
            <w:pPr>
              <w:pStyle w:val="ListBullet"/>
            </w:pPr>
            <w:r w:rsidRPr="00CB1A92">
              <w:t>type of surface on which display is to be created</w:t>
            </w:r>
          </w:p>
          <w:p w:rsidR="00000000" w:rsidP="00CB1A92">
            <w:pPr>
              <w:pStyle w:val="ListBullet"/>
              <w:rPr>
                <w:lang w:val="en-NZ"/>
              </w:rPr>
            </w:pPr>
            <w:r w:rsidRPr="00CB1A92">
              <w:t>work health and safety requirements.</w:t>
            </w:r>
          </w:p>
        </w:tc>
      </w:tr>
      <w:tr w:rsidTr="00CB1A92">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92">
            <w:pPr>
              <w:pStyle w:val="BodyText"/>
              <w:rPr>
                <w:lang w:val="en-NZ"/>
              </w:rPr>
            </w:pPr>
            <w:r w:rsidRPr="00CB1A92">
              <w:rPr>
                <w:rStyle w:val="BoldandItalics"/>
              </w:rPr>
              <w:t>Techniques</w:t>
            </w:r>
            <w:r w:rsidRPr="00CB1A92">
              <w:t xml:space="preserve"> may relate to:</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92" w:rsidP="00CB1A92">
            <w:pPr>
              <w:pStyle w:val="ListBullet"/>
            </w:pPr>
            <w:r w:rsidRPr="00CB1A92">
              <w:t>balance of text and pictorial content</w:t>
            </w:r>
          </w:p>
          <w:p w:rsidR="00000000" w:rsidRPr="00CB1A92" w:rsidP="00CB1A92">
            <w:pPr>
              <w:pStyle w:val="ListBullet"/>
            </w:pPr>
            <w:r w:rsidRPr="00CB1A92">
              <w:t>choice of materials for label production and supports</w:t>
            </w:r>
          </w:p>
          <w:p w:rsidR="00000000" w:rsidRPr="00CB1A92" w:rsidP="00CB1A92">
            <w:pPr>
              <w:pStyle w:val="ListBullet"/>
            </w:pPr>
            <w:r w:rsidRPr="00CB1A92">
              <w:t>creative interpretation techniques</w:t>
            </w:r>
          </w:p>
          <w:p w:rsidR="00000000" w:rsidRPr="00CB1A92" w:rsidP="00CB1A92">
            <w:pPr>
              <w:pStyle w:val="ListBullet"/>
            </w:pPr>
            <w:r w:rsidRPr="00CB1A92">
              <w:t>ensuring access to information</w:t>
            </w:r>
          </w:p>
          <w:p w:rsidR="00000000" w:rsidRPr="00CB1A92" w:rsidP="00CB1A92">
            <w:pPr>
              <w:pStyle w:val="ListBullet"/>
            </w:pPr>
            <w:r w:rsidRPr="00CB1A92">
              <w:t>label hierarchies</w:t>
            </w:r>
          </w:p>
          <w:p w:rsidR="00000000" w:rsidRPr="00CB1A92" w:rsidP="00CB1A92">
            <w:pPr>
              <w:pStyle w:val="ListBullet"/>
            </w:pPr>
            <w:r w:rsidRPr="00CB1A92">
              <w:t>organisational or industry standards, including:</w:t>
            </w:r>
          </w:p>
          <w:p w:rsidR="00000000" w:rsidRPr="00CB1A92" w:rsidP="00CB1A92">
            <w:pPr>
              <w:pStyle w:val="ListBullet2"/>
            </w:pPr>
            <w:r w:rsidRPr="00CB1A92">
              <w:t>grammatical correctness</w:t>
            </w:r>
          </w:p>
          <w:p w:rsidR="00000000" w:rsidRPr="00CB1A92" w:rsidP="00CB1A92">
            <w:pPr>
              <w:pStyle w:val="ListBullet2"/>
            </w:pPr>
            <w:r w:rsidRPr="00CB1A92">
              <w:t>technicality of language</w:t>
            </w:r>
          </w:p>
          <w:p w:rsidR="00000000" w:rsidRPr="00CB1A92" w:rsidP="00CB1A92">
            <w:pPr>
              <w:pStyle w:val="ListBullet2"/>
            </w:pPr>
            <w:r w:rsidRPr="00CB1A92">
              <w:t>use of conventions for information, such as for dates and names</w:t>
            </w:r>
          </w:p>
          <w:p w:rsidR="00000000" w:rsidRPr="00CB1A92" w:rsidP="00CB1A92">
            <w:pPr>
              <w:pStyle w:val="ListBullet"/>
            </w:pPr>
            <w:r w:rsidRPr="00CB1A92">
              <w:t>principles of design</w:t>
            </w:r>
          </w:p>
          <w:p w:rsidR="00000000" w:rsidRPr="00CB1A92" w:rsidP="00CB1A92">
            <w:pPr>
              <w:pStyle w:val="ListBullet"/>
            </w:pPr>
            <w:r w:rsidRPr="00CB1A92">
              <w:t>relationship of cultural material to display mechanism</w:t>
            </w:r>
          </w:p>
          <w:p w:rsidR="00000000" w:rsidRPr="00CB1A92" w:rsidP="00CB1A92">
            <w:pPr>
              <w:pStyle w:val="ListBullet"/>
            </w:pPr>
            <w:r w:rsidRPr="00CB1A92">
              <w:t>use of colour</w:t>
            </w:r>
          </w:p>
          <w:p w:rsidR="00000000" w:rsidRPr="00CB1A92" w:rsidP="00CB1A92">
            <w:pPr>
              <w:pStyle w:val="ListBullet"/>
            </w:pPr>
            <w:r w:rsidRPr="00CB1A92">
              <w:t>use of fonts and typefaces</w:t>
            </w:r>
          </w:p>
          <w:p w:rsidR="00000000" w:rsidP="00CB1A92">
            <w:pPr>
              <w:pStyle w:val="ListBullet"/>
              <w:rPr>
                <w:lang w:val="en-NZ"/>
              </w:rPr>
            </w:pPr>
            <w:r w:rsidRPr="00CB1A92">
              <w:t>use of juxtaposition.</w:t>
            </w:r>
          </w:p>
        </w:tc>
      </w:tr>
      <w:tr w:rsidTr="00CB1A92">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92">
            <w:pPr>
              <w:pStyle w:val="BodyText"/>
              <w:rPr>
                <w:lang w:val="en-NZ"/>
              </w:rPr>
            </w:pPr>
            <w:r w:rsidRPr="00CB1A92">
              <w:rPr>
                <w:rStyle w:val="BoldandItalics"/>
              </w:rPr>
              <w:t>Materials and equipment</w:t>
            </w:r>
            <w:r w:rsidRPr="00CB1A92">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92" w:rsidP="00CB1A92">
            <w:pPr>
              <w:pStyle w:val="ListBullet"/>
            </w:pPr>
            <w:r w:rsidRPr="00CB1A92">
              <w:t>three-dimensional materials</w:t>
            </w:r>
          </w:p>
          <w:p w:rsidR="00000000" w:rsidRPr="00CB1A92" w:rsidP="00CB1A92">
            <w:pPr>
              <w:pStyle w:val="ListBullet"/>
            </w:pPr>
            <w:r w:rsidRPr="00CB1A92">
              <w:t>adhesives</w:t>
            </w:r>
          </w:p>
          <w:p w:rsidR="00000000" w:rsidRPr="00CB1A92" w:rsidP="00CB1A92">
            <w:pPr>
              <w:pStyle w:val="ListBullet"/>
            </w:pPr>
            <w:r w:rsidRPr="00CB1A92">
              <w:t>audiovisual systems</w:t>
            </w:r>
          </w:p>
          <w:p w:rsidR="00000000" w:rsidRPr="00CB1A92" w:rsidP="00CB1A92">
            <w:pPr>
              <w:pStyle w:val="ListBullet"/>
            </w:pPr>
            <w:r w:rsidRPr="00CB1A92">
              <w:t>boards</w:t>
            </w:r>
          </w:p>
          <w:p w:rsidR="00000000" w:rsidRPr="00CB1A92" w:rsidP="00CB1A92">
            <w:pPr>
              <w:pStyle w:val="ListBullet"/>
            </w:pPr>
            <w:r w:rsidRPr="00CB1A92">
              <w:t>computers</w:t>
            </w:r>
          </w:p>
          <w:p w:rsidR="00000000" w:rsidRPr="00CB1A92" w:rsidP="00CB1A92">
            <w:pPr>
              <w:pStyle w:val="ListBullet"/>
            </w:pPr>
            <w:r w:rsidRPr="00CB1A92">
              <w:t>fabric</w:t>
            </w:r>
          </w:p>
          <w:p w:rsidR="00000000" w:rsidRPr="00CB1A92" w:rsidP="00CB1A92">
            <w:pPr>
              <w:pStyle w:val="ListBullet"/>
            </w:pPr>
            <w:r w:rsidRPr="00CB1A92">
              <w:t>flags</w:t>
            </w:r>
          </w:p>
          <w:p w:rsidR="00000000" w:rsidRPr="00CB1A92" w:rsidP="00CB1A92">
            <w:pPr>
              <w:pStyle w:val="ListBullet"/>
            </w:pPr>
            <w:r w:rsidRPr="00CB1A92">
              <w:t>freestanding display cases and stands</w:t>
            </w:r>
          </w:p>
          <w:p w:rsidR="00000000" w:rsidRPr="00CB1A92" w:rsidP="00CB1A92">
            <w:pPr>
              <w:pStyle w:val="ListBullet"/>
            </w:pPr>
            <w:r w:rsidRPr="00CB1A92">
              <w:t>furniture</w:t>
            </w:r>
          </w:p>
          <w:p w:rsidR="00000000" w:rsidRPr="00CB1A92" w:rsidP="00CB1A92">
            <w:pPr>
              <w:pStyle w:val="ListBullet"/>
            </w:pPr>
            <w:r w:rsidRPr="00CB1A92">
              <w:t>knives</w:t>
            </w:r>
          </w:p>
          <w:p w:rsidR="00000000" w:rsidRPr="00CB1A92" w:rsidP="00CB1A92">
            <w:pPr>
              <w:pStyle w:val="ListBullet"/>
            </w:pPr>
            <w:r w:rsidRPr="00CB1A92">
              <w:t>paint</w:t>
            </w:r>
          </w:p>
          <w:p w:rsidR="00000000" w:rsidRPr="00CB1A92" w:rsidP="00CB1A92">
            <w:pPr>
              <w:pStyle w:val="ListBullet"/>
            </w:pPr>
            <w:r w:rsidRPr="00CB1A92">
              <w:t>paint brushes</w:t>
            </w:r>
          </w:p>
          <w:p w:rsidR="00000000" w:rsidRPr="00CB1A92" w:rsidP="00CB1A92">
            <w:pPr>
              <w:pStyle w:val="ListBullet"/>
            </w:pPr>
            <w:r w:rsidRPr="00CB1A92">
              <w:t>pens and markers</w:t>
            </w:r>
          </w:p>
          <w:p w:rsidR="00000000" w:rsidRPr="00CB1A92" w:rsidP="00CB1A92">
            <w:pPr>
              <w:pStyle w:val="ListBullet"/>
            </w:pPr>
            <w:r w:rsidRPr="00CB1A92">
              <w:t>perspex</w:t>
            </w:r>
          </w:p>
          <w:p w:rsidR="00000000" w:rsidRPr="00CB1A92" w:rsidP="00CB1A92">
            <w:pPr>
              <w:pStyle w:val="ListBullet"/>
            </w:pPr>
            <w:r w:rsidRPr="00CB1A92">
              <w:t>pins</w:t>
            </w:r>
          </w:p>
          <w:p w:rsidR="00000000" w:rsidRPr="00CB1A92" w:rsidP="00CB1A92">
            <w:pPr>
              <w:pStyle w:val="ListBullet"/>
            </w:pPr>
            <w:r w:rsidRPr="00CB1A92">
              <w:t>plinths</w:t>
            </w:r>
          </w:p>
          <w:p w:rsidR="00000000" w:rsidRPr="00CB1A92" w:rsidP="00CB1A92">
            <w:pPr>
              <w:pStyle w:val="ListBullet"/>
            </w:pPr>
            <w:r w:rsidRPr="00CB1A92">
              <w:t>printed materials</w:t>
            </w:r>
          </w:p>
          <w:p w:rsidR="00000000" w:rsidRPr="00CB1A92" w:rsidP="00CB1A92">
            <w:pPr>
              <w:pStyle w:val="ListBullet"/>
            </w:pPr>
            <w:r w:rsidRPr="00CB1A92">
              <w:t>rulers</w:t>
            </w:r>
          </w:p>
          <w:p w:rsidR="00000000" w:rsidRPr="00CB1A92" w:rsidP="00CB1A92">
            <w:pPr>
              <w:pStyle w:val="ListBullet"/>
            </w:pPr>
            <w:r w:rsidRPr="00CB1A92">
              <w:t>scissors</w:t>
            </w:r>
          </w:p>
          <w:p w:rsidR="00000000" w:rsidRPr="00CB1A92" w:rsidP="00CB1A92">
            <w:pPr>
              <w:pStyle w:val="ListBullet"/>
            </w:pPr>
            <w:r w:rsidRPr="00CB1A92">
              <w:t>screens</w:t>
            </w:r>
          </w:p>
          <w:p w:rsidR="00000000" w:rsidRPr="00CB1A92" w:rsidP="00CB1A92">
            <w:pPr>
              <w:pStyle w:val="ListBullet"/>
            </w:pPr>
            <w:r w:rsidRPr="00CB1A92">
              <w:t>signs</w:t>
            </w:r>
          </w:p>
          <w:p w:rsidR="00000000" w:rsidRPr="00CB1A92" w:rsidP="00CB1A92">
            <w:pPr>
              <w:pStyle w:val="ListBullet"/>
            </w:pPr>
            <w:r w:rsidRPr="00CB1A92">
              <w:t>sound systems</w:t>
            </w:r>
          </w:p>
          <w:p w:rsidR="00000000" w:rsidRPr="00CB1A92" w:rsidP="00CB1A92">
            <w:pPr>
              <w:pStyle w:val="ListBullet"/>
            </w:pPr>
            <w:r w:rsidRPr="00CB1A92">
              <w:t>string</w:t>
            </w:r>
          </w:p>
          <w:p w:rsidR="00000000" w:rsidRPr="00CB1A92" w:rsidP="00CB1A92">
            <w:pPr>
              <w:pStyle w:val="ListBullet"/>
            </w:pPr>
            <w:r w:rsidRPr="00CB1A92">
              <w:t>tape measures</w:t>
            </w:r>
          </w:p>
          <w:p w:rsidR="00000000" w:rsidRPr="00CB1A92" w:rsidP="00CB1A92">
            <w:pPr>
              <w:pStyle w:val="ListBullet"/>
            </w:pPr>
            <w:r w:rsidRPr="00CB1A92">
              <w:t>tools</w:t>
            </w:r>
          </w:p>
          <w:p w:rsidR="00000000" w:rsidRPr="00CB1A92" w:rsidP="00CB1A92">
            <w:pPr>
              <w:pStyle w:val="ListBullet"/>
            </w:pPr>
            <w:r w:rsidRPr="00CB1A92">
              <w:t>velcro</w:t>
            </w:r>
          </w:p>
          <w:p w:rsidR="00000000" w:rsidP="00CB1A92">
            <w:pPr>
              <w:pStyle w:val="ListBullet"/>
              <w:rPr>
                <w:lang w:val="en-NZ"/>
              </w:rPr>
            </w:pPr>
            <w:r w:rsidRPr="00CB1A92">
              <w:t xml:space="preserve">videos. </w:t>
            </w:r>
          </w:p>
        </w:tc>
      </w:tr>
      <w:tr w:rsidTr="00CB1A92">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92">
            <w:pPr>
              <w:pStyle w:val="BodyText"/>
              <w:rPr>
                <w:lang w:val="en-NZ"/>
              </w:rPr>
            </w:pPr>
            <w:r w:rsidRPr="00CB1A92">
              <w:rPr>
                <w:rStyle w:val="BoldandItalics"/>
              </w:rPr>
              <w:t>Creative use</w:t>
            </w:r>
            <w:r w:rsidRPr="00CB1A92">
              <w:t xml:space="preserve"> may involve: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92" w:rsidP="00CB1A92">
            <w:pPr>
              <w:pStyle w:val="ListBullet"/>
            </w:pPr>
            <w:r w:rsidRPr="00CB1A92">
              <w:t>experimenting with colour, shape and texture</w:t>
            </w:r>
          </w:p>
          <w:p w:rsidR="00000000" w:rsidRPr="00CB1A92" w:rsidP="00CB1A92">
            <w:pPr>
              <w:pStyle w:val="ListBullet"/>
            </w:pPr>
            <w:r w:rsidRPr="00CB1A92">
              <w:t>lighting</w:t>
            </w:r>
          </w:p>
          <w:p w:rsidR="00000000" w:rsidRPr="00CB1A92" w:rsidP="00CB1A92">
            <w:pPr>
              <w:pStyle w:val="ListBullet"/>
            </w:pPr>
            <w:r w:rsidRPr="00CB1A92">
              <w:t>placing items in a range of different ways</w:t>
            </w:r>
          </w:p>
          <w:p w:rsidR="00000000" w:rsidRPr="00CB1A92" w:rsidP="00CB1A92">
            <w:pPr>
              <w:pStyle w:val="ListBullet"/>
            </w:pPr>
            <w:r w:rsidRPr="00CB1A92">
              <w:t>testing different approaches</w:t>
            </w:r>
          </w:p>
          <w:p w:rsidR="00000000" w:rsidRPr="00CB1A92" w:rsidP="00CB1A92">
            <w:pPr>
              <w:pStyle w:val="ListBullet"/>
            </w:pPr>
            <w:r w:rsidRPr="00CB1A92">
              <w:t>use of sound.</w:t>
            </w:r>
          </w:p>
        </w:tc>
      </w:tr>
    </w:tbl>
    <w:p w:rsidR="00000000" w:rsidRPr="00CB1A92" w:rsidP="00CB1A92">
      <w:pPr>
        <w:pStyle w:val="BodyText"/>
      </w:pPr>
    </w:p>
    <w:p w:rsidR="00000000" w:rsidRPr="00CB1A92" w:rsidP="00CB1A92">
      <w:pPr>
        <w:pStyle w:val="AllowPageBreak"/>
      </w:pPr>
    </w:p>
    <w:p w:rsidR="00000000" w:rsidRPr="00CB1A92" w:rsidP="00CB1A92">
      <w:pPr>
        <w:pStyle w:val="Heading1"/>
      </w:pPr>
      <w:bookmarkStart w:id="12" w:name="O_385731"/>
      <w:bookmarkEnd w:id="12"/>
      <w:r w:rsidRPr="00CB1A92">
        <w:t>Unit Sector(s)</w:t>
      </w:r>
    </w:p>
    <w:p w:rsidR="00000000" w:rsidRPr="00CB1A92" w:rsidP="00CB1A92">
      <w:pPr>
        <w:pStyle w:val="BodyText"/>
      </w:pPr>
      <w:r w:rsidRPr="00CB1A92">
        <w:t>Cultural services - Exhibitions and visitor programs</w:t>
      </w:r>
    </w:p>
    <w:p w:rsidR="00000000" w:rsidRPr="00CB1A92" w:rsidP="00CB1A92"/>
    <w:sectPr w:rsidSect="00CB1A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6CB2" w:rsidP="00546C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CB2" w:rsidP="00CB1A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46CB2" w:rsidP="00CB1A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6CB2" w:rsidP="00CB1A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6CB2" w:rsidP="00546C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CB2" w:rsidP="00CB1A92">
    <w:pPr>
      <w:pStyle w:val="Header"/>
      <w:framePr w:wrap="around"/>
    </w:pPr>
    <w:r>
      <w:fldChar w:fldCharType="begin"/>
    </w:r>
    <w:r>
      <w:instrText xml:space="preserve"> TITLE   \* MERGEFORMAT </w:instrText>
    </w:r>
    <w:r>
      <w:fldChar w:fldCharType="separate"/>
    </w:r>
    <w:r>
      <w:t>CULEVP402A Design and develop interpretive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6CB2" w:rsidP="00CB1A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AC12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7E30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7E7F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A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1A92"/>
    <w:pPr>
      <w:spacing w:before="360" w:after="60"/>
      <w:outlineLvl w:val="0"/>
    </w:pPr>
    <w:rPr>
      <w:sz w:val="32"/>
    </w:rPr>
  </w:style>
  <w:style w:type="paragraph" w:styleId="Heading2">
    <w:name w:val="heading 2"/>
    <w:basedOn w:val="HeadingBase"/>
    <w:next w:val="BodyText"/>
    <w:link w:val="Heading2Char"/>
    <w:qFormat/>
    <w:rsid w:val="00CB1A92"/>
    <w:pPr>
      <w:keepLines/>
      <w:spacing w:before="240" w:after="120"/>
      <w:outlineLvl w:val="1"/>
    </w:pPr>
    <w:rPr>
      <w:sz w:val="28"/>
      <w:szCs w:val="40"/>
    </w:rPr>
  </w:style>
  <w:style w:type="paragraph" w:styleId="Heading3">
    <w:name w:val="heading 3"/>
    <w:basedOn w:val="HeadingBase"/>
    <w:next w:val="BodyText"/>
    <w:link w:val="Heading3Char"/>
    <w:qFormat/>
    <w:rsid w:val="00CB1A92"/>
    <w:pPr>
      <w:spacing w:before="180" w:after="120"/>
      <w:outlineLvl w:val="2"/>
    </w:pPr>
    <w:rPr>
      <w:spacing w:val="-10"/>
      <w:kern w:val="32"/>
    </w:rPr>
  </w:style>
  <w:style w:type="paragraph" w:styleId="Heading4">
    <w:name w:val="heading 4"/>
    <w:basedOn w:val="HeadingBase"/>
    <w:next w:val="BodyText"/>
    <w:link w:val="Heading4Char"/>
    <w:qFormat/>
    <w:rsid w:val="00CB1A92"/>
    <w:pPr>
      <w:spacing w:before="160" w:after="120"/>
      <w:outlineLvl w:val="3"/>
    </w:pPr>
    <w:rPr>
      <w:sz w:val="22"/>
    </w:rPr>
  </w:style>
  <w:style w:type="paragraph" w:styleId="Heading5">
    <w:name w:val="heading 5"/>
    <w:basedOn w:val="HeadingBase"/>
    <w:next w:val="Normal"/>
    <w:link w:val="Heading5Char"/>
    <w:qFormat/>
    <w:rsid w:val="00CB1A92"/>
    <w:pPr>
      <w:spacing w:before="80"/>
      <w:outlineLvl w:val="4"/>
    </w:pPr>
    <w:rPr>
      <w:color w:val="918585"/>
      <w:sz w:val="20"/>
    </w:rPr>
  </w:style>
  <w:style w:type="paragraph" w:styleId="Heading6">
    <w:name w:val="heading 6"/>
    <w:basedOn w:val="HeadingBase"/>
    <w:next w:val="Normal"/>
    <w:link w:val="Heading6Char"/>
    <w:qFormat/>
    <w:rsid w:val="00CB1A92"/>
    <w:pPr>
      <w:spacing w:before="60"/>
      <w:outlineLvl w:val="5"/>
    </w:pPr>
    <w:rPr>
      <w:color w:val="918585"/>
      <w:sz w:val="20"/>
    </w:rPr>
  </w:style>
  <w:style w:type="paragraph" w:styleId="Heading7">
    <w:name w:val="heading 7"/>
    <w:basedOn w:val="Normal"/>
    <w:next w:val="Normal"/>
    <w:link w:val="Heading7Char"/>
    <w:qFormat/>
    <w:rsid w:val="00CB1A92"/>
    <w:pPr>
      <w:ind w:left="720"/>
      <w:outlineLvl w:val="6"/>
    </w:pPr>
    <w:rPr>
      <w:i/>
    </w:rPr>
  </w:style>
  <w:style w:type="paragraph" w:styleId="Heading8">
    <w:name w:val="heading 8"/>
    <w:basedOn w:val="Normal"/>
    <w:next w:val="Normal"/>
    <w:link w:val="Heading8Char"/>
    <w:qFormat/>
    <w:rsid w:val="00CB1A92"/>
    <w:pPr>
      <w:ind w:left="720"/>
      <w:outlineLvl w:val="7"/>
    </w:pPr>
    <w:rPr>
      <w:i/>
    </w:rPr>
  </w:style>
  <w:style w:type="paragraph" w:styleId="Heading9">
    <w:name w:val="heading 9"/>
    <w:basedOn w:val="Normal"/>
    <w:next w:val="Normal"/>
    <w:link w:val="Heading9Char"/>
    <w:qFormat/>
    <w:rsid w:val="00CB1A92"/>
    <w:pPr>
      <w:ind w:left="720"/>
      <w:outlineLvl w:val="8"/>
    </w:pPr>
    <w:rPr>
      <w:i/>
    </w:rPr>
  </w:style>
  <w:style w:type="character" w:default="1" w:styleId="DefaultParagraphFont">
    <w:name w:val="Default Paragraph Font"/>
    <w:uiPriority w:val="1"/>
    <w:unhideWhenUsed/>
    <w:rsid w:val="00CB1A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A92"/>
  </w:style>
  <w:style w:type="character" w:customStyle="1" w:styleId="Heading1Char">
    <w:name w:val="Heading 1 Char"/>
    <w:basedOn w:val="DefaultParagraphFont"/>
    <w:link w:val="Heading1"/>
    <w:rsid w:val="00CB1A92"/>
    <w:rPr>
      <w:rFonts w:ascii="Times New Roman" w:eastAsia="Times New Roman" w:hAnsi="Times New Roman" w:cs="Times New Roman"/>
      <w:b/>
      <w:sz w:val="32"/>
      <w:szCs w:val="20"/>
      <w:lang w:eastAsia="en-US"/>
    </w:rPr>
  </w:style>
  <w:style w:type="paragraph" w:styleId="BodyText">
    <w:name w:val="Body Text"/>
    <w:basedOn w:val="Normal"/>
    <w:link w:val="BodyTextChar"/>
    <w:rsid w:val="00CB1A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1A92"/>
    <w:rPr>
      <w:rFonts w:ascii="Times New Roman" w:eastAsia="Times New Roman" w:hAnsi="Times New Roman" w:cs="Times New Roman"/>
      <w:sz w:val="24"/>
      <w:lang w:val="en-US" w:eastAsia="en-US"/>
    </w:rPr>
  </w:style>
  <w:style w:type="paragraph" w:styleId="Footer">
    <w:name w:val="footer"/>
    <w:basedOn w:val="Normal"/>
    <w:link w:val="FooterChar"/>
    <w:rsid w:val="00CB1A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A92"/>
    <w:rPr>
      <w:rFonts w:ascii="Times New Roman" w:eastAsia="Times New Roman" w:hAnsi="Times New Roman" w:cs="Times New Roman"/>
      <w:sz w:val="16"/>
      <w:lang w:val="en-US" w:eastAsia="en-US"/>
    </w:rPr>
  </w:style>
  <w:style w:type="paragraph" w:styleId="ListBullet">
    <w:name w:val="List Bullet"/>
    <w:basedOn w:val="List"/>
    <w:rsid w:val="00CB1A92"/>
    <w:pPr>
      <w:numPr>
        <w:numId w:val="13"/>
      </w:numPr>
      <w:tabs>
        <w:tab w:val="clear" w:pos="340"/>
      </w:tabs>
      <w:spacing w:before="40" w:after="40"/>
    </w:pPr>
  </w:style>
  <w:style w:type="character" w:customStyle="1" w:styleId="SpecialBold">
    <w:name w:val="Special Bold"/>
    <w:basedOn w:val="DefaultParagraphFont"/>
    <w:rsid w:val="00CB1A92"/>
    <w:rPr>
      <w:b/>
      <w:spacing w:val="0"/>
    </w:rPr>
  </w:style>
  <w:style w:type="paragraph" w:styleId="ListBullet2">
    <w:name w:val="List Bullet 2"/>
    <w:basedOn w:val="List2"/>
    <w:rsid w:val="00CB1A92"/>
    <w:pPr>
      <w:numPr>
        <w:numId w:val="14"/>
      </w:numPr>
      <w:tabs>
        <w:tab w:val="clear" w:pos="680"/>
      </w:tabs>
    </w:pPr>
  </w:style>
  <w:style w:type="paragraph" w:styleId="Header">
    <w:name w:val="header"/>
    <w:basedOn w:val="Normal"/>
    <w:link w:val="HeaderChar"/>
    <w:rsid w:val="00CB1A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A9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B1A92"/>
    <w:rPr>
      <w:i/>
    </w:rPr>
  </w:style>
  <w:style w:type="paragraph" w:customStyle="1" w:styleId="SuperHeading">
    <w:name w:val="SuperHeading"/>
    <w:basedOn w:val="Normal"/>
    <w:rsid w:val="00CB1A92"/>
    <w:pPr>
      <w:spacing w:before="240" w:after="120"/>
      <w:outlineLvl w:val="0"/>
    </w:pPr>
    <w:rPr>
      <w:rFonts w:ascii="Times New Roman" w:hAnsi="Times New Roman"/>
      <w:b/>
      <w:sz w:val="28"/>
    </w:rPr>
  </w:style>
  <w:style w:type="paragraph" w:customStyle="1" w:styleId="AllowPageBreak">
    <w:name w:val="AllowPageBreak"/>
    <w:rsid w:val="00CB1A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1A92"/>
    <w:rPr>
      <w:b/>
      <w:i/>
      <w:u w:val="none"/>
    </w:rPr>
  </w:style>
  <w:style w:type="character" w:customStyle="1" w:styleId="Heading2Char">
    <w:name w:val="Heading 2 Char"/>
    <w:basedOn w:val="DefaultParagraphFont"/>
    <w:link w:val="Heading2"/>
    <w:rsid w:val="00CB1A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A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A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A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A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A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1A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1A92"/>
    <w:rPr>
      <w:rFonts w:ascii="Courier New" w:eastAsia="Times New Roman" w:hAnsi="Courier New" w:cs="Times New Roman"/>
      <w:i/>
      <w:szCs w:val="20"/>
      <w:lang w:val="en-US" w:eastAsia="en-US"/>
    </w:rPr>
  </w:style>
  <w:style w:type="paragraph" w:customStyle="1" w:styleId="HeadingBase">
    <w:name w:val="Heading Base"/>
    <w:rsid w:val="00CB1A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A92"/>
    <w:pPr>
      <w:tabs>
        <w:tab w:val="right" w:leader="dot" w:pos="9072"/>
      </w:tabs>
      <w:ind w:left="567"/>
    </w:pPr>
    <w:rPr>
      <w:szCs w:val="22"/>
    </w:rPr>
  </w:style>
  <w:style w:type="paragraph" w:customStyle="1" w:styleId="TOCBase">
    <w:name w:val="TOC Base"/>
    <w:rsid w:val="00CB1A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A92"/>
    <w:pPr>
      <w:tabs>
        <w:tab w:val="right" w:leader="dot" w:pos="9072"/>
      </w:tabs>
      <w:spacing w:before="40" w:after="40"/>
      <w:ind w:left="284"/>
    </w:pPr>
    <w:rPr>
      <w:rFonts w:ascii="Times New Roman" w:hAnsi="Times New Roman"/>
    </w:rPr>
  </w:style>
  <w:style w:type="paragraph" w:styleId="TOC1">
    <w:name w:val="toc 1"/>
    <w:basedOn w:val="TOCBase"/>
    <w:next w:val="Normal"/>
    <w:rsid w:val="00CB1A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1A92"/>
    <w:pPr>
      <w:spacing w:before="5040"/>
      <w:jc w:val="center"/>
    </w:pPr>
    <w:rPr>
      <w:sz w:val="48"/>
      <w:szCs w:val="72"/>
      <w:lang w:val="en-US"/>
    </w:rPr>
  </w:style>
  <w:style w:type="character" w:customStyle="1" w:styleId="TitleChar">
    <w:name w:val="Title Char"/>
    <w:basedOn w:val="DefaultParagraphFont"/>
    <w:link w:val="Title"/>
    <w:rsid w:val="00CB1A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A92"/>
    <w:pPr>
      <w:tabs>
        <w:tab w:val="left" w:pos="3600"/>
        <w:tab w:val="left" w:pos="3958"/>
      </w:tabs>
    </w:pPr>
  </w:style>
  <w:style w:type="paragraph" w:styleId="List">
    <w:name w:val="List"/>
    <w:basedOn w:val="BodyText"/>
    <w:next w:val="BodyText"/>
    <w:rsid w:val="00CB1A92"/>
    <w:pPr>
      <w:tabs>
        <w:tab w:val="left" w:pos="340"/>
      </w:tabs>
      <w:spacing w:before="60" w:after="60"/>
      <w:ind w:left="340" w:hanging="340"/>
    </w:pPr>
  </w:style>
  <w:style w:type="paragraph" w:customStyle="1" w:styleId="Note">
    <w:name w:val="Note"/>
    <w:basedOn w:val="BodyText"/>
    <w:rsid w:val="00CB1A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A92"/>
    <w:pPr>
      <w:framePr w:wrap="auto" w:hAnchor="text" w:y="6049"/>
    </w:pPr>
    <w:rPr>
      <w:color w:val="000000"/>
      <w:sz w:val="40"/>
    </w:rPr>
  </w:style>
  <w:style w:type="paragraph" w:customStyle="1" w:styleId="TOCTitle">
    <w:name w:val="TOCTitle"/>
    <w:basedOn w:val="Heading1"/>
    <w:rsid w:val="00CB1A92"/>
    <w:pPr>
      <w:spacing w:after="240"/>
      <w:jc w:val="center"/>
      <w:outlineLvl w:val="9"/>
    </w:pPr>
    <w:rPr>
      <w:caps/>
    </w:rPr>
  </w:style>
  <w:style w:type="paragraph" w:customStyle="1" w:styleId="Version">
    <w:name w:val="Version"/>
    <w:rsid w:val="00CB1A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1A92"/>
    <w:pPr>
      <w:keepNext w:val="0"/>
      <w:tabs>
        <w:tab w:val="right" w:pos="4176"/>
      </w:tabs>
      <w:ind w:left="198" w:hanging="198"/>
    </w:pPr>
    <w:rPr>
      <w:rFonts w:ascii="Garamond" w:hAnsi="Garamond"/>
    </w:rPr>
  </w:style>
  <w:style w:type="paragraph" w:styleId="IndexHeading">
    <w:name w:val="index heading"/>
    <w:basedOn w:val="Normal"/>
    <w:next w:val="Index1"/>
    <w:semiHidden/>
    <w:rsid w:val="00CB1A92"/>
    <w:pPr>
      <w:spacing w:before="120" w:after="120"/>
    </w:pPr>
    <w:rPr>
      <w:rFonts w:ascii="Arial" w:hAnsi="Arial"/>
      <w:b/>
      <w:color w:val="918585"/>
      <w:sz w:val="24"/>
    </w:rPr>
  </w:style>
  <w:style w:type="paragraph" w:customStyle="1" w:styleId="Chapter">
    <w:name w:val="Chapter"/>
    <w:basedOn w:val="Normal"/>
    <w:rsid w:val="00CB1A92"/>
    <w:pPr>
      <w:spacing w:before="240"/>
    </w:pPr>
    <w:rPr>
      <w:rFonts w:ascii="Times New Roman" w:hAnsi="Times New Roman"/>
      <w:smallCaps/>
      <w:spacing w:val="80"/>
      <w:sz w:val="28"/>
    </w:rPr>
  </w:style>
  <w:style w:type="paragraph" w:customStyle="1" w:styleId="InChapter">
    <w:name w:val="InChapter"/>
    <w:basedOn w:val="Heading3"/>
    <w:rsid w:val="00CB1A92"/>
    <w:pPr>
      <w:spacing w:after="240"/>
      <w:outlineLvl w:val="9"/>
    </w:pPr>
    <w:rPr>
      <w:noProof/>
    </w:rPr>
  </w:style>
  <w:style w:type="paragraph" w:styleId="Index2">
    <w:name w:val="index 2"/>
    <w:basedOn w:val="Normal"/>
    <w:next w:val="Normal"/>
    <w:semiHidden/>
    <w:rsid w:val="00CB1A92"/>
    <w:pPr>
      <w:tabs>
        <w:tab w:val="right" w:pos="4176"/>
      </w:tabs>
      <w:ind w:left="568" w:hanging="284"/>
    </w:pPr>
    <w:rPr>
      <w:rFonts w:ascii="Garamond" w:hAnsi="Garamond"/>
    </w:rPr>
  </w:style>
  <w:style w:type="paragraph" w:customStyle="1" w:styleId="Byline">
    <w:name w:val="Byline"/>
    <w:rsid w:val="00CB1A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A92"/>
    <w:pPr>
      <w:tabs>
        <w:tab w:val="clear" w:pos="3600"/>
        <w:tab w:val="clear" w:pos="3958"/>
      </w:tabs>
      <w:jc w:val="right"/>
    </w:pPr>
  </w:style>
  <w:style w:type="paragraph" w:styleId="Caption">
    <w:name w:val="caption"/>
    <w:basedOn w:val="BodyText"/>
    <w:next w:val="Normal"/>
    <w:qFormat/>
    <w:rsid w:val="00CB1A92"/>
    <w:pPr>
      <w:framePr w:w="2268" w:hSpace="181" w:vSpace="181" w:wrap="around" w:vAnchor="text" w:hAnchor="page" w:x="1135" w:y="285" w:anchorLock="1"/>
    </w:pPr>
    <w:rPr>
      <w:i/>
    </w:rPr>
  </w:style>
  <w:style w:type="paragraph" w:customStyle="1" w:styleId="MiniTOCTitle">
    <w:name w:val="MiniTOCTitle"/>
    <w:basedOn w:val="Heading4"/>
    <w:rsid w:val="00CB1A92"/>
    <w:pPr>
      <w:spacing w:before="240"/>
      <w:outlineLvl w:val="9"/>
    </w:pPr>
    <w:rPr>
      <w:noProof/>
      <w:sz w:val="24"/>
    </w:rPr>
  </w:style>
  <w:style w:type="paragraph" w:customStyle="1" w:styleId="MiniTOCItem">
    <w:name w:val="MiniTOCItem"/>
    <w:basedOn w:val="ListBullet"/>
    <w:rsid w:val="00CB1A92"/>
    <w:pPr>
      <w:numPr>
        <w:numId w:val="0"/>
      </w:numPr>
      <w:tabs>
        <w:tab w:val="right" w:leader="dot" w:pos="6521"/>
      </w:tabs>
      <w:spacing w:before="0" w:after="0"/>
    </w:pPr>
  </w:style>
  <w:style w:type="paragraph" w:customStyle="1" w:styleId="TOFTitle">
    <w:name w:val="TOFTitle"/>
    <w:basedOn w:val="TOCTitle"/>
    <w:rsid w:val="00CB1A92"/>
  </w:style>
  <w:style w:type="paragraph" w:styleId="TableofFigures">
    <w:name w:val="table of figures"/>
    <w:basedOn w:val="Normal"/>
    <w:next w:val="Normal"/>
    <w:semiHidden/>
    <w:rsid w:val="00CB1A92"/>
    <w:pPr>
      <w:tabs>
        <w:tab w:val="right" w:leader="dot" w:pos="9072"/>
      </w:tabs>
      <w:ind w:left="970" w:hanging="403"/>
    </w:pPr>
    <w:rPr>
      <w:rFonts w:ascii="Times New Roman" w:hAnsi="Times New Roman"/>
      <w:b/>
    </w:rPr>
  </w:style>
  <w:style w:type="paragraph" w:styleId="ListNumber">
    <w:name w:val="List Number"/>
    <w:basedOn w:val="List"/>
    <w:rsid w:val="00CB1A92"/>
    <w:pPr>
      <w:numPr>
        <w:numId w:val="11"/>
      </w:numPr>
    </w:pPr>
  </w:style>
  <w:style w:type="character" w:customStyle="1" w:styleId="WingdingSymbols">
    <w:name w:val="Wingding Symbols"/>
    <w:rsid w:val="00CB1A92"/>
    <w:rPr>
      <w:rFonts w:ascii="Wingdings" w:hAnsi="Wingdings"/>
    </w:rPr>
  </w:style>
  <w:style w:type="paragraph" w:customStyle="1" w:styleId="TableHeading">
    <w:name w:val="Table Heading"/>
    <w:basedOn w:val="HeadingBase"/>
    <w:rsid w:val="00CB1A92"/>
    <w:pPr>
      <w:keepLines/>
      <w:pBdr>
        <w:bottom w:val="single" w:sz="6" w:space="1" w:color="918585"/>
      </w:pBdr>
      <w:spacing w:before="240"/>
    </w:pPr>
  </w:style>
  <w:style w:type="character" w:customStyle="1" w:styleId="HotSpot">
    <w:name w:val="HotSpot"/>
    <w:rsid w:val="00CB1A92"/>
    <w:rPr>
      <w:color w:val="0033CC"/>
      <w:u w:val="none"/>
    </w:rPr>
  </w:style>
  <w:style w:type="paragraph" w:customStyle="1" w:styleId="BodyTextRight">
    <w:name w:val="Body Text Right"/>
    <w:basedOn w:val="BodyText"/>
    <w:rsid w:val="00CB1A92"/>
    <w:pPr>
      <w:spacing w:before="0" w:after="0"/>
      <w:jc w:val="right"/>
    </w:pPr>
  </w:style>
  <w:style w:type="paragraph" w:styleId="Index3">
    <w:name w:val="index 3"/>
    <w:basedOn w:val="ListNumber2"/>
    <w:next w:val="Normal"/>
    <w:semiHidden/>
    <w:rsid w:val="00CB1A92"/>
    <w:pPr>
      <w:numPr>
        <w:numId w:val="0"/>
      </w:numPr>
      <w:tabs>
        <w:tab w:val="right" w:leader="dot" w:pos="4176"/>
      </w:tabs>
    </w:pPr>
  </w:style>
  <w:style w:type="paragraph" w:styleId="ListNumber2">
    <w:name w:val="List Number 2"/>
    <w:basedOn w:val="List2"/>
    <w:rsid w:val="00CB1A92"/>
    <w:pPr>
      <w:numPr>
        <w:numId w:val="10"/>
      </w:numPr>
      <w:tabs>
        <w:tab w:val="clear" w:pos="1060"/>
      </w:tabs>
    </w:pPr>
  </w:style>
  <w:style w:type="paragraph" w:customStyle="1" w:styleId="MarginNote">
    <w:name w:val="Margin Note"/>
    <w:basedOn w:val="BodyText"/>
    <w:rsid w:val="00CB1A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A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A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1A92"/>
    <w:rPr>
      <w:sz w:val="32"/>
    </w:rPr>
  </w:style>
  <w:style w:type="paragraph" w:customStyle="1" w:styleId="HeadingProcedure">
    <w:name w:val="Heading Procedure"/>
    <w:basedOn w:val="HeadingBase"/>
    <w:next w:val="Normal"/>
    <w:rsid w:val="00CB1A92"/>
    <w:pPr>
      <w:tabs>
        <w:tab w:val="left" w:pos="0"/>
      </w:tabs>
      <w:spacing w:before="120" w:after="60"/>
    </w:pPr>
    <w:rPr>
      <w:i/>
      <w:color w:val="918585"/>
      <w:sz w:val="22"/>
    </w:rPr>
  </w:style>
  <w:style w:type="paragraph" w:customStyle="1" w:styleId="TableBodyText">
    <w:name w:val="Table Body Text"/>
    <w:basedOn w:val="BodyText"/>
    <w:rsid w:val="00CB1A92"/>
    <w:pPr>
      <w:spacing w:before="60" w:after="60"/>
    </w:pPr>
  </w:style>
  <w:style w:type="paragraph" w:styleId="ListContinue">
    <w:name w:val="List Continue"/>
    <w:basedOn w:val="List"/>
    <w:rsid w:val="00CB1A92"/>
    <w:pPr>
      <w:ind w:firstLine="0"/>
    </w:pPr>
  </w:style>
  <w:style w:type="paragraph" w:customStyle="1" w:styleId="ListNote">
    <w:name w:val="List Note"/>
    <w:basedOn w:val="List"/>
    <w:rsid w:val="00CB1A92"/>
    <w:pPr>
      <w:pBdr>
        <w:top w:val="single" w:sz="6" w:space="2" w:color="918585"/>
        <w:bottom w:val="single" w:sz="6" w:space="2" w:color="918585"/>
      </w:pBdr>
      <w:tabs>
        <w:tab w:val="left" w:pos="1021"/>
      </w:tabs>
      <w:ind w:firstLine="0"/>
    </w:pPr>
  </w:style>
  <w:style w:type="paragraph" w:customStyle="1" w:styleId="Warning">
    <w:name w:val="Warning"/>
    <w:basedOn w:val="BodyText"/>
    <w:rsid w:val="00CB1A92"/>
    <w:pPr>
      <w:shd w:val="clear" w:color="auto" w:fill="D9D9D9"/>
      <w:tabs>
        <w:tab w:val="left" w:pos="992"/>
      </w:tabs>
      <w:ind w:left="119" w:right="119"/>
    </w:pPr>
    <w:rPr>
      <w:sz w:val="20"/>
    </w:rPr>
  </w:style>
  <w:style w:type="paragraph" w:customStyle="1" w:styleId="MarginIcons">
    <w:name w:val="Margin Icons"/>
    <w:basedOn w:val="BodyText"/>
    <w:rsid w:val="00CB1A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A92"/>
    <w:rPr>
      <w:rFonts w:ascii="Courier New" w:hAnsi="Courier New"/>
    </w:rPr>
  </w:style>
  <w:style w:type="paragraph" w:customStyle="1" w:styleId="NoteBullet">
    <w:name w:val="Note Bullet"/>
    <w:basedOn w:val="Note"/>
    <w:rsid w:val="00CB1A92"/>
    <w:pPr>
      <w:tabs>
        <w:tab w:val="clear" w:pos="680"/>
      </w:tabs>
      <w:spacing w:before="60" w:after="60"/>
    </w:pPr>
  </w:style>
  <w:style w:type="paragraph" w:customStyle="1" w:styleId="SubHeading2">
    <w:name w:val="SubHeading2"/>
    <w:basedOn w:val="HeadingBase"/>
    <w:rsid w:val="00CB1A92"/>
    <w:pPr>
      <w:spacing w:before="240" w:after="60"/>
    </w:pPr>
    <w:rPr>
      <w:sz w:val="20"/>
    </w:rPr>
  </w:style>
  <w:style w:type="paragraph" w:customStyle="1" w:styleId="SubHeading1">
    <w:name w:val="SubHeading1"/>
    <w:basedOn w:val="HeadingBase"/>
    <w:rsid w:val="00CB1A92"/>
    <w:pPr>
      <w:spacing w:before="240" w:after="60"/>
    </w:pPr>
    <w:rPr>
      <w:color w:val="918585"/>
      <w:sz w:val="22"/>
    </w:rPr>
  </w:style>
  <w:style w:type="paragraph" w:customStyle="1" w:styleId="SideHeading">
    <w:name w:val="Side Heading"/>
    <w:basedOn w:val="HeadingBase"/>
    <w:rsid w:val="00CB1A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A92"/>
    <w:pPr>
      <w:numPr>
        <w:numId w:val="12"/>
      </w:numPr>
    </w:pPr>
  </w:style>
  <w:style w:type="paragraph" w:styleId="PlainText">
    <w:name w:val="Plain Text"/>
    <w:basedOn w:val="Normal"/>
    <w:link w:val="PlainTextChar"/>
    <w:rsid w:val="00CB1A92"/>
    <w:rPr>
      <w:sz w:val="20"/>
    </w:rPr>
  </w:style>
  <w:style w:type="character" w:customStyle="1" w:styleId="PlainTextChar">
    <w:name w:val="Plain Text Char"/>
    <w:basedOn w:val="DefaultParagraphFont"/>
    <w:link w:val="PlainText"/>
    <w:rsid w:val="00CB1A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1A92"/>
    <w:rPr>
      <w:b/>
      <w:smallCaps/>
    </w:rPr>
  </w:style>
  <w:style w:type="paragraph" w:customStyle="1" w:styleId="TableListNumber">
    <w:name w:val="Table List Number"/>
    <w:basedOn w:val="ListNumber"/>
    <w:rsid w:val="00CB1A92"/>
    <w:pPr>
      <w:numPr>
        <w:numId w:val="0"/>
      </w:numPr>
    </w:pPr>
  </w:style>
  <w:style w:type="paragraph" w:styleId="TOC4">
    <w:name w:val="toc 4"/>
    <w:basedOn w:val="TOCBase"/>
    <w:next w:val="Normal"/>
    <w:semiHidden/>
    <w:rsid w:val="00CB1A92"/>
    <w:pPr>
      <w:tabs>
        <w:tab w:val="right" w:leader="dot" w:pos="9071"/>
      </w:tabs>
      <w:ind w:left="1701"/>
    </w:pPr>
  </w:style>
  <w:style w:type="paragraph" w:customStyle="1" w:styleId="ListAlpha">
    <w:name w:val="List Alpha"/>
    <w:basedOn w:val="List"/>
    <w:rsid w:val="00CB1A92"/>
    <w:pPr>
      <w:numPr>
        <w:numId w:val="9"/>
      </w:numPr>
    </w:pPr>
  </w:style>
  <w:style w:type="paragraph" w:customStyle="1" w:styleId="ListAlpha2">
    <w:name w:val="List Alpha 2"/>
    <w:basedOn w:val="List2"/>
    <w:rsid w:val="00CB1A92"/>
    <w:pPr>
      <w:numPr>
        <w:numId w:val="8"/>
      </w:numPr>
    </w:pPr>
  </w:style>
  <w:style w:type="paragraph" w:styleId="List2">
    <w:name w:val="List 2"/>
    <w:basedOn w:val="BodyText"/>
    <w:rsid w:val="00CB1A92"/>
    <w:pPr>
      <w:tabs>
        <w:tab w:val="left" w:pos="680"/>
      </w:tabs>
      <w:spacing w:before="60" w:after="60"/>
      <w:ind w:left="680" w:hanging="340"/>
    </w:pPr>
  </w:style>
  <w:style w:type="paragraph" w:styleId="List3">
    <w:name w:val="List 3"/>
    <w:basedOn w:val="BodyText"/>
    <w:rsid w:val="00CB1A92"/>
    <w:pPr>
      <w:tabs>
        <w:tab w:val="left" w:pos="1021"/>
      </w:tabs>
      <w:spacing w:before="60" w:after="60"/>
      <w:ind w:left="1020" w:hanging="340"/>
    </w:pPr>
  </w:style>
  <w:style w:type="paragraph" w:styleId="List4">
    <w:name w:val="List 4"/>
    <w:basedOn w:val="BodyText"/>
    <w:rsid w:val="00CB1A92"/>
    <w:pPr>
      <w:tabs>
        <w:tab w:val="left" w:pos="1361"/>
      </w:tabs>
      <w:spacing w:before="60" w:after="60"/>
      <w:ind w:left="1361" w:hanging="340"/>
    </w:pPr>
  </w:style>
  <w:style w:type="paragraph" w:styleId="List5">
    <w:name w:val="List 5"/>
    <w:basedOn w:val="BodyText"/>
    <w:rsid w:val="00CB1A92"/>
    <w:pPr>
      <w:tabs>
        <w:tab w:val="left" w:pos="1701"/>
      </w:tabs>
      <w:spacing w:before="60" w:after="60"/>
      <w:ind w:left="1701" w:hanging="340"/>
    </w:pPr>
  </w:style>
  <w:style w:type="paragraph" w:styleId="ListBullet3">
    <w:name w:val="List Bullet 3"/>
    <w:basedOn w:val="List3"/>
    <w:rsid w:val="00CB1A92"/>
    <w:pPr>
      <w:numPr>
        <w:numId w:val="15"/>
      </w:numPr>
      <w:tabs>
        <w:tab w:val="clear" w:pos="1021"/>
      </w:tabs>
      <w:ind w:left="1037" w:hanging="357"/>
    </w:pPr>
  </w:style>
  <w:style w:type="paragraph" w:styleId="ListBullet4">
    <w:name w:val="List Bullet 4"/>
    <w:basedOn w:val="List4"/>
    <w:rsid w:val="00CB1A92"/>
    <w:pPr>
      <w:numPr>
        <w:numId w:val="3"/>
      </w:numPr>
    </w:pPr>
  </w:style>
  <w:style w:type="paragraph" w:styleId="ListBullet5">
    <w:name w:val="List Bullet 5"/>
    <w:basedOn w:val="List5"/>
    <w:rsid w:val="00CB1A92"/>
    <w:pPr>
      <w:numPr>
        <w:numId w:val="4"/>
      </w:numPr>
    </w:pPr>
  </w:style>
  <w:style w:type="paragraph" w:styleId="ListContinue2">
    <w:name w:val="List Continue 2"/>
    <w:basedOn w:val="List2"/>
    <w:rsid w:val="00CB1A92"/>
    <w:pPr>
      <w:ind w:firstLine="0"/>
    </w:pPr>
  </w:style>
  <w:style w:type="paragraph" w:styleId="ListContinue3">
    <w:name w:val="List Continue 3"/>
    <w:basedOn w:val="List3"/>
    <w:rsid w:val="00CB1A92"/>
    <w:pPr>
      <w:ind w:left="1021" w:firstLine="0"/>
    </w:pPr>
  </w:style>
  <w:style w:type="paragraph" w:styleId="ListContinue4">
    <w:name w:val="List Continue 4"/>
    <w:basedOn w:val="List4"/>
    <w:rsid w:val="00CB1A92"/>
    <w:pPr>
      <w:ind w:firstLine="0"/>
    </w:pPr>
  </w:style>
  <w:style w:type="paragraph" w:styleId="ListContinue5">
    <w:name w:val="List Continue 5"/>
    <w:basedOn w:val="List5"/>
    <w:rsid w:val="00CB1A92"/>
    <w:pPr>
      <w:ind w:firstLine="0"/>
    </w:pPr>
  </w:style>
  <w:style w:type="paragraph" w:styleId="ListNumber3">
    <w:name w:val="List Number 3"/>
    <w:basedOn w:val="List3"/>
    <w:rsid w:val="00CB1A92"/>
    <w:pPr>
      <w:numPr>
        <w:numId w:val="5"/>
      </w:numPr>
    </w:pPr>
  </w:style>
  <w:style w:type="paragraph" w:styleId="ListNumber4">
    <w:name w:val="List Number 4"/>
    <w:basedOn w:val="List4"/>
    <w:rsid w:val="00CB1A92"/>
    <w:pPr>
      <w:numPr>
        <w:numId w:val="6"/>
      </w:numPr>
    </w:pPr>
  </w:style>
  <w:style w:type="paragraph" w:styleId="ListNumber5">
    <w:name w:val="List Number 5"/>
    <w:basedOn w:val="List5"/>
    <w:rsid w:val="00CB1A92"/>
    <w:pPr>
      <w:numPr>
        <w:numId w:val="7"/>
      </w:numPr>
    </w:pPr>
  </w:style>
  <w:style w:type="paragraph" w:styleId="BlockText">
    <w:name w:val="Block Text"/>
    <w:basedOn w:val="Normal"/>
    <w:rsid w:val="00CB1A92"/>
    <w:pPr>
      <w:spacing w:after="120"/>
      <w:ind w:left="1440" w:right="1440"/>
    </w:pPr>
  </w:style>
  <w:style w:type="character" w:customStyle="1" w:styleId="Subscript">
    <w:name w:val="Subscript"/>
    <w:basedOn w:val="DefaultParagraphFont"/>
    <w:rsid w:val="00CB1A92"/>
    <w:rPr>
      <w:sz w:val="16"/>
      <w:vertAlign w:val="subscript"/>
    </w:rPr>
  </w:style>
  <w:style w:type="character" w:customStyle="1" w:styleId="Superscript">
    <w:name w:val="Superscript"/>
    <w:basedOn w:val="DefaultParagraphFont"/>
    <w:rsid w:val="00CB1A92"/>
    <w:rPr>
      <w:sz w:val="16"/>
      <w:vertAlign w:val="superscript"/>
    </w:rPr>
  </w:style>
  <w:style w:type="character" w:customStyle="1" w:styleId="Symbols">
    <w:name w:val="Symbols"/>
    <w:basedOn w:val="DefaultParagraphFont"/>
    <w:rsid w:val="00CB1A92"/>
    <w:rPr>
      <w:rFonts w:ascii="Symbol" w:hAnsi="Symbol"/>
    </w:rPr>
  </w:style>
  <w:style w:type="character" w:customStyle="1" w:styleId="MenuOptions">
    <w:name w:val="Menu Options"/>
    <w:basedOn w:val="DefaultParagraphFont"/>
    <w:rsid w:val="00CB1A92"/>
    <w:rPr>
      <w:rFonts w:ascii="Arial Narrow" w:hAnsi="Arial Narrow"/>
      <w:smallCaps/>
    </w:rPr>
  </w:style>
  <w:style w:type="character" w:customStyle="1" w:styleId="Buttons">
    <w:name w:val="Buttons"/>
    <w:basedOn w:val="DefaultParagraphFont"/>
    <w:rsid w:val="00CB1A92"/>
    <w:rPr>
      <w:b/>
    </w:rPr>
  </w:style>
  <w:style w:type="character" w:customStyle="1" w:styleId="Underlined">
    <w:name w:val="Underlined"/>
    <w:basedOn w:val="DefaultParagraphFont"/>
    <w:rsid w:val="00CB1A92"/>
    <w:rPr>
      <w:u w:val="single"/>
    </w:rPr>
  </w:style>
  <w:style w:type="paragraph" w:customStyle="1" w:styleId="TableBodyTextRight">
    <w:name w:val="Table Body Text Right"/>
    <w:basedOn w:val="TableBodyText"/>
    <w:rsid w:val="00CB1A92"/>
    <w:pPr>
      <w:widowControl w:val="0"/>
      <w:autoSpaceDE w:val="0"/>
      <w:autoSpaceDN w:val="0"/>
      <w:adjustRightInd w:val="0"/>
      <w:jc w:val="right"/>
    </w:pPr>
    <w:rPr>
      <w:rFonts w:cs="Arial"/>
      <w:szCs w:val="18"/>
    </w:rPr>
  </w:style>
  <w:style w:type="paragraph" w:customStyle="1" w:styleId="CopyrightText">
    <w:name w:val="Copyright Text"/>
    <w:basedOn w:val="BodyText"/>
    <w:rsid w:val="00CB1A92"/>
    <w:rPr>
      <w:sz w:val="18"/>
    </w:rPr>
  </w:style>
  <w:style w:type="paragraph" w:customStyle="1" w:styleId="BodySmallRight">
    <w:name w:val="Body Small Right"/>
    <w:basedOn w:val="BodyTextRight"/>
    <w:rsid w:val="00CB1A92"/>
    <w:rPr>
      <w:sz w:val="18"/>
      <w:szCs w:val="18"/>
    </w:rPr>
  </w:style>
  <w:style w:type="paragraph" w:customStyle="1" w:styleId="MarginEdition">
    <w:name w:val="Margin Edition"/>
    <w:basedOn w:val="MarginNote"/>
    <w:rsid w:val="00CB1A92"/>
    <w:pPr>
      <w:spacing w:before="0" w:after="0"/>
    </w:pPr>
    <w:rPr>
      <w:rFonts w:ascii="Times New Roman" w:hAnsi="Times New Roman"/>
      <w:color w:val="999999"/>
    </w:rPr>
  </w:style>
  <w:style w:type="paragraph" w:customStyle="1" w:styleId="Spacer">
    <w:name w:val="Spacer"/>
    <w:basedOn w:val="Normal"/>
    <w:rsid w:val="00CB1A92"/>
    <w:rPr>
      <w:sz w:val="2"/>
      <w:szCs w:val="2"/>
    </w:rPr>
  </w:style>
  <w:style w:type="character" w:customStyle="1" w:styleId="Small">
    <w:name w:val="Small"/>
    <w:basedOn w:val="DefaultParagraphFont"/>
    <w:rsid w:val="00CB1A92"/>
    <w:rPr>
      <w:sz w:val="16"/>
    </w:rPr>
  </w:style>
  <w:style w:type="paragraph" w:customStyle="1" w:styleId="WideTable">
    <w:name w:val="Wide Table"/>
    <w:basedOn w:val="Normal"/>
    <w:rsid w:val="00CB1A92"/>
    <w:pPr>
      <w:ind w:left="-1418"/>
    </w:pPr>
    <w:rPr>
      <w:sz w:val="2"/>
      <w:szCs w:val="2"/>
    </w:rPr>
  </w:style>
  <w:style w:type="character" w:styleId="PageNumber">
    <w:name w:val="page number"/>
    <w:basedOn w:val="DefaultParagraphFont"/>
    <w:rsid w:val="00CB1A92"/>
  </w:style>
  <w:style w:type="paragraph" w:styleId="Quote">
    <w:name w:val="Quote"/>
    <w:basedOn w:val="Heading1"/>
    <w:link w:val="QuoteChar"/>
    <w:qFormat/>
    <w:rsid w:val="00CB1A92"/>
    <w:rPr>
      <w:b w:val="0"/>
      <w:sz w:val="72"/>
      <w:szCs w:val="72"/>
      <w:lang w:val="en-NZ"/>
    </w:rPr>
  </w:style>
  <w:style w:type="character" w:customStyle="1" w:styleId="QuoteChar">
    <w:name w:val="Quote Char"/>
    <w:basedOn w:val="DefaultParagraphFont"/>
    <w:link w:val="Quote"/>
    <w:rsid w:val="00CB1A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A92"/>
    <w:pPr>
      <w:pageBreakBefore/>
    </w:pPr>
  </w:style>
  <w:style w:type="paragraph" w:customStyle="1" w:styleId="Border">
    <w:name w:val="Border"/>
    <w:basedOn w:val="Normal"/>
    <w:qFormat/>
    <w:rsid w:val="00CB1A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A92"/>
    <w:rPr>
      <w:b/>
      <w:bCs/>
      <w:i/>
      <w:iCs/>
      <w:color w:val="auto"/>
    </w:rPr>
  </w:style>
  <w:style w:type="paragraph" w:styleId="IntenseQuote">
    <w:name w:val="Intense Quote"/>
    <w:basedOn w:val="Normal"/>
    <w:next w:val="Normal"/>
    <w:link w:val="IntenseQuoteChar"/>
    <w:uiPriority w:val="30"/>
    <w:qFormat/>
    <w:rsid w:val="00CB1A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A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1A92"/>
    <w:rPr>
      <w:smallCaps/>
      <w:color w:val="auto"/>
      <w:u w:val="single"/>
    </w:rPr>
  </w:style>
  <w:style w:type="character" w:styleId="IntenseReference">
    <w:name w:val="Intense Reference"/>
    <w:basedOn w:val="DefaultParagraphFont"/>
    <w:uiPriority w:val="32"/>
    <w:qFormat/>
    <w:rsid w:val="00CB1A92"/>
    <w:rPr>
      <w:b/>
      <w:bCs/>
      <w:smallCaps/>
      <w:color w:val="auto"/>
      <w:spacing w:val="5"/>
      <w:u w:val="single"/>
    </w:rPr>
  </w:style>
  <w:style w:type="paragraph" w:customStyle="1" w:styleId="2ColumnHeading">
    <w:name w:val="2Column Heading"/>
    <w:basedOn w:val="BodyText"/>
    <w:qFormat/>
    <w:rsid w:val="00CB1A92"/>
    <w:pPr>
      <w:spacing w:after="60"/>
      <w:ind w:left="-2268"/>
    </w:pPr>
    <w:rPr>
      <w:b/>
    </w:rPr>
  </w:style>
  <w:style w:type="paragraph" w:customStyle="1" w:styleId="Heading1TOC">
    <w:name w:val="Heading1 TOC"/>
    <w:basedOn w:val="Normal"/>
    <w:qFormat/>
    <w:rsid w:val="00CB1A92"/>
    <w:pPr>
      <w:spacing w:before="240" w:after="120"/>
    </w:pPr>
    <w:rPr>
      <w:rFonts w:ascii="Times New Roman" w:hAnsi="Times New Roman"/>
      <w:b/>
      <w:sz w:val="32"/>
    </w:rPr>
  </w:style>
  <w:style w:type="paragraph" w:customStyle="1" w:styleId="Heading2TOC">
    <w:name w:val="Heading2 TOC"/>
    <w:basedOn w:val="Normal"/>
    <w:qFormat/>
    <w:rsid w:val="00CB1A92"/>
    <w:pPr>
      <w:spacing w:before="240" w:after="60"/>
    </w:pPr>
    <w:rPr>
      <w:rFonts w:ascii="Times New Roman" w:hAnsi="Times New Roman"/>
      <w:b/>
      <w:sz w:val="28"/>
    </w:rPr>
  </w:style>
  <w:style w:type="character" w:customStyle="1" w:styleId="Underline">
    <w:name w:val="Underline"/>
    <w:basedOn w:val="DefaultParagraphFont"/>
    <w:qFormat/>
    <w:rsid w:val="00CB1A92"/>
    <w:rPr>
      <w:u w:val="single"/>
    </w:rPr>
  </w:style>
  <w:style w:type="paragraph" w:styleId="BalloonText">
    <w:name w:val="Balloon Text"/>
    <w:basedOn w:val="Normal"/>
    <w:link w:val="BalloonTextChar"/>
    <w:rsid w:val="00CB1A92"/>
    <w:rPr>
      <w:rFonts w:ascii="Tahoma" w:hAnsi="Tahoma" w:cs="Tahoma"/>
      <w:sz w:val="16"/>
      <w:szCs w:val="16"/>
    </w:rPr>
  </w:style>
  <w:style w:type="character" w:customStyle="1" w:styleId="BalloonTextChar">
    <w:name w:val="Balloon Text Char"/>
    <w:basedOn w:val="DefaultParagraphFont"/>
    <w:link w:val="BalloonText"/>
    <w:rsid w:val="00CB1A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1A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1A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1278</Words>
  <Characters>8220</Characters>
  <Application>Microsoft Office Word</Application>
  <DocSecurity>0</DocSecurity>
  <Lines>311</Lines>
  <Paragraphs>218</Paragraphs>
  <ScaleCrop>false</ScaleCrop>
  <Company>Author-it Software Corporation Ltd.</Company>
  <LinksUpToDate>false</LinksUpToDate>
  <CharactersWithSpaces>9431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CULEVP402A Design and develop interpretive displays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2012-05-26T15:20:00Z</dcterms:created>
  <dcterms:modified xsi:type="dcterms:W3CDTF">2012-05-26T15:20:00Z</dcterms:modified>
</cp:coreProperties>
</file>