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81A" w:rsidP="00B2681A">
      <w:pPr>
        <w:pStyle w:val="Title"/>
      </w:pPr>
      <w:r>
        <w:fldChar w:fldCharType="begin"/>
      </w:r>
      <w:r>
        <w:instrText xml:space="preserve"> TITLE   \* MERGEFORMAT </w:instrText>
      </w:r>
      <w:r>
        <w:fldChar w:fldCharType="separate"/>
      </w:r>
      <w:r>
        <w:t>CULMS502C Acquire/dispose of cultural material</w:t>
      </w:r>
      <w:r>
        <w:fldChar w:fldCharType="end"/>
      </w:r>
    </w:p>
    <w:p w:rsidR="00B2681A" w:rsidP="00B2681A">
      <w:pPr>
        <w:pStyle w:val="Version"/>
        <w:sectPr w:rsidSect="00C94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44A6" w:rsidP="00C944A6">
      <w:pPr>
        <w:pStyle w:val="SuperHeading"/>
      </w:pPr>
      <w:r w:rsidRPr="00C944A6">
        <w:t>CULMS502C Acquire/dispose of cultural material</w:t>
      </w:r>
    </w:p>
    <w:p w:rsidR="00000000" w:rsidRPr="00C944A6" w:rsidP="00C944A6">
      <w:pPr>
        <w:pStyle w:val="Heading1"/>
      </w:pPr>
      <w:bookmarkStart w:id="1" w:name="O_72831"/>
      <w:bookmarkEnd w:id="1"/>
      <w:r w:rsidRPr="00C944A6">
        <w:t>Modification History</w:t>
      </w:r>
    </w:p>
    <w:p w:rsidR="00000000" w:rsidRPr="00C944A6" w:rsidP="00C944A6">
      <w:pPr>
        <w:pStyle w:val="BodyText"/>
      </w:pPr>
      <w:r w:rsidRPr="00C944A6">
        <w:t>Not applicable.</w:t>
      </w:r>
    </w:p>
    <w:p w:rsidR="00000000" w:rsidRPr="00C944A6" w:rsidP="00C944A6">
      <w:pPr>
        <w:pStyle w:val="AllowPageBreak"/>
      </w:pPr>
    </w:p>
    <w:p w:rsidR="00000000" w:rsidRPr="00C944A6" w:rsidP="00C944A6">
      <w:pPr>
        <w:pStyle w:val="Heading1"/>
      </w:pPr>
      <w:bookmarkStart w:id="2" w:name="O_72832"/>
      <w:bookmarkEnd w:id="2"/>
      <w:r w:rsidRPr="00C944A6">
        <w:t>Unit Descriptor</w:t>
      </w:r>
    </w:p>
    <w:tbl>
      <w:tblPr>
        <w:tblW w:w="0" w:type="auto"/>
        <w:tblLayout w:type="fixed"/>
        <w:tblCellMar>
          <w:left w:w="62" w:type="dxa"/>
          <w:right w:w="62" w:type="dxa"/>
        </w:tblCellMar>
        <w:tblLook w:val="0000"/>
      </w:tblPr>
      <w:tblGrid>
        <w:gridCol w:w="2694"/>
        <w:gridCol w:w="5811"/>
      </w:tblGrid>
      <w:tr w:rsidTr="00B2681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This unit describes the performance outcomes, skills and knowledge required to acquire and dispose of cultural material in accordance with organisational collection managem</w:t>
            </w:r>
            <w:r w:rsidRPr="00C944A6">
              <w:t xml:space="preserve">ent policies. </w:t>
            </w:r>
          </w:p>
          <w:p w:rsidR="00000000" w:rsidRPr="00C944A6" w:rsidP="00C944A6">
            <w:pPr>
              <w:pStyle w:val="BodyText"/>
            </w:pPr>
            <w:r w:rsidRPr="00C944A6">
              <w:t>No licensing, legislative, regulatory or certification requirements apply to this unit at the time of endorsement.</w:t>
            </w: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3" w:name="O_72833"/>
      <w:bookmarkEnd w:id="3"/>
      <w:r w:rsidRPr="00C944A6">
        <w:t>Application of the Unit</w:t>
      </w:r>
    </w:p>
    <w:tbl>
      <w:tblPr>
        <w:tblW w:w="0" w:type="auto"/>
        <w:tblLayout w:type="fixed"/>
        <w:tblCellMar>
          <w:left w:w="62" w:type="dxa"/>
          <w:right w:w="62" w:type="dxa"/>
        </w:tblCellMar>
        <w:tblLook w:val="0000"/>
      </w:tblPr>
      <w:tblGrid>
        <w:gridCol w:w="2694"/>
        <w:gridCol w:w="5811"/>
      </w:tblGrid>
      <w:tr w:rsidTr="00B2681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This unit requires application of significant judgement and s</w:t>
            </w:r>
            <w:r w:rsidRPr="00C944A6">
              <w:t>pecialised knowledge in relation to the assessment of cultural material for acquisition or disposal.</w:t>
            </w:r>
          </w:p>
          <w:p w:rsidR="00000000" w:rsidRPr="00C944A6" w:rsidP="00C944A6">
            <w:pPr>
              <w:pStyle w:val="BodyText"/>
            </w:pPr>
            <w:r w:rsidRPr="00C944A6">
              <w:t>Work is carried out autonomously but in consultation with stakeholders. In larger institutions, specialised curatorial staff may undertake this role. In sm</w:t>
            </w:r>
            <w:r w:rsidRPr="00C944A6">
              <w:t xml:space="preserve">aller organisations, the role may be undertaken by an individual with broader management responsibilities, by committees and boards of management or combinations of different personnel. </w:t>
            </w: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4" w:name="O_72834"/>
      <w:bookmarkEnd w:id="4"/>
      <w:r w:rsidRPr="00C944A6">
        <w:t>Licensing/Regulatory Information</w:t>
      </w:r>
    </w:p>
    <w:p w:rsidR="00000000" w:rsidRPr="00C944A6" w:rsidP="00C944A6">
      <w:pPr>
        <w:pStyle w:val="BodyText"/>
      </w:pPr>
      <w:r w:rsidRPr="00C944A6">
        <w:t>Not applicable.</w:t>
      </w:r>
    </w:p>
    <w:p w:rsidR="00000000" w:rsidRPr="00C944A6" w:rsidP="00C944A6">
      <w:pPr>
        <w:pStyle w:val="AllowPageBreak"/>
      </w:pPr>
    </w:p>
    <w:p w:rsidR="00000000" w:rsidRPr="00C944A6" w:rsidP="00C944A6">
      <w:pPr>
        <w:pStyle w:val="Heading1"/>
      </w:pPr>
      <w:bookmarkStart w:id="5" w:name="O_72836"/>
      <w:bookmarkEnd w:id="5"/>
      <w:r w:rsidRPr="00C944A6">
        <w:t>Pre-Requisites</w:t>
      </w:r>
    </w:p>
    <w:tbl>
      <w:tblPr>
        <w:tblW w:w="0" w:type="auto"/>
        <w:tblLayout w:type="fixed"/>
        <w:tblCellMar>
          <w:left w:w="62" w:type="dxa"/>
          <w:right w:w="62" w:type="dxa"/>
        </w:tblCellMar>
        <w:tblLook w:val="0000"/>
      </w:tblPr>
      <w:tblGrid>
        <w:gridCol w:w="2694"/>
        <w:gridCol w:w="5811"/>
      </w:tblGrid>
      <w:tr w:rsidTr="00B2681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Prerequisite units</w:t>
            </w:r>
            <w:r w:rsidRPr="00C944A6">
              <w:t xml:space="preserve"> </w:t>
            </w:r>
          </w:p>
        </w:tc>
        <w:tc>
          <w:tcPr>
            <w:tcW w:w="5811"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Nil</w:t>
            </w: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6" w:name="O_72835"/>
      <w:bookmarkEnd w:id="6"/>
      <w:r w:rsidRPr="00C944A6">
        <w:t>Employability Skills Information</w:t>
      </w:r>
    </w:p>
    <w:tbl>
      <w:tblPr>
        <w:tblW w:w="0" w:type="auto"/>
        <w:tblLayout w:type="fixed"/>
        <w:tblCellMar>
          <w:left w:w="62" w:type="dxa"/>
          <w:right w:w="62" w:type="dxa"/>
        </w:tblCellMar>
        <w:tblLook w:val="0000"/>
      </w:tblPr>
      <w:tblGrid>
        <w:gridCol w:w="2694"/>
        <w:gridCol w:w="5811"/>
      </w:tblGrid>
      <w:tr w:rsidTr="00B2681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The required outcomes described in this unit of competency contain applicable facets of Employability Skills. The Employability Skil</w:t>
            </w:r>
            <w:r w:rsidRPr="00C944A6">
              <w:t>ls Summary for the qualification in which this unit of competency is packaged, will assist in identifying Employability Skills requirements.</w:t>
            </w: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7" w:name="O_72837"/>
      <w:bookmarkEnd w:id="7"/>
      <w:r w:rsidRPr="00C944A6">
        <w:t>Elements and Performance Criteria Pre-Content</w:t>
      </w:r>
    </w:p>
    <w:tbl>
      <w:tblPr>
        <w:tblW w:w="0" w:type="auto"/>
        <w:tblLayout w:type="fixed"/>
        <w:tblCellMar>
          <w:left w:w="62" w:type="dxa"/>
          <w:right w:w="62" w:type="dxa"/>
        </w:tblCellMar>
        <w:tblLook w:val="0000"/>
      </w:tblPr>
      <w:tblGrid>
        <w:gridCol w:w="2694"/>
        <w:gridCol w:w="5811"/>
      </w:tblGrid>
      <w:tr w:rsidTr="00B2681A">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Elements describe the es</w:t>
            </w:r>
            <w:r w:rsidRPr="00C944A6">
              <w:t>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Performance criteria describe the performance needed to demonstrate achievement of the element. Where bold italicised text is used, further information is detailed in the required skills and knowledge section and t</w:t>
            </w:r>
            <w:r w:rsidRPr="00C944A6">
              <w:t>he range statement. Assessment of performance is to be consistent with the evidence guide.</w:t>
            </w: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8" w:name="O_72838"/>
      <w:bookmarkEnd w:id="8"/>
      <w:r w:rsidRPr="00C944A6">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B2681A">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PERFORMANCE CRITERIA</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Review acquisition</w:t>
            </w:r>
            <w:r w:rsidRPr="00C944A6">
              <w:t>/</w:t>
            </w:r>
            <w:r w:rsidRPr="00C944A6">
              <w:rPr>
                <w:rStyle w:val="SpecialBold"/>
              </w:rPr>
              <w:t>disposal needs</w:t>
            </w: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1.1</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 xml:space="preserve">Identify potential </w:t>
            </w:r>
            <w:r w:rsidRPr="00C944A6">
              <w:rPr>
                <w:rStyle w:val="BoldandItalics"/>
              </w:rPr>
              <w:t>acquisition or disposal needs</w:t>
            </w:r>
            <w:r w:rsidRPr="00C944A6">
              <w:t xml:space="preserve"> through regular review of the </w:t>
            </w:r>
            <w:r w:rsidRPr="00C944A6">
              <w:rPr>
                <w:rStyle w:val="BoldandItalics"/>
              </w:rPr>
              <w:t>cultural material</w:t>
            </w:r>
            <w:r w:rsidRPr="00C944A6">
              <w:t xml:space="preserve"> and its ability to meet </w:t>
            </w:r>
            <w:r w:rsidRPr="00C944A6">
              <w:rPr>
                <w:rStyle w:val="BoldandItalics"/>
              </w:rPr>
              <w:t>collection and organisational objectives</w:t>
            </w:r>
            <w:r w:rsidRPr="00C944A6">
              <w:t xml:space="preserve"> and policies</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1.2</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 xml:space="preserve">Identify and consult with </w:t>
            </w:r>
            <w:r w:rsidRPr="00C944A6">
              <w:rPr>
                <w:rStyle w:val="BoldandItalics"/>
              </w:rPr>
              <w:t>key stakeholders</w:t>
            </w:r>
            <w:r w:rsidRPr="00C944A6">
              <w:t xml:space="preserve"> in relation to acquisition or disposal of cultura</w:t>
            </w:r>
            <w:r w:rsidRPr="00C944A6">
              <w:t>l material</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1.3</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 xml:space="preserve">Assess potential acquisition in relation to cultural material already held in the </w:t>
            </w:r>
            <w:r w:rsidRPr="00C944A6">
              <w:rPr>
                <w:rStyle w:val="BoldandItalics"/>
              </w:rPr>
              <w:t>collection</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1.4</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 xml:space="preserve">Assess </w:t>
            </w:r>
            <w:r w:rsidRPr="00C944A6">
              <w:rPr>
                <w:rStyle w:val="BoldandItalics"/>
              </w:rPr>
              <w:t>key internal and external factors</w:t>
            </w:r>
            <w:r w:rsidRPr="00C944A6">
              <w:t xml:space="preserve"> that impact on acquisition/disposal</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1.5</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 xml:space="preserve">Determine priorities for </w:t>
            </w:r>
            <w:r w:rsidRPr="00C944A6">
              <w:rPr>
                <w:rStyle w:val="BoldandItalics"/>
              </w:rPr>
              <w:t>acquisition or disposal</w:t>
            </w:r>
            <w:r w:rsidRPr="00C944A6">
              <w:t xml:space="preserve"> of </w:t>
            </w:r>
            <w:r w:rsidRPr="00C944A6">
              <w:rPr>
                <w:rStyle w:val="BoldandItalics"/>
              </w:rPr>
              <w:t>cultural material</w:t>
            </w:r>
            <w:r w:rsidRPr="00C944A6">
              <w:t xml:space="preserve"> in accordance with the organisation's current </w:t>
            </w:r>
            <w:r w:rsidRPr="00C944A6">
              <w:rPr>
                <w:rStyle w:val="BoldandItalics"/>
              </w:rPr>
              <w:t>policies</w:t>
            </w:r>
            <w:r w:rsidRPr="00C944A6">
              <w:t xml:space="preserve"> and future requirements</w:t>
            </w:r>
          </w:p>
        </w:tc>
      </w:tr>
      <w:tr w:rsidTr="00B2681A">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Assess potential acquisition</w:t>
            </w:r>
            <w:r w:rsidRPr="00C944A6">
              <w:t>/</w:t>
            </w:r>
            <w:r w:rsidRPr="00C944A6">
              <w:rPr>
                <w:rStyle w:val="SpecialBold"/>
              </w:rPr>
              <w:t>disposal</w:t>
            </w: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2.1</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Assess cultural material for significance and relevance to collection in accordance with organisation</w:t>
            </w:r>
            <w:r w:rsidRPr="00C944A6">
              <w:t>al collection management policies</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2.2</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Consult with relevant parties and obtain appropriate expert advice on material and its relevance to collection</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2.3</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Examine records to establish provenance and confirm significance</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2.4</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 xml:space="preserve">Clearly identify </w:t>
            </w:r>
            <w:r w:rsidRPr="00C944A6">
              <w:rPr>
                <w:rStyle w:val="BoldandItalics"/>
              </w:rPr>
              <w:t>resources required for acquisition</w:t>
            </w:r>
            <w:r w:rsidRPr="00C944A6">
              <w:t xml:space="preserve">/ </w:t>
            </w:r>
            <w:r w:rsidRPr="00C944A6">
              <w:rPr>
                <w:rStyle w:val="BoldandItalics"/>
              </w:rPr>
              <w:t>disposal</w:t>
            </w:r>
          </w:p>
        </w:tc>
      </w:tr>
      <w:tr w:rsidTr="00B2681A">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Co-ordinate procedures for acquisition</w:t>
            </w:r>
            <w:r w:rsidRPr="00C944A6">
              <w:t>/</w:t>
            </w:r>
            <w:r w:rsidRPr="00C944A6">
              <w:rPr>
                <w:rStyle w:val="SpecialBold"/>
              </w:rPr>
              <w:t>disposal</w:t>
            </w: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3.1</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Organise appropriate resources in accordance with budget and organisational procedures</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3.2</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 xml:space="preserve">Satisfy legal, ethical and financial requirements and </w:t>
            </w:r>
            <w:r w:rsidRPr="00C944A6">
              <w:rPr>
                <w:rStyle w:val="BoldandItalics"/>
              </w:rPr>
              <w:t>cultural protocols</w:t>
            </w:r>
            <w:r w:rsidRPr="00C944A6">
              <w:t xml:space="preserve"> in the acquisition/disposal process</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3.3</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Negotiate and organise transfer of rights in accordance with organisational and legal procedures within scope of individual responsibility</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3.4</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Conduct negotiations with appropriate people in a manner that maintains goodwill between all parties</w:t>
            </w:r>
          </w:p>
        </w:tc>
      </w:tr>
      <w:tr w:rsidTr="00B2681A">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C944A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3.5</w:t>
            </w:r>
            <w:r w:rsidRPr="00C944A6">
              <w:tab/>
            </w:r>
          </w:p>
        </w:tc>
        <w:tc>
          <w:tcPr>
            <w:tcW w:w="5292" w:type="dxa"/>
            <w:tcBorders>
              <w:top w:val="nil"/>
              <w:left w:val="nil"/>
              <w:bottom w:val="nil"/>
              <w:right w:val="nil"/>
            </w:tcBorders>
            <w:tcMar>
              <w:top w:w="0" w:type="dxa"/>
              <w:left w:w="62" w:type="dxa"/>
              <w:bottom w:w="0" w:type="dxa"/>
              <w:right w:w="62" w:type="dxa"/>
            </w:tcMar>
          </w:tcPr>
          <w:p w:rsidR="00000000" w:rsidP="00C944A6">
            <w:pPr>
              <w:pStyle w:val="List"/>
              <w:rPr>
                <w:lang w:val="en-NZ"/>
              </w:rPr>
            </w:pPr>
            <w:r w:rsidRPr="00C944A6">
              <w:t>Accurately document agreements in accordance with organisational procedures and practices</w:t>
            </w:r>
          </w:p>
        </w:tc>
      </w:tr>
      <w:tr w:rsidTr="00B2681A">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C944A6" w:rsidP="00C944A6">
            <w:pPr>
              <w:pStyle w:val="BodyText"/>
            </w:pP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9" w:name="O_72839"/>
      <w:bookmarkEnd w:id="9"/>
      <w:r w:rsidRPr="00C944A6">
        <w:t>Required Skills and Knowledge</w:t>
      </w:r>
    </w:p>
    <w:tbl>
      <w:tblPr>
        <w:tblW w:w="0" w:type="auto"/>
        <w:tblLayout w:type="fixed"/>
        <w:tblCellMar>
          <w:left w:w="62" w:type="dxa"/>
          <w:right w:w="62" w:type="dxa"/>
        </w:tblCellMar>
        <w:tblLook w:val="0000"/>
      </w:tblPr>
      <w:tblGrid>
        <w:gridCol w:w="8505"/>
      </w:tblGrid>
      <w:tr w:rsidTr="00B2681A">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REQUIRED SKILLS AND KNOWLEDGE</w:t>
            </w:r>
          </w:p>
        </w:tc>
      </w:tr>
      <w:tr w:rsidTr="00B2681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This section describes the skills and knowledge required for this unit.</w:t>
            </w:r>
          </w:p>
        </w:tc>
      </w:tr>
      <w:tr w:rsidTr="00B2681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Required skills</w:t>
            </w:r>
          </w:p>
        </w:tc>
      </w:tr>
      <w:tr w:rsidTr="00B2681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planning and organisational skills to coordinate interrelated aspects of the acquisition and disposal process</w:t>
            </w:r>
          </w:p>
          <w:p w:rsidR="00000000" w:rsidRPr="00C944A6" w:rsidP="00C944A6">
            <w:pPr>
              <w:pStyle w:val="ListBullet"/>
            </w:pPr>
            <w:r w:rsidRPr="00C944A6">
              <w:t>communication skills to consult with internal and external stakeholders and to conduct negotiations for acquisition and disposal</w:t>
            </w:r>
          </w:p>
          <w:p w:rsidR="00000000" w:rsidRPr="00C944A6" w:rsidP="00C944A6">
            <w:pPr>
              <w:pStyle w:val="ListBullet"/>
            </w:pPr>
            <w:r w:rsidRPr="00C944A6">
              <w:t>literacy skills to interpret and communicate complex ideas and information around rationales and priorities for acquisition and</w:t>
            </w:r>
            <w:r w:rsidRPr="00C944A6">
              <w:t xml:space="preserve"> disposal</w:t>
            </w:r>
          </w:p>
          <w:p w:rsidR="00000000" w:rsidP="00C944A6">
            <w:pPr>
              <w:pStyle w:val="ListBullet"/>
              <w:rPr>
                <w:lang w:val="en-NZ"/>
              </w:rPr>
            </w:pPr>
            <w:r w:rsidRPr="00C944A6">
              <w:t>numeracy skills to interpret and apply budgets.</w:t>
            </w:r>
          </w:p>
        </w:tc>
      </w:tr>
      <w:tr w:rsidTr="00B2681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Required knowledge</w:t>
            </w:r>
          </w:p>
        </w:tc>
      </w:tr>
      <w:tr w:rsidTr="00B2681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 xml:space="preserve">typical features of collection management policies </w:t>
            </w:r>
          </w:p>
          <w:p w:rsidR="00000000" w:rsidRPr="00C944A6" w:rsidP="00C944A6">
            <w:pPr>
              <w:pStyle w:val="ListBullet"/>
            </w:pPr>
            <w:r w:rsidRPr="00C944A6">
              <w:t>procedures and practices for assessing cultural material in the relevant work context</w:t>
            </w:r>
          </w:p>
          <w:p w:rsidR="00000000" w:rsidRPr="00C944A6" w:rsidP="00C944A6">
            <w:pPr>
              <w:pStyle w:val="ListBullet"/>
            </w:pPr>
            <w:r w:rsidRPr="00C944A6">
              <w:t>subject matter expertise in the rele</w:t>
            </w:r>
            <w:r w:rsidRPr="00C944A6">
              <w:t>vant work context</w:t>
            </w:r>
          </w:p>
          <w:p w:rsidR="00000000" w:rsidRPr="00C944A6" w:rsidP="00C944A6">
            <w:pPr>
              <w:pStyle w:val="ListBullet"/>
            </w:pPr>
            <w:r w:rsidRPr="00C944A6">
              <w:t>sources of curatorial and conservation advice in the relevant work context</w:t>
            </w:r>
          </w:p>
          <w:p w:rsidR="00000000" w:rsidRPr="00C944A6" w:rsidP="00C944A6">
            <w:pPr>
              <w:pStyle w:val="ListBullet"/>
            </w:pPr>
            <w:r w:rsidRPr="00C944A6">
              <w:t>potential sources for acquisition and potential avenues for disposal of objects in the relevant work context</w:t>
            </w:r>
          </w:p>
          <w:p w:rsidR="00000000" w:rsidRPr="00C944A6" w:rsidP="00C944A6">
            <w:pPr>
              <w:pStyle w:val="ListBullet"/>
            </w:pPr>
            <w:r w:rsidRPr="00C944A6">
              <w:t>legal, ethical and financial requirements for acquisit</w:t>
            </w:r>
            <w:r w:rsidRPr="00C944A6">
              <w:t>ion and disposal of objects</w:t>
            </w:r>
          </w:p>
          <w:p w:rsidR="00000000" w:rsidRPr="00C944A6" w:rsidP="00C944A6">
            <w:pPr>
              <w:pStyle w:val="ListBullet"/>
            </w:pPr>
            <w:r w:rsidRPr="00C944A6">
              <w:t>cultural protocols that impact on acquisition and disposal of cultural material, including those for Aboriginal or Torres Strait Islander material</w:t>
            </w:r>
          </w:p>
          <w:p w:rsidR="00000000" w:rsidP="00C944A6">
            <w:pPr>
              <w:pStyle w:val="ListBullet"/>
              <w:rPr>
                <w:lang w:val="en-NZ"/>
              </w:rPr>
            </w:pPr>
            <w:r w:rsidRPr="00C944A6">
              <w:t>communication and negotiation protocols in</w:t>
            </w:r>
            <w:r w:rsidRPr="00C944A6">
              <w:t xml:space="preserve"> relation to object acquisition and disposal.</w:t>
            </w:r>
          </w:p>
        </w:tc>
      </w:tr>
      <w:tr w:rsidTr="00B2681A">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944A6" w:rsidP="00C944A6">
            <w:pPr>
              <w:pStyle w:val="BodyText"/>
            </w:pP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10" w:name="O_72840"/>
      <w:bookmarkEnd w:id="10"/>
      <w:r w:rsidRPr="00C944A6">
        <w:t>Evidence Guide</w:t>
      </w:r>
    </w:p>
    <w:tbl>
      <w:tblPr>
        <w:tblW w:w="0" w:type="auto"/>
        <w:tblLayout w:type="fixed"/>
        <w:tblCellMar>
          <w:left w:w="62" w:type="dxa"/>
          <w:right w:w="62" w:type="dxa"/>
        </w:tblCellMar>
        <w:tblLook w:val="0000"/>
      </w:tblPr>
      <w:tblGrid>
        <w:gridCol w:w="3061"/>
        <w:gridCol w:w="5444"/>
      </w:tblGrid>
      <w:tr w:rsidTr="00B2681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EVIDENCE GUIDE</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The Evidence Guide provides advice on assessment and must be read in conjunction with the performance criteria, required skills and knowledge, ran</w:t>
            </w:r>
            <w:r w:rsidRPr="00C944A6">
              <w:t>ge statement and the Assessment Guidelines for the Training Package.</w:t>
            </w: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Evidence of the following is essential:</w:t>
            </w:r>
          </w:p>
          <w:p w:rsidR="00000000" w:rsidRPr="00C944A6" w:rsidP="00C944A6">
            <w:pPr>
              <w:pStyle w:val="ListBullet"/>
            </w:pPr>
            <w:r w:rsidRPr="00C944A6">
              <w:t>ability to apply professional judgement to decision</w:t>
            </w:r>
            <w:r w:rsidRPr="00C944A6">
              <w:t>s relating to the acquisition or disposal of a range of cultural material</w:t>
            </w:r>
          </w:p>
          <w:p w:rsidR="00000000" w:rsidRPr="00C944A6" w:rsidP="00C944A6">
            <w:pPr>
              <w:pStyle w:val="ListBullet"/>
            </w:pPr>
            <w:r w:rsidRPr="00C944A6">
              <w:t>detailed knowledge of acquisition/disposal procedures and policies</w:t>
            </w:r>
          </w:p>
          <w:p w:rsidR="00000000" w:rsidP="00C944A6">
            <w:pPr>
              <w:pStyle w:val="ListBullet"/>
              <w:rPr>
                <w:lang w:val="en-NZ"/>
              </w:rPr>
            </w:pPr>
            <w:r w:rsidRPr="00C944A6">
              <w:t>communication and negotiation skills in varied consultation and negotiation contexts.</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Contex</w:t>
            </w:r>
            <w:r w:rsidRPr="00C944A6">
              <w:rPr>
                <w:rStyle w:val="SpecialBold"/>
              </w:rPr>
              <w:t>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Assessment must ensure:</w:t>
            </w:r>
          </w:p>
          <w:p w:rsidR="00000000" w:rsidRPr="00C944A6" w:rsidP="00C944A6">
            <w:pPr>
              <w:pStyle w:val="ListBullet"/>
            </w:pPr>
            <w:r w:rsidRPr="00C944A6">
              <w:t>use of an established or proposed collection as the basis of decision-making for acquisition and disposal</w:t>
            </w:r>
          </w:p>
          <w:p w:rsidR="00000000" w:rsidRPr="00C944A6" w:rsidP="00C944A6">
            <w:pPr>
              <w:pStyle w:val="ListBullet"/>
            </w:pPr>
            <w:r w:rsidRPr="00C944A6">
              <w:t>involvement of, and interaction with, others to reflect the communication and nego</w:t>
            </w:r>
            <w:r w:rsidRPr="00C944A6">
              <w:t>tiation aspects of the unit</w:t>
            </w:r>
          </w:p>
          <w:p w:rsidR="00000000" w:rsidRPr="00C944A6" w:rsidP="00C944A6">
            <w:pPr>
              <w:pStyle w:val="ListBullet"/>
            </w:pPr>
            <w:r w:rsidRPr="00C944A6">
              <w:t>access to relevant policies and procedures manuals</w:t>
            </w:r>
          </w:p>
          <w:p w:rsidR="00000000" w:rsidP="00C944A6">
            <w:pPr>
              <w:pStyle w:val="ListBullet"/>
              <w:rPr>
                <w:lang w:val="en-NZ"/>
              </w:rPr>
            </w:pPr>
            <w:r w:rsidRPr="00C944A6">
              <w:t>access to a collection.</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A range of assessment methods should be used to assess practical skills and knowledge. The following examples are appropriate for this unit:</w:t>
            </w:r>
          </w:p>
          <w:p w:rsidR="00000000" w:rsidRPr="00C944A6" w:rsidP="00C944A6">
            <w:pPr>
              <w:pStyle w:val="ListBullet"/>
            </w:pPr>
            <w:r w:rsidRPr="00C944A6">
              <w:t xml:space="preserve">direct questioning combined with review of portfolios of evidence and third party workplace reports of on-the-job </w:t>
            </w:r>
            <w:r w:rsidRPr="00C944A6">
              <w:t xml:space="preserve">performance by the candidate </w:t>
            </w:r>
          </w:p>
          <w:p w:rsidR="00000000" w:rsidRPr="00C944A6" w:rsidP="00C944A6">
            <w:pPr>
              <w:pStyle w:val="ListBullet"/>
            </w:pPr>
            <w:r w:rsidRPr="00C944A6">
              <w:t>evaluation of acquisition/disposal recommendations prepared by the candidate to address different collection contexts</w:t>
            </w:r>
          </w:p>
          <w:p w:rsidR="00000000" w:rsidP="00C944A6">
            <w:pPr>
              <w:pStyle w:val="ListBullet"/>
              <w:rPr>
                <w:lang w:val="en-NZ"/>
              </w:rPr>
            </w:pPr>
            <w:r w:rsidRPr="00C944A6">
              <w:t>evaluation of candidate's ability to develop recommendations for different collections and workplace contexts with appropriate rationale.</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 xml:space="preserve">Holistic assessment with other units relevant to the industry sector, workplace and job role is recommended, for </w:t>
            </w:r>
            <w:r w:rsidRPr="00C944A6">
              <w:t>example:</w:t>
            </w:r>
          </w:p>
          <w:p w:rsidR="00000000" w:rsidRPr="00C944A6" w:rsidP="00C944A6">
            <w:pPr>
              <w:pStyle w:val="ListBullet"/>
            </w:pPr>
            <w:r w:rsidRPr="00C944A6">
              <w:t>CULMS611C Lend/borrow cultural material.</w:t>
            </w: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11" w:name="O_72841"/>
      <w:bookmarkEnd w:id="11"/>
      <w:r w:rsidRPr="00C944A6">
        <w:t>Range Statement</w:t>
      </w:r>
    </w:p>
    <w:tbl>
      <w:tblPr>
        <w:tblW w:w="0" w:type="auto"/>
        <w:tblLayout w:type="fixed"/>
        <w:tblCellMar>
          <w:left w:w="62" w:type="dxa"/>
          <w:right w:w="62" w:type="dxa"/>
        </w:tblCellMar>
        <w:tblLook w:val="0000"/>
      </w:tblPr>
      <w:tblGrid>
        <w:gridCol w:w="3061"/>
        <w:gridCol w:w="5444"/>
      </w:tblGrid>
      <w:tr w:rsidTr="00B2681A">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RANGE STATEMENT</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 xml:space="preserve">The range statement relates to the unit of competency as a whole. It allows for different work environments and situations that may affect </w:t>
            </w:r>
            <w:r w:rsidRPr="00C944A6">
              <w:t>performance. Bold italicised wording, if used in the performance criteria, is detailed below. Essential operating conditions that may be present with training and assessment (depending on the work situation, needs of the candidate, accessibility of the ite</w:t>
            </w:r>
            <w:r w:rsidRPr="00C944A6">
              <w:t>m, and local industry and regional contexts) may also be included.</w:t>
            </w: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Acquisition or disposal needs</w:t>
            </w:r>
            <w:r w:rsidRPr="00C944A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improving or rationalising the collection</w:t>
            </w:r>
          </w:p>
          <w:p w:rsidR="00000000" w:rsidRPr="00C944A6" w:rsidP="00C944A6">
            <w:pPr>
              <w:pStyle w:val="ListBullet"/>
            </w:pPr>
            <w:r w:rsidRPr="00C944A6">
              <w:t>mounting an exhibition</w:t>
            </w:r>
          </w:p>
          <w:p w:rsidR="00000000" w:rsidRPr="00C944A6" w:rsidP="00C944A6">
            <w:pPr>
              <w:pStyle w:val="ListBullet"/>
            </w:pPr>
            <w:r w:rsidRPr="00C944A6">
              <w:t>complying with a will, statute or other legal requirement</w:t>
            </w:r>
          </w:p>
          <w:p w:rsidR="00000000" w:rsidRPr="00C944A6" w:rsidP="00C944A6">
            <w:pPr>
              <w:pStyle w:val="ListBullet"/>
            </w:pPr>
            <w:r w:rsidRPr="00C944A6">
              <w:t>me</w:t>
            </w:r>
            <w:r w:rsidRPr="00C944A6">
              <w:t>eting the request of an organisation or person</w:t>
            </w:r>
          </w:p>
          <w:p w:rsidR="00000000" w:rsidRPr="00C944A6" w:rsidP="00C944A6">
            <w:pPr>
              <w:pStyle w:val="ListBullet"/>
            </w:pPr>
            <w:r w:rsidRPr="00C944A6">
              <w:t>addressing cultural or moral issues</w:t>
            </w:r>
          </w:p>
          <w:p w:rsidR="00000000" w:rsidP="00C944A6">
            <w:pPr>
              <w:pStyle w:val="ListBullet"/>
              <w:rPr>
                <w:lang w:val="en-NZ"/>
              </w:rPr>
            </w:pPr>
            <w:r w:rsidRPr="00C944A6">
              <w:t>rationalising loans</w:t>
            </w: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Cultural material</w:t>
            </w:r>
            <w:r w:rsidRPr="00C944A6">
              <w:t xml:space="preserve"> is defined as 'objects, collections, artworks, specimens, structures or sites' and includes:</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archaeological material</w:t>
            </w:r>
          </w:p>
          <w:p w:rsidR="00000000" w:rsidRPr="00C944A6" w:rsidP="00C944A6">
            <w:pPr>
              <w:pStyle w:val="ListBullet"/>
            </w:pPr>
            <w:r w:rsidRPr="00C944A6">
              <w:t>books and manuscripts</w:t>
            </w:r>
          </w:p>
          <w:p w:rsidR="00000000" w:rsidRPr="00C944A6" w:rsidP="00C944A6">
            <w:pPr>
              <w:pStyle w:val="ListBullet"/>
            </w:pPr>
            <w:r w:rsidRPr="00C944A6">
              <w:t>cultural sites/buildings</w:t>
            </w:r>
          </w:p>
          <w:p w:rsidR="00000000" w:rsidRPr="00C944A6" w:rsidP="00C944A6">
            <w:pPr>
              <w:pStyle w:val="ListBullet"/>
            </w:pPr>
            <w:r w:rsidRPr="00C944A6">
              <w:t>ethnographic material</w:t>
            </w:r>
          </w:p>
          <w:p w:rsidR="00000000" w:rsidRPr="00C944A6" w:rsidP="00C944A6">
            <w:pPr>
              <w:pStyle w:val="ListBullet"/>
            </w:pPr>
            <w:r w:rsidRPr="00C944A6">
              <w:t>film/audiovisual material</w:t>
            </w:r>
          </w:p>
          <w:p w:rsidR="00000000" w:rsidRPr="00C944A6" w:rsidP="00C944A6">
            <w:pPr>
              <w:pStyle w:val="ListBullet"/>
            </w:pPr>
            <w:r w:rsidRPr="00C944A6">
              <w:t>flora and fauna</w:t>
            </w:r>
          </w:p>
          <w:p w:rsidR="00000000" w:rsidRPr="00C944A6" w:rsidP="00C944A6">
            <w:pPr>
              <w:pStyle w:val="ListBullet"/>
            </w:pPr>
            <w:r w:rsidRPr="00C944A6">
              <w:t>furniture</w:t>
            </w:r>
          </w:p>
          <w:p w:rsidR="00000000" w:rsidRPr="00C944A6" w:rsidP="00C944A6">
            <w:pPr>
              <w:pStyle w:val="ListBullet"/>
            </w:pPr>
            <w:r w:rsidRPr="00C944A6">
              <w:t>photographs</w:t>
            </w:r>
          </w:p>
          <w:p w:rsidR="00000000" w:rsidRPr="00C944A6" w:rsidP="00C944A6">
            <w:pPr>
              <w:pStyle w:val="ListBullet"/>
            </w:pPr>
            <w:r w:rsidRPr="00C944A6">
              <w:t>technological/industry items</w:t>
            </w:r>
          </w:p>
          <w:p w:rsidR="00000000" w:rsidRPr="00C944A6" w:rsidP="00C944A6">
            <w:pPr>
              <w:pStyle w:val="ListBullet"/>
            </w:pPr>
            <w:r w:rsidRPr="00C944A6">
              <w:t>textiles</w:t>
            </w:r>
          </w:p>
          <w:p w:rsidR="00000000" w:rsidP="00C944A6">
            <w:pPr>
              <w:pStyle w:val="ListBullet"/>
              <w:rPr>
                <w:lang w:val="en-NZ"/>
              </w:rPr>
            </w:pPr>
            <w:r w:rsidRPr="00C944A6">
              <w:t>works on paper/canvas</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Collection or organisational objectives</w:t>
            </w:r>
            <w:r w:rsidRPr="00C944A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visitor needs and trends</w:t>
            </w:r>
          </w:p>
          <w:p w:rsidR="00000000" w:rsidRPr="00C944A6" w:rsidP="00C944A6">
            <w:pPr>
              <w:pStyle w:val="ListBullet"/>
            </w:pPr>
            <w:r w:rsidRPr="00C944A6">
              <w:t>marketing initiatives</w:t>
            </w:r>
          </w:p>
          <w:p w:rsidR="00000000" w:rsidRPr="00C944A6" w:rsidP="00C944A6">
            <w:pPr>
              <w:pStyle w:val="ListBullet"/>
            </w:pPr>
            <w:r w:rsidRPr="00C944A6">
              <w:t>special exhibition needs</w:t>
            </w:r>
          </w:p>
          <w:p w:rsidR="00000000" w:rsidRPr="00C944A6" w:rsidP="00C944A6">
            <w:pPr>
              <w:pStyle w:val="ListBullet"/>
            </w:pPr>
            <w:r w:rsidRPr="00C944A6">
              <w:t>future direction of the organisation</w:t>
            </w:r>
          </w:p>
          <w:p w:rsidR="00000000" w:rsidRPr="00C944A6" w:rsidP="00C944A6">
            <w:pPr>
              <w:pStyle w:val="ListBullet"/>
            </w:pPr>
            <w:r w:rsidRPr="00C944A6">
              <w:t>comprehensiveness of the collection</w:t>
            </w:r>
          </w:p>
          <w:p w:rsidR="00000000" w:rsidRPr="00C944A6" w:rsidP="00C944A6">
            <w:pPr>
              <w:pStyle w:val="ListBullet"/>
            </w:pPr>
            <w:r w:rsidRPr="00C944A6">
              <w:t>resource constraints</w:t>
            </w:r>
          </w:p>
          <w:p w:rsidR="00000000" w:rsidP="00C944A6">
            <w:pPr>
              <w:pStyle w:val="ListBullet"/>
              <w:rPr>
                <w:lang w:val="en-NZ"/>
              </w:rPr>
            </w:pPr>
            <w:r w:rsidRPr="00C944A6">
              <w:t>relationship between collection and site</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Key stakeholders</w:t>
            </w:r>
            <w:r w:rsidRPr="00C944A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other management</w:t>
            </w:r>
          </w:p>
          <w:p w:rsidR="00000000" w:rsidRPr="00C944A6" w:rsidP="00C944A6">
            <w:pPr>
              <w:pStyle w:val="ListBullet"/>
            </w:pPr>
            <w:r w:rsidRPr="00C944A6">
              <w:t>boards/committees</w:t>
            </w:r>
          </w:p>
          <w:p w:rsidR="00000000" w:rsidRPr="00C944A6" w:rsidP="00C944A6">
            <w:pPr>
              <w:pStyle w:val="ListBullet"/>
            </w:pPr>
            <w:r w:rsidRPr="00C944A6">
              <w:t>local community</w:t>
            </w:r>
          </w:p>
          <w:p w:rsidR="00000000" w:rsidRPr="00C944A6" w:rsidP="00C944A6">
            <w:pPr>
              <w:pStyle w:val="ListBullet"/>
            </w:pPr>
            <w:r w:rsidRPr="00C944A6">
              <w:t>commercial partners</w:t>
            </w:r>
          </w:p>
          <w:p w:rsidR="00000000" w:rsidRPr="00C944A6" w:rsidP="00C944A6">
            <w:pPr>
              <w:pStyle w:val="ListBullet"/>
            </w:pPr>
            <w:r w:rsidRPr="00C944A6">
              <w:t>visitors</w:t>
            </w:r>
          </w:p>
          <w:p w:rsidR="00000000" w:rsidRPr="00C944A6" w:rsidP="00C944A6">
            <w:pPr>
              <w:pStyle w:val="ListBullet"/>
            </w:pPr>
            <w:r w:rsidRPr="00C944A6">
              <w:t>subject matter experts</w:t>
            </w:r>
          </w:p>
          <w:p w:rsidR="00000000" w:rsidP="00C944A6">
            <w:pPr>
              <w:pStyle w:val="ListBullet"/>
              <w:rPr>
                <w:lang w:val="en-NZ"/>
              </w:rPr>
            </w:pPr>
            <w:r w:rsidRPr="00C944A6">
              <w:t>cultural groups</w:t>
            </w: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Acquisition or disposal</w:t>
            </w:r>
            <w:r w:rsidRPr="00C944A6">
              <w:t xml:space="preserve"> may take place between/by means of:</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different sections of the same institution</w:t>
            </w:r>
          </w:p>
          <w:p w:rsidR="00000000" w:rsidRPr="00C944A6" w:rsidP="00C944A6">
            <w:pPr>
              <w:pStyle w:val="ListBullet"/>
            </w:pPr>
            <w:r w:rsidRPr="00C944A6">
              <w:t>two institutions</w:t>
            </w:r>
          </w:p>
          <w:p w:rsidR="00000000" w:rsidRPr="00C944A6" w:rsidP="00C944A6">
            <w:pPr>
              <w:pStyle w:val="ListBullet"/>
            </w:pPr>
            <w:r w:rsidRPr="00C944A6">
              <w:t>institution and commercial enterprises</w:t>
            </w:r>
          </w:p>
          <w:p w:rsidR="00000000" w:rsidRPr="00C944A6" w:rsidP="00C944A6">
            <w:pPr>
              <w:pStyle w:val="ListBullet"/>
            </w:pPr>
            <w:r w:rsidRPr="00C944A6">
              <w:t>institution and individuals or groups</w:t>
            </w:r>
          </w:p>
          <w:p w:rsidR="00000000" w:rsidRPr="00C944A6" w:rsidP="00C944A6">
            <w:pPr>
              <w:pStyle w:val="ListBullet"/>
            </w:pPr>
            <w:r w:rsidRPr="00C944A6">
              <w:t>purchase</w:t>
            </w:r>
          </w:p>
          <w:p w:rsidR="00000000" w:rsidRPr="00C944A6" w:rsidP="00C944A6">
            <w:pPr>
              <w:pStyle w:val="ListBullet"/>
            </w:pPr>
            <w:r w:rsidRPr="00C944A6">
              <w:t>gift</w:t>
            </w:r>
          </w:p>
          <w:p w:rsidR="00000000" w:rsidRPr="00C944A6" w:rsidP="00C944A6">
            <w:pPr>
              <w:pStyle w:val="ListBullet"/>
            </w:pPr>
            <w:r w:rsidRPr="00C944A6">
              <w:t>bequest</w:t>
            </w:r>
          </w:p>
          <w:p w:rsidR="00000000" w:rsidRPr="00C944A6" w:rsidP="00C944A6">
            <w:pPr>
              <w:pStyle w:val="ListBullet"/>
            </w:pPr>
            <w:r w:rsidRPr="00C944A6">
              <w:t>exchange</w:t>
            </w:r>
          </w:p>
          <w:p w:rsidR="00000000" w:rsidRPr="00C944A6" w:rsidP="00C944A6">
            <w:pPr>
              <w:pStyle w:val="ListBullet"/>
            </w:pPr>
            <w:r w:rsidRPr="00C944A6">
              <w:t>transfer</w:t>
            </w:r>
          </w:p>
          <w:p w:rsidR="00000000" w:rsidRPr="00C944A6" w:rsidP="00C944A6">
            <w:pPr>
              <w:pStyle w:val="ListBullet"/>
            </w:pPr>
            <w:r w:rsidRPr="00C944A6">
              <w:t>auction</w:t>
            </w:r>
          </w:p>
          <w:p w:rsidR="00000000" w:rsidP="00C944A6">
            <w:pPr>
              <w:pStyle w:val="ListBullet"/>
              <w:rPr>
                <w:lang w:val="en-NZ"/>
              </w:rPr>
            </w:pPr>
            <w:r w:rsidRPr="00C944A6">
              <w:t>tender</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t>Collection is defined very broadly and may relate to:</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cultural heritage</w:t>
            </w:r>
          </w:p>
          <w:p w:rsidR="00000000" w:rsidRPr="00C944A6" w:rsidP="00C944A6">
            <w:pPr>
              <w:pStyle w:val="ListBullet"/>
            </w:pPr>
            <w:r w:rsidRPr="00C944A6">
              <w:t>history</w:t>
            </w:r>
          </w:p>
          <w:p w:rsidR="00000000" w:rsidRPr="00C944A6" w:rsidP="00C944A6">
            <w:pPr>
              <w:pStyle w:val="ListBullet"/>
            </w:pPr>
            <w:r w:rsidRPr="00C944A6">
              <w:t>art</w:t>
            </w:r>
          </w:p>
          <w:p w:rsidR="00000000" w:rsidRPr="00C944A6" w:rsidP="00C944A6">
            <w:pPr>
              <w:pStyle w:val="ListBullet"/>
            </w:pPr>
            <w:r w:rsidRPr="00C944A6">
              <w:t>science</w:t>
            </w:r>
          </w:p>
          <w:p w:rsidR="00000000" w:rsidRPr="00C944A6" w:rsidP="00C944A6">
            <w:pPr>
              <w:pStyle w:val="ListBullet"/>
            </w:pPr>
            <w:r w:rsidRPr="00C944A6">
              <w:t>plants and animals</w:t>
            </w:r>
          </w:p>
          <w:p w:rsidR="00000000" w:rsidRPr="00C944A6" w:rsidP="00C944A6">
            <w:pPr>
              <w:pStyle w:val="ListBullet"/>
            </w:pPr>
            <w:r w:rsidRPr="00C944A6">
              <w:t>other aspects of the natural environment</w:t>
            </w:r>
          </w:p>
          <w:p w:rsidR="00000000" w:rsidRPr="00C944A6" w:rsidP="00C944A6">
            <w:pPr>
              <w:pStyle w:val="ListBullet"/>
            </w:pPr>
            <w:r w:rsidRPr="00C944A6">
              <w:t>materials with a cultural/spiritual significance</w:t>
            </w:r>
          </w:p>
          <w:p w:rsidR="00000000" w:rsidRPr="00C944A6" w:rsidP="00C944A6">
            <w:pPr>
              <w:pStyle w:val="ListBullet"/>
            </w:pPr>
            <w:r w:rsidRPr="00C944A6">
              <w:t>living styles</w:t>
            </w:r>
          </w:p>
          <w:p w:rsidR="00000000" w:rsidRPr="00C944A6" w:rsidP="00C944A6">
            <w:pPr>
              <w:pStyle w:val="ListBullet"/>
            </w:pPr>
            <w:r w:rsidRPr="00C944A6">
              <w:t>ceremony e.g. dance, music</w:t>
            </w:r>
          </w:p>
          <w:p w:rsidR="00000000" w:rsidP="00C944A6">
            <w:pPr>
              <w:pStyle w:val="ListBullet"/>
              <w:rPr>
                <w:lang w:val="en-NZ"/>
              </w:rPr>
            </w:pPr>
            <w:r w:rsidRPr="00C944A6">
              <w:t>any other heritage resource</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Key internal and external factors</w:t>
            </w:r>
            <w:r w:rsidRPr="00C944A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 xml:space="preserve">organisational priorities </w:t>
            </w:r>
          </w:p>
          <w:p w:rsidR="00000000" w:rsidRPr="00C944A6" w:rsidP="00C944A6">
            <w:pPr>
              <w:pStyle w:val="ListBullet"/>
            </w:pPr>
            <w:r w:rsidRPr="00C944A6">
              <w:t>availability of expertise</w:t>
            </w:r>
          </w:p>
          <w:p w:rsidR="00000000" w:rsidRPr="00C944A6" w:rsidP="00C944A6">
            <w:pPr>
              <w:pStyle w:val="ListBullet"/>
            </w:pPr>
            <w:r w:rsidRPr="00C944A6">
              <w:t>resource constraints</w:t>
            </w:r>
          </w:p>
          <w:p w:rsidR="00000000" w:rsidRPr="00C944A6" w:rsidP="00C944A6">
            <w:pPr>
              <w:pStyle w:val="ListBullet"/>
            </w:pPr>
            <w:r w:rsidRPr="00C944A6">
              <w:t>competitive environment</w:t>
            </w:r>
          </w:p>
          <w:p w:rsidR="00000000" w:rsidRPr="00C944A6" w:rsidP="00C944A6">
            <w:pPr>
              <w:pStyle w:val="ListBullet"/>
            </w:pPr>
            <w:r w:rsidRPr="00C944A6">
              <w:t>economic considerations</w:t>
            </w:r>
          </w:p>
          <w:p w:rsidR="00000000" w:rsidRPr="00C944A6" w:rsidP="00C944A6">
            <w:pPr>
              <w:pStyle w:val="ListBullet"/>
            </w:pPr>
            <w:r w:rsidRPr="00C944A6">
              <w:t>marketing considerations</w:t>
            </w:r>
          </w:p>
          <w:p w:rsidR="00000000" w:rsidP="00C944A6">
            <w:pPr>
              <w:pStyle w:val="ListBullet"/>
              <w:rPr>
                <w:lang w:val="en-NZ"/>
              </w:rPr>
            </w:pPr>
            <w:r w:rsidRPr="00C944A6">
              <w:t>social or political issues</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Policies</w:t>
            </w:r>
            <w:r w:rsidRPr="00C944A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acquisition policy</w:t>
            </w:r>
          </w:p>
          <w:p w:rsidR="00000000" w:rsidRPr="00C944A6" w:rsidP="00C944A6">
            <w:pPr>
              <w:pStyle w:val="ListBullet"/>
            </w:pPr>
            <w:r w:rsidRPr="00C944A6">
              <w:t>de-accession policy</w:t>
            </w:r>
          </w:p>
          <w:p w:rsidR="00000000" w:rsidP="00C944A6">
            <w:pPr>
              <w:pStyle w:val="ListBullet"/>
              <w:rPr>
                <w:lang w:val="en-NZ"/>
              </w:rPr>
            </w:pPr>
            <w:r w:rsidRPr="00C944A6">
              <w:t>collection policy</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Resources required for acquisition</w:t>
            </w:r>
            <w:r w:rsidRPr="00C944A6">
              <w:t>/</w:t>
            </w:r>
            <w:r w:rsidRPr="00C944A6">
              <w:rPr>
                <w:rStyle w:val="BoldandItalics"/>
              </w:rPr>
              <w:t>disposal</w:t>
            </w:r>
            <w:r w:rsidRPr="00C944A6">
              <w:t xml:space="preserve"> may be both internal and external and may include:</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special equipment, machinery</w:t>
            </w:r>
          </w:p>
          <w:p w:rsidR="00000000" w:rsidRPr="00C944A6" w:rsidP="00C944A6">
            <w:pPr>
              <w:pStyle w:val="ListBullet"/>
            </w:pPr>
            <w:r w:rsidRPr="00C944A6">
              <w:t>construction of new displays or other infrastructure</w:t>
            </w:r>
          </w:p>
          <w:p w:rsidR="00000000" w:rsidRPr="00C944A6" w:rsidP="00C944A6">
            <w:pPr>
              <w:pStyle w:val="ListBullet"/>
            </w:pPr>
            <w:r w:rsidRPr="00C944A6">
              <w:t>replacement objects</w:t>
            </w:r>
          </w:p>
          <w:p w:rsidR="00000000" w:rsidRPr="00C944A6" w:rsidP="00C944A6">
            <w:pPr>
              <w:pStyle w:val="ListBullet"/>
            </w:pPr>
            <w:r w:rsidRPr="00C944A6">
              <w:t>subject matter experts</w:t>
            </w:r>
          </w:p>
          <w:p w:rsidR="00000000" w:rsidRPr="00C944A6" w:rsidP="00C944A6">
            <w:pPr>
              <w:pStyle w:val="ListBullet"/>
            </w:pPr>
            <w:r w:rsidRPr="00C944A6">
              <w:t>conservation experts</w:t>
            </w:r>
          </w:p>
          <w:p w:rsidR="00000000" w:rsidRPr="00C944A6" w:rsidP="00C944A6">
            <w:pPr>
              <w:pStyle w:val="ListBullet"/>
            </w:pPr>
            <w:r w:rsidRPr="00C944A6">
              <w:t>legal expertise</w:t>
            </w:r>
          </w:p>
          <w:p w:rsidR="00000000" w:rsidRPr="00C944A6" w:rsidP="00C944A6">
            <w:pPr>
              <w:pStyle w:val="ListBullet"/>
            </w:pPr>
            <w:r w:rsidRPr="00C944A6">
              <w:t>financial advice</w:t>
            </w:r>
          </w:p>
          <w:p w:rsidR="00000000" w:rsidRPr="00C944A6" w:rsidP="00C944A6">
            <w:pPr>
              <w:pStyle w:val="ListBullet"/>
            </w:pPr>
            <w:r w:rsidRPr="00C944A6">
              <w:t>valuation advice</w:t>
            </w:r>
          </w:p>
          <w:p w:rsidR="00000000" w:rsidRPr="00C944A6" w:rsidP="00C944A6">
            <w:pPr>
              <w:pStyle w:val="ListBullet"/>
            </w:pPr>
            <w:r w:rsidRPr="00C944A6">
              <w:t>transport</w:t>
            </w:r>
          </w:p>
          <w:p w:rsidR="00000000" w:rsidRPr="00C944A6" w:rsidP="00C944A6">
            <w:pPr>
              <w:pStyle w:val="ListBullet"/>
            </w:pPr>
            <w:r w:rsidRPr="00C944A6">
              <w:t>space</w:t>
            </w:r>
          </w:p>
          <w:p w:rsidR="00000000" w:rsidRPr="00C944A6" w:rsidP="00C944A6">
            <w:pPr>
              <w:pStyle w:val="ListBullet"/>
            </w:pPr>
            <w:r w:rsidRPr="00C944A6">
              <w:t>storage materials/facilities</w:t>
            </w:r>
          </w:p>
          <w:p w:rsidR="00000000" w:rsidP="00C944A6">
            <w:pPr>
              <w:pStyle w:val="ListBullet"/>
              <w:rPr>
                <w:lang w:val="en-NZ"/>
              </w:rPr>
            </w:pPr>
            <w:r w:rsidRPr="00C944A6">
              <w:t>funding/grants</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944A6">
            <w:pPr>
              <w:pStyle w:val="BodyText"/>
              <w:rPr>
                <w:lang w:val="en-NZ"/>
              </w:rPr>
            </w:pPr>
          </w:p>
        </w:tc>
      </w:tr>
      <w:tr w:rsidTr="00B2681A">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BoldandItalics"/>
              </w:rPr>
              <w:t>Cultural protocols</w:t>
            </w:r>
            <w:r w:rsidRPr="00C944A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C944A6" w:rsidP="00C944A6">
            <w:pPr>
              <w:pStyle w:val="ListBullet"/>
            </w:pPr>
            <w:r w:rsidRPr="00C944A6">
              <w:t>special handling of items</w:t>
            </w:r>
          </w:p>
          <w:p w:rsidR="00000000" w:rsidRPr="00C944A6" w:rsidP="00C944A6">
            <w:pPr>
              <w:pStyle w:val="ListBullet"/>
            </w:pPr>
            <w:r w:rsidRPr="00C944A6">
              <w:t>financial transactions</w:t>
            </w:r>
          </w:p>
          <w:p w:rsidR="00000000" w:rsidRPr="00C944A6" w:rsidP="00C944A6">
            <w:pPr>
              <w:pStyle w:val="ListBullet"/>
            </w:pPr>
            <w:r w:rsidRPr="00C944A6">
              <w:t>obtaining permission</w:t>
            </w:r>
          </w:p>
          <w:p w:rsidR="00000000" w:rsidRPr="00C944A6" w:rsidP="00C944A6">
            <w:pPr>
              <w:pStyle w:val="ListBullet"/>
            </w:pPr>
            <w:r w:rsidRPr="00C944A6">
              <w:t>timing of acquisition or disposal</w:t>
            </w:r>
          </w:p>
          <w:p w:rsidR="00000000" w:rsidRPr="00C944A6" w:rsidP="00C944A6">
            <w:pPr>
              <w:pStyle w:val="ListBullet"/>
            </w:pPr>
            <w:r w:rsidRPr="00C944A6">
              <w:t>sto</w:t>
            </w:r>
            <w:r w:rsidRPr="00C944A6">
              <w:t>rage</w:t>
            </w:r>
          </w:p>
          <w:p w:rsidR="00000000" w:rsidRPr="00C944A6" w:rsidP="00C944A6">
            <w:pPr>
              <w:pStyle w:val="ListBullet"/>
            </w:pPr>
            <w:r w:rsidRPr="00C944A6">
              <w:t>display</w:t>
            </w:r>
          </w:p>
          <w:p w:rsidR="00000000" w:rsidP="00C944A6">
            <w:pPr>
              <w:pStyle w:val="ListBullet"/>
              <w:rPr>
                <w:lang w:val="en-NZ"/>
              </w:rPr>
            </w:pPr>
            <w:r w:rsidRPr="00C944A6">
              <w:t>access</w:t>
            </w:r>
          </w:p>
        </w:tc>
      </w:tr>
      <w:tr w:rsidTr="00B2681A">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C944A6" w:rsidP="00C944A6">
            <w:pPr>
              <w:pStyle w:val="BodyText"/>
            </w:pPr>
          </w:p>
        </w:tc>
      </w:tr>
    </w:tbl>
    <w:p w:rsidR="00000000" w:rsidRPr="00C944A6" w:rsidP="00C944A6">
      <w:pPr>
        <w:pStyle w:val="BodyText"/>
      </w:pPr>
    </w:p>
    <w:p w:rsidR="00000000" w:rsidRPr="00C944A6" w:rsidP="00C944A6">
      <w:pPr>
        <w:pStyle w:val="AllowPageBreak"/>
      </w:pPr>
    </w:p>
    <w:p w:rsidR="00000000" w:rsidRPr="00C944A6" w:rsidP="00C944A6">
      <w:pPr>
        <w:pStyle w:val="Heading1"/>
      </w:pPr>
      <w:bookmarkStart w:id="12" w:name="O_72842"/>
      <w:bookmarkEnd w:id="12"/>
      <w:r w:rsidRPr="00C944A6">
        <w:t>Unit Sector(s)</w:t>
      </w:r>
    </w:p>
    <w:p w:rsidR="00000000" w:rsidRPr="00C944A6" w:rsidP="00C944A6">
      <w:pPr>
        <w:pStyle w:val="BodyText"/>
      </w:pPr>
      <w:r w:rsidRPr="00C944A6">
        <w:t>Not applicable.</w:t>
      </w:r>
    </w:p>
    <w:p w:rsidR="00000000" w:rsidRPr="00C944A6" w:rsidP="00C944A6">
      <w:pPr>
        <w:pStyle w:val="AllowPageBreak"/>
      </w:pPr>
    </w:p>
    <w:p w:rsidR="00000000" w:rsidRPr="00C944A6" w:rsidP="00C944A6">
      <w:pPr>
        <w:pStyle w:val="Heading1"/>
      </w:pPr>
      <w:bookmarkStart w:id="13" w:name="O_155387"/>
      <w:bookmarkEnd w:id="13"/>
      <w:r w:rsidRPr="00C944A6">
        <w:t>Competency field</w:t>
      </w:r>
    </w:p>
    <w:tbl>
      <w:tblPr>
        <w:tblW w:w="0" w:type="auto"/>
        <w:tblLayout w:type="fixed"/>
        <w:tblCellMar>
          <w:left w:w="62" w:type="dxa"/>
          <w:right w:w="62" w:type="dxa"/>
        </w:tblCellMar>
        <w:tblLook w:val="0000"/>
      </w:tblPr>
      <w:tblGrid>
        <w:gridCol w:w="2694"/>
        <w:gridCol w:w="5811"/>
      </w:tblGrid>
      <w:tr w:rsidTr="00B2681A">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944A6">
            <w:pPr>
              <w:pStyle w:val="BodyText"/>
              <w:rPr>
                <w:lang w:val="en-NZ"/>
              </w:rPr>
            </w:pPr>
            <w:r w:rsidRPr="00C944A6">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C944A6" w:rsidP="00C944A6">
            <w:pPr>
              <w:pStyle w:val="BodyText"/>
            </w:pPr>
            <w:r w:rsidRPr="00C944A6">
              <w:t>Collection Management</w:t>
            </w:r>
          </w:p>
        </w:tc>
      </w:tr>
    </w:tbl>
    <w:p w:rsidR="00000000" w:rsidRPr="00C944A6" w:rsidP="00C944A6">
      <w:pPr>
        <w:pStyle w:val="BodyText"/>
      </w:pPr>
    </w:p>
    <w:p w:rsidR="00000000" w:rsidRPr="00C944A6" w:rsidP="00C944A6"/>
    <w:sectPr w:rsidSect="00C94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A6" w:rsidRPr="00B2681A" w:rsidP="00B26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1A" w:rsidP="00C94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681A" w:rsidP="00C944A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681A" w:rsidP="00C94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A6" w:rsidRPr="00B2681A" w:rsidP="00B268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1A" w:rsidRPr="002D2AF8" w:rsidP="00C944A6">
    <w:pPr>
      <w:pStyle w:val="Header"/>
      <w:framePr w:wrap="around"/>
    </w:pPr>
    <w:r>
      <w:fldChar w:fldCharType="begin"/>
    </w:r>
    <w:r>
      <w:instrText xml:space="preserve"> TITLE   \* MERGEFORMAT </w:instrText>
    </w:r>
    <w:r>
      <w:fldChar w:fldCharType="separate"/>
    </w:r>
    <w:r>
      <w:t>CULMS502C Acquire/dispose of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B2681A" w:rsidP="00C94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1CD5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BE32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4A6"/>
    <w:pPr>
      <w:spacing w:before="360" w:after="60"/>
      <w:outlineLvl w:val="0"/>
    </w:pPr>
    <w:rPr>
      <w:sz w:val="32"/>
    </w:rPr>
  </w:style>
  <w:style w:type="paragraph" w:styleId="Heading2">
    <w:name w:val="heading 2"/>
    <w:basedOn w:val="HeadingBase"/>
    <w:next w:val="BodyText"/>
    <w:link w:val="Heading2Char"/>
    <w:qFormat/>
    <w:rsid w:val="00C944A6"/>
    <w:pPr>
      <w:keepLines/>
      <w:spacing w:before="240" w:after="120"/>
      <w:outlineLvl w:val="1"/>
    </w:pPr>
    <w:rPr>
      <w:sz w:val="28"/>
      <w:szCs w:val="40"/>
    </w:rPr>
  </w:style>
  <w:style w:type="paragraph" w:styleId="Heading3">
    <w:name w:val="heading 3"/>
    <w:basedOn w:val="HeadingBase"/>
    <w:next w:val="BodyText"/>
    <w:link w:val="Heading3Char"/>
    <w:qFormat/>
    <w:rsid w:val="00C944A6"/>
    <w:pPr>
      <w:spacing w:before="180" w:after="120"/>
      <w:outlineLvl w:val="2"/>
    </w:pPr>
    <w:rPr>
      <w:spacing w:val="-10"/>
      <w:kern w:val="32"/>
    </w:rPr>
  </w:style>
  <w:style w:type="paragraph" w:styleId="Heading4">
    <w:name w:val="heading 4"/>
    <w:basedOn w:val="HeadingBase"/>
    <w:next w:val="BodyText"/>
    <w:link w:val="Heading4Char"/>
    <w:qFormat/>
    <w:rsid w:val="00C944A6"/>
    <w:pPr>
      <w:spacing w:before="160" w:after="120"/>
      <w:outlineLvl w:val="3"/>
    </w:pPr>
    <w:rPr>
      <w:sz w:val="22"/>
    </w:rPr>
  </w:style>
  <w:style w:type="paragraph" w:styleId="Heading5">
    <w:name w:val="heading 5"/>
    <w:basedOn w:val="HeadingBase"/>
    <w:next w:val="Normal"/>
    <w:link w:val="Heading5Char"/>
    <w:qFormat/>
    <w:rsid w:val="00C944A6"/>
    <w:pPr>
      <w:spacing w:before="80"/>
      <w:outlineLvl w:val="4"/>
    </w:pPr>
    <w:rPr>
      <w:color w:val="918585"/>
      <w:sz w:val="20"/>
    </w:rPr>
  </w:style>
  <w:style w:type="paragraph" w:styleId="Heading6">
    <w:name w:val="heading 6"/>
    <w:basedOn w:val="HeadingBase"/>
    <w:next w:val="Normal"/>
    <w:link w:val="Heading6Char"/>
    <w:qFormat/>
    <w:rsid w:val="00C944A6"/>
    <w:pPr>
      <w:spacing w:before="60"/>
      <w:outlineLvl w:val="5"/>
    </w:pPr>
    <w:rPr>
      <w:color w:val="918585"/>
      <w:sz w:val="20"/>
    </w:rPr>
  </w:style>
  <w:style w:type="paragraph" w:styleId="Heading7">
    <w:name w:val="heading 7"/>
    <w:basedOn w:val="Normal"/>
    <w:next w:val="Normal"/>
    <w:link w:val="Heading7Char"/>
    <w:qFormat/>
    <w:rsid w:val="00C944A6"/>
    <w:pPr>
      <w:ind w:left="720"/>
      <w:outlineLvl w:val="6"/>
    </w:pPr>
    <w:rPr>
      <w:i/>
    </w:rPr>
  </w:style>
  <w:style w:type="paragraph" w:styleId="Heading8">
    <w:name w:val="heading 8"/>
    <w:basedOn w:val="Normal"/>
    <w:next w:val="Normal"/>
    <w:link w:val="Heading8Char"/>
    <w:qFormat/>
    <w:rsid w:val="00C944A6"/>
    <w:pPr>
      <w:ind w:left="720"/>
      <w:outlineLvl w:val="7"/>
    </w:pPr>
    <w:rPr>
      <w:i/>
    </w:rPr>
  </w:style>
  <w:style w:type="paragraph" w:styleId="Heading9">
    <w:name w:val="heading 9"/>
    <w:basedOn w:val="Normal"/>
    <w:next w:val="Normal"/>
    <w:link w:val="Heading9Char"/>
    <w:qFormat/>
    <w:rsid w:val="00C944A6"/>
    <w:pPr>
      <w:ind w:left="720"/>
      <w:outlineLvl w:val="8"/>
    </w:pPr>
    <w:rPr>
      <w:i/>
    </w:rPr>
  </w:style>
  <w:style w:type="character" w:default="1" w:styleId="DefaultParagraphFont">
    <w:name w:val="Default Paragraph Font"/>
    <w:uiPriority w:val="1"/>
    <w:unhideWhenUsed/>
    <w:rsid w:val="00C94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4A6"/>
  </w:style>
  <w:style w:type="character" w:customStyle="1" w:styleId="Heading1Char">
    <w:name w:val="Heading 1 Char"/>
    <w:basedOn w:val="DefaultParagraphFont"/>
    <w:link w:val="Heading1"/>
    <w:rsid w:val="00C944A6"/>
    <w:rPr>
      <w:rFonts w:ascii="Times New Roman" w:eastAsia="Times New Roman" w:hAnsi="Times New Roman" w:cs="Times New Roman"/>
      <w:b/>
      <w:sz w:val="32"/>
      <w:szCs w:val="20"/>
      <w:lang w:eastAsia="en-US"/>
    </w:rPr>
  </w:style>
  <w:style w:type="paragraph" w:styleId="BodyText">
    <w:name w:val="Body Text"/>
    <w:basedOn w:val="Normal"/>
    <w:link w:val="BodyTextChar"/>
    <w:rsid w:val="00C944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44A6"/>
    <w:rPr>
      <w:rFonts w:ascii="Times New Roman" w:eastAsia="Times New Roman" w:hAnsi="Times New Roman" w:cs="Times New Roman"/>
      <w:sz w:val="24"/>
      <w:lang w:eastAsia="en-US"/>
    </w:rPr>
  </w:style>
  <w:style w:type="paragraph" w:styleId="List">
    <w:name w:val="List"/>
    <w:basedOn w:val="BodyText"/>
    <w:next w:val="BodyText"/>
    <w:rsid w:val="00C944A6"/>
    <w:pPr>
      <w:tabs>
        <w:tab w:val="left" w:pos="340"/>
      </w:tabs>
      <w:spacing w:before="60" w:after="60"/>
      <w:ind w:left="340" w:hanging="340"/>
    </w:pPr>
  </w:style>
  <w:style w:type="paragraph" w:styleId="ListBullet">
    <w:name w:val="List Bullet"/>
    <w:basedOn w:val="List"/>
    <w:rsid w:val="00C944A6"/>
    <w:pPr>
      <w:numPr>
        <w:numId w:val="12"/>
      </w:numPr>
      <w:tabs>
        <w:tab w:val="clear" w:pos="340"/>
      </w:tabs>
      <w:spacing w:before="40" w:after="40"/>
    </w:pPr>
  </w:style>
  <w:style w:type="character" w:customStyle="1" w:styleId="SpecialBold">
    <w:name w:val="Special Bold"/>
    <w:basedOn w:val="DefaultParagraphFont"/>
    <w:rsid w:val="00C944A6"/>
    <w:rPr>
      <w:b/>
      <w:spacing w:val="0"/>
    </w:rPr>
  </w:style>
  <w:style w:type="paragraph" w:customStyle="1" w:styleId="SuperHeading">
    <w:name w:val="SuperHeading"/>
    <w:basedOn w:val="Normal"/>
    <w:rsid w:val="00C944A6"/>
    <w:pPr>
      <w:spacing w:before="240" w:after="120"/>
      <w:outlineLvl w:val="0"/>
    </w:pPr>
    <w:rPr>
      <w:rFonts w:ascii="Times New Roman" w:hAnsi="Times New Roman"/>
      <w:b/>
      <w:sz w:val="32"/>
    </w:rPr>
  </w:style>
  <w:style w:type="paragraph" w:customStyle="1" w:styleId="AllowPageBreak">
    <w:name w:val="AllowPageBreak"/>
    <w:rsid w:val="00C94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44A6"/>
    <w:rPr>
      <w:b/>
      <w:i/>
      <w:u w:val="none"/>
    </w:rPr>
  </w:style>
  <w:style w:type="character" w:customStyle="1" w:styleId="Heading2Char">
    <w:name w:val="Heading 2 Char"/>
    <w:basedOn w:val="DefaultParagraphFont"/>
    <w:link w:val="Heading2"/>
    <w:rsid w:val="00C94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4A6"/>
    <w:rPr>
      <w:rFonts w:ascii="Courier New" w:eastAsia="Times New Roman" w:hAnsi="Courier New" w:cs="Times New Roman"/>
      <w:i/>
      <w:szCs w:val="20"/>
      <w:lang w:eastAsia="en-US"/>
    </w:rPr>
  </w:style>
  <w:style w:type="paragraph" w:customStyle="1" w:styleId="HeadingBase">
    <w:name w:val="Heading Base"/>
    <w:rsid w:val="00C94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4A6"/>
    <w:pPr>
      <w:tabs>
        <w:tab w:val="right" w:leader="dot" w:pos="9072"/>
      </w:tabs>
      <w:ind w:left="567"/>
    </w:pPr>
    <w:rPr>
      <w:szCs w:val="22"/>
    </w:rPr>
  </w:style>
  <w:style w:type="paragraph" w:customStyle="1" w:styleId="TOCBase">
    <w:name w:val="TOC Base"/>
    <w:rsid w:val="00C94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4A6"/>
    <w:pPr>
      <w:tabs>
        <w:tab w:val="right" w:leader="dot" w:pos="9072"/>
      </w:tabs>
      <w:spacing w:before="40" w:after="40"/>
      <w:ind w:left="284"/>
    </w:pPr>
    <w:rPr>
      <w:rFonts w:ascii="Times New Roman" w:hAnsi="Times New Roman"/>
    </w:rPr>
  </w:style>
  <w:style w:type="paragraph" w:styleId="TOC1">
    <w:name w:val="toc 1"/>
    <w:basedOn w:val="TOCBase"/>
    <w:next w:val="Normal"/>
    <w:rsid w:val="00C94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4A6"/>
    <w:rPr>
      <w:rFonts w:ascii="Times New Roman" w:eastAsia="Times New Roman" w:hAnsi="Times New Roman" w:cs="Times New Roman"/>
      <w:sz w:val="16"/>
      <w:lang w:eastAsia="en-US"/>
    </w:rPr>
  </w:style>
  <w:style w:type="paragraph" w:styleId="Title">
    <w:name w:val="Title"/>
    <w:basedOn w:val="HeadingBase"/>
    <w:link w:val="TitleChar"/>
    <w:qFormat/>
    <w:rsid w:val="00C944A6"/>
    <w:pPr>
      <w:spacing w:before="5040"/>
      <w:jc w:val="center"/>
    </w:pPr>
    <w:rPr>
      <w:sz w:val="48"/>
      <w:szCs w:val="72"/>
      <w:lang w:val="en-US"/>
    </w:rPr>
  </w:style>
  <w:style w:type="character" w:customStyle="1" w:styleId="TitleChar">
    <w:name w:val="Title Char"/>
    <w:basedOn w:val="DefaultParagraphFont"/>
    <w:link w:val="Title"/>
    <w:rsid w:val="00C94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4A6"/>
    <w:pPr>
      <w:tabs>
        <w:tab w:val="left" w:pos="3600"/>
        <w:tab w:val="left" w:pos="3958"/>
      </w:tabs>
    </w:pPr>
  </w:style>
  <w:style w:type="paragraph" w:customStyle="1" w:styleId="Note">
    <w:name w:val="Note"/>
    <w:basedOn w:val="BodyText"/>
    <w:rsid w:val="00C94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4A6"/>
    <w:pPr>
      <w:framePr w:wrap="auto" w:hAnchor="text" w:y="6049"/>
    </w:pPr>
    <w:rPr>
      <w:color w:val="000000"/>
      <w:sz w:val="40"/>
    </w:rPr>
  </w:style>
  <w:style w:type="paragraph" w:customStyle="1" w:styleId="TOCTitle">
    <w:name w:val="TOCTitle"/>
    <w:basedOn w:val="Heading1"/>
    <w:rsid w:val="00C944A6"/>
    <w:pPr>
      <w:spacing w:after="240"/>
      <w:jc w:val="center"/>
      <w:outlineLvl w:val="9"/>
    </w:pPr>
    <w:rPr>
      <w:caps/>
    </w:rPr>
  </w:style>
  <w:style w:type="paragraph" w:customStyle="1" w:styleId="Version">
    <w:name w:val="Version"/>
    <w:rsid w:val="00C94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4A6"/>
    <w:pPr>
      <w:numPr>
        <w:numId w:val="13"/>
      </w:numPr>
      <w:tabs>
        <w:tab w:val="clear" w:pos="680"/>
      </w:tabs>
    </w:pPr>
  </w:style>
  <w:style w:type="paragraph" w:styleId="Index1">
    <w:name w:val="index 1"/>
    <w:basedOn w:val="Normal"/>
    <w:next w:val="Normal"/>
    <w:semiHidden/>
    <w:rsid w:val="00C944A6"/>
    <w:pPr>
      <w:keepNext w:val="0"/>
      <w:tabs>
        <w:tab w:val="right" w:pos="4176"/>
      </w:tabs>
      <w:ind w:left="198" w:hanging="198"/>
    </w:pPr>
    <w:rPr>
      <w:rFonts w:ascii="Garamond" w:hAnsi="Garamond"/>
    </w:rPr>
  </w:style>
  <w:style w:type="paragraph" w:styleId="IndexHeading">
    <w:name w:val="index heading"/>
    <w:basedOn w:val="Normal"/>
    <w:next w:val="Index1"/>
    <w:semiHidden/>
    <w:rsid w:val="00C944A6"/>
    <w:pPr>
      <w:spacing w:before="120" w:after="120"/>
    </w:pPr>
    <w:rPr>
      <w:rFonts w:ascii="Arial" w:hAnsi="Arial"/>
      <w:b/>
      <w:color w:val="918585"/>
      <w:sz w:val="24"/>
    </w:rPr>
  </w:style>
  <w:style w:type="paragraph" w:styleId="Header">
    <w:name w:val="header"/>
    <w:basedOn w:val="Normal"/>
    <w:link w:val="HeaderChar"/>
    <w:rsid w:val="00C94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4A6"/>
    <w:rPr>
      <w:rFonts w:ascii="Times New Roman" w:eastAsia="Times New Roman" w:hAnsi="Times New Roman" w:cs="Times New Roman"/>
      <w:sz w:val="16"/>
      <w:szCs w:val="20"/>
      <w:lang w:val="en-GB" w:eastAsia="en-US"/>
    </w:rPr>
  </w:style>
  <w:style w:type="paragraph" w:customStyle="1" w:styleId="Chapter">
    <w:name w:val="Chapter"/>
    <w:basedOn w:val="Normal"/>
    <w:rsid w:val="00C944A6"/>
    <w:pPr>
      <w:spacing w:before="240"/>
    </w:pPr>
    <w:rPr>
      <w:rFonts w:ascii="Times New Roman" w:hAnsi="Times New Roman"/>
      <w:smallCaps/>
      <w:spacing w:val="80"/>
      <w:sz w:val="28"/>
    </w:rPr>
  </w:style>
  <w:style w:type="paragraph" w:customStyle="1" w:styleId="InChapter">
    <w:name w:val="InChapter"/>
    <w:basedOn w:val="Heading3"/>
    <w:rsid w:val="00C944A6"/>
    <w:pPr>
      <w:spacing w:after="240"/>
      <w:outlineLvl w:val="9"/>
    </w:pPr>
    <w:rPr>
      <w:noProof/>
    </w:rPr>
  </w:style>
  <w:style w:type="paragraph" w:styleId="Index2">
    <w:name w:val="index 2"/>
    <w:basedOn w:val="Normal"/>
    <w:next w:val="Normal"/>
    <w:semiHidden/>
    <w:rsid w:val="00C944A6"/>
    <w:pPr>
      <w:tabs>
        <w:tab w:val="right" w:pos="4176"/>
      </w:tabs>
      <w:ind w:left="568" w:hanging="284"/>
    </w:pPr>
    <w:rPr>
      <w:rFonts w:ascii="Garamond" w:hAnsi="Garamond"/>
    </w:rPr>
  </w:style>
  <w:style w:type="paragraph" w:customStyle="1" w:styleId="Byline">
    <w:name w:val="Byline"/>
    <w:rsid w:val="00C94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4A6"/>
    <w:pPr>
      <w:tabs>
        <w:tab w:val="clear" w:pos="3600"/>
        <w:tab w:val="clear" w:pos="3958"/>
      </w:tabs>
      <w:jc w:val="right"/>
    </w:pPr>
  </w:style>
  <w:style w:type="character" w:styleId="Emphasis">
    <w:name w:val="Emphasis"/>
    <w:basedOn w:val="DefaultParagraphFont"/>
    <w:qFormat/>
    <w:rsid w:val="00C944A6"/>
    <w:rPr>
      <w:i/>
    </w:rPr>
  </w:style>
  <w:style w:type="paragraph" w:styleId="Caption">
    <w:name w:val="caption"/>
    <w:basedOn w:val="BodyText"/>
    <w:next w:val="Normal"/>
    <w:qFormat/>
    <w:rsid w:val="00C944A6"/>
    <w:pPr>
      <w:framePr w:w="2268" w:hSpace="181" w:vSpace="181" w:wrap="around" w:vAnchor="text" w:hAnchor="page" w:x="1135" w:y="285" w:anchorLock="1"/>
    </w:pPr>
    <w:rPr>
      <w:i/>
    </w:rPr>
  </w:style>
  <w:style w:type="paragraph" w:customStyle="1" w:styleId="MiniTOCTitle">
    <w:name w:val="MiniTOCTitle"/>
    <w:basedOn w:val="Heading4"/>
    <w:rsid w:val="00C944A6"/>
    <w:pPr>
      <w:spacing w:before="240"/>
      <w:outlineLvl w:val="9"/>
    </w:pPr>
    <w:rPr>
      <w:noProof/>
      <w:sz w:val="24"/>
    </w:rPr>
  </w:style>
  <w:style w:type="paragraph" w:customStyle="1" w:styleId="MiniTOCItem">
    <w:name w:val="MiniTOCItem"/>
    <w:basedOn w:val="ListBullet"/>
    <w:rsid w:val="00C944A6"/>
    <w:pPr>
      <w:numPr>
        <w:numId w:val="0"/>
      </w:numPr>
      <w:tabs>
        <w:tab w:val="right" w:leader="dot" w:pos="6521"/>
      </w:tabs>
      <w:spacing w:before="0" w:after="0"/>
    </w:pPr>
  </w:style>
  <w:style w:type="paragraph" w:customStyle="1" w:styleId="TOFTitle">
    <w:name w:val="TOFTitle"/>
    <w:basedOn w:val="TOCTitle"/>
    <w:rsid w:val="00C944A6"/>
  </w:style>
  <w:style w:type="paragraph" w:styleId="TableofFigures">
    <w:name w:val="table of figures"/>
    <w:basedOn w:val="Normal"/>
    <w:next w:val="Normal"/>
    <w:semiHidden/>
    <w:rsid w:val="00C944A6"/>
    <w:pPr>
      <w:tabs>
        <w:tab w:val="right" w:leader="dot" w:pos="9072"/>
      </w:tabs>
      <w:ind w:left="970" w:hanging="403"/>
    </w:pPr>
    <w:rPr>
      <w:rFonts w:ascii="Times New Roman" w:hAnsi="Times New Roman"/>
      <w:b/>
    </w:rPr>
  </w:style>
  <w:style w:type="paragraph" w:styleId="ListNumber">
    <w:name w:val="List Number"/>
    <w:basedOn w:val="List"/>
    <w:rsid w:val="00C944A6"/>
    <w:pPr>
      <w:numPr>
        <w:numId w:val="10"/>
      </w:numPr>
    </w:pPr>
  </w:style>
  <w:style w:type="character" w:customStyle="1" w:styleId="WingdingSymbols">
    <w:name w:val="Wingding Symbols"/>
    <w:rsid w:val="00C944A6"/>
    <w:rPr>
      <w:rFonts w:ascii="Wingdings" w:hAnsi="Wingdings"/>
    </w:rPr>
  </w:style>
  <w:style w:type="paragraph" w:customStyle="1" w:styleId="TableHeading">
    <w:name w:val="Table Heading"/>
    <w:basedOn w:val="HeadingBase"/>
    <w:rsid w:val="00C944A6"/>
    <w:pPr>
      <w:keepLines/>
      <w:pBdr>
        <w:bottom w:val="single" w:sz="6" w:space="1" w:color="918585"/>
      </w:pBdr>
      <w:spacing w:before="240"/>
    </w:pPr>
  </w:style>
  <w:style w:type="character" w:customStyle="1" w:styleId="HotSpot">
    <w:name w:val="HotSpot"/>
    <w:rsid w:val="00C944A6"/>
    <w:rPr>
      <w:color w:val="0033CC"/>
      <w:u w:val="none"/>
    </w:rPr>
  </w:style>
  <w:style w:type="paragraph" w:customStyle="1" w:styleId="BodyTextRight">
    <w:name w:val="Body Text Right"/>
    <w:basedOn w:val="BodyText"/>
    <w:rsid w:val="00C944A6"/>
    <w:pPr>
      <w:spacing w:before="0" w:after="0"/>
      <w:jc w:val="right"/>
    </w:pPr>
  </w:style>
  <w:style w:type="paragraph" w:styleId="Index3">
    <w:name w:val="index 3"/>
    <w:basedOn w:val="ListNumber2"/>
    <w:next w:val="Normal"/>
    <w:semiHidden/>
    <w:rsid w:val="00C944A6"/>
    <w:pPr>
      <w:numPr>
        <w:numId w:val="0"/>
      </w:numPr>
      <w:tabs>
        <w:tab w:val="right" w:leader="dot" w:pos="4176"/>
      </w:tabs>
    </w:pPr>
  </w:style>
  <w:style w:type="paragraph" w:styleId="ListNumber2">
    <w:name w:val="List Number 2"/>
    <w:basedOn w:val="List2"/>
    <w:rsid w:val="00C944A6"/>
    <w:pPr>
      <w:numPr>
        <w:numId w:val="9"/>
      </w:numPr>
      <w:tabs>
        <w:tab w:val="clear" w:pos="1060"/>
      </w:tabs>
    </w:pPr>
  </w:style>
  <w:style w:type="paragraph" w:customStyle="1" w:styleId="MarginNote">
    <w:name w:val="Margin Note"/>
    <w:basedOn w:val="BodyText"/>
    <w:rsid w:val="00C94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4A6"/>
    <w:rPr>
      <w:sz w:val="32"/>
    </w:rPr>
  </w:style>
  <w:style w:type="paragraph" w:customStyle="1" w:styleId="HeadingProcedure">
    <w:name w:val="Heading Procedure"/>
    <w:basedOn w:val="HeadingBase"/>
    <w:next w:val="Normal"/>
    <w:rsid w:val="00C944A6"/>
    <w:pPr>
      <w:tabs>
        <w:tab w:val="left" w:pos="0"/>
      </w:tabs>
      <w:spacing w:before="120" w:after="60"/>
    </w:pPr>
    <w:rPr>
      <w:i/>
      <w:color w:val="918585"/>
      <w:sz w:val="22"/>
    </w:rPr>
  </w:style>
  <w:style w:type="paragraph" w:customStyle="1" w:styleId="TableBodyText">
    <w:name w:val="Table Body Text"/>
    <w:basedOn w:val="BodyText"/>
    <w:rsid w:val="00C944A6"/>
    <w:pPr>
      <w:spacing w:before="60" w:after="60"/>
    </w:pPr>
  </w:style>
  <w:style w:type="paragraph" w:styleId="ListContinue">
    <w:name w:val="List Continue"/>
    <w:basedOn w:val="List"/>
    <w:rsid w:val="00C944A6"/>
    <w:pPr>
      <w:ind w:firstLine="0"/>
    </w:pPr>
  </w:style>
  <w:style w:type="paragraph" w:customStyle="1" w:styleId="ListNote">
    <w:name w:val="List Note"/>
    <w:basedOn w:val="List"/>
    <w:rsid w:val="00C944A6"/>
    <w:pPr>
      <w:pBdr>
        <w:top w:val="single" w:sz="6" w:space="2" w:color="918585"/>
        <w:bottom w:val="single" w:sz="6" w:space="2" w:color="918585"/>
      </w:pBdr>
      <w:tabs>
        <w:tab w:val="left" w:pos="1021"/>
      </w:tabs>
      <w:ind w:firstLine="0"/>
    </w:pPr>
  </w:style>
  <w:style w:type="paragraph" w:customStyle="1" w:styleId="Warning">
    <w:name w:val="Warning"/>
    <w:basedOn w:val="BodyText"/>
    <w:rsid w:val="00C944A6"/>
    <w:pPr>
      <w:shd w:val="clear" w:color="auto" w:fill="D9D9D9"/>
      <w:tabs>
        <w:tab w:val="left" w:pos="992"/>
      </w:tabs>
      <w:ind w:left="119" w:right="119"/>
    </w:pPr>
    <w:rPr>
      <w:sz w:val="20"/>
    </w:rPr>
  </w:style>
  <w:style w:type="paragraph" w:customStyle="1" w:styleId="MarginIcons">
    <w:name w:val="Margin Icons"/>
    <w:basedOn w:val="BodyText"/>
    <w:rsid w:val="00C94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4A6"/>
    <w:rPr>
      <w:rFonts w:ascii="Courier New" w:hAnsi="Courier New"/>
    </w:rPr>
  </w:style>
  <w:style w:type="paragraph" w:customStyle="1" w:styleId="NoteBullet">
    <w:name w:val="Note Bullet"/>
    <w:basedOn w:val="Note"/>
    <w:rsid w:val="00C944A6"/>
    <w:pPr>
      <w:tabs>
        <w:tab w:val="clear" w:pos="680"/>
      </w:tabs>
      <w:spacing w:before="60" w:after="60"/>
    </w:pPr>
  </w:style>
  <w:style w:type="paragraph" w:customStyle="1" w:styleId="SubHeading2">
    <w:name w:val="SubHeading2"/>
    <w:basedOn w:val="HeadingBase"/>
    <w:rsid w:val="00C944A6"/>
    <w:pPr>
      <w:spacing w:before="240" w:after="60"/>
    </w:pPr>
    <w:rPr>
      <w:sz w:val="20"/>
    </w:rPr>
  </w:style>
  <w:style w:type="paragraph" w:customStyle="1" w:styleId="SubHeading1">
    <w:name w:val="SubHeading1"/>
    <w:basedOn w:val="HeadingBase"/>
    <w:rsid w:val="00C944A6"/>
    <w:pPr>
      <w:spacing w:before="240" w:after="60"/>
    </w:pPr>
    <w:rPr>
      <w:color w:val="918585"/>
      <w:sz w:val="22"/>
    </w:rPr>
  </w:style>
  <w:style w:type="paragraph" w:customStyle="1" w:styleId="SideHeading">
    <w:name w:val="Side Heading"/>
    <w:basedOn w:val="HeadingBase"/>
    <w:rsid w:val="00C94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4A6"/>
    <w:pPr>
      <w:tabs>
        <w:tab w:val="num" w:pos="360"/>
      </w:tabs>
    </w:pPr>
  </w:style>
  <w:style w:type="paragraph" w:styleId="PlainText">
    <w:name w:val="Plain Text"/>
    <w:basedOn w:val="Normal"/>
    <w:link w:val="PlainTextChar"/>
    <w:rsid w:val="00C944A6"/>
    <w:rPr>
      <w:sz w:val="20"/>
    </w:rPr>
  </w:style>
  <w:style w:type="character" w:customStyle="1" w:styleId="PlainTextChar">
    <w:name w:val="Plain Text Char"/>
    <w:basedOn w:val="DefaultParagraphFont"/>
    <w:link w:val="PlainText"/>
    <w:rsid w:val="00C944A6"/>
    <w:rPr>
      <w:rFonts w:ascii="Courier New" w:eastAsia="Times New Roman" w:hAnsi="Courier New" w:cs="Times New Roman"/>
      <w:sz w:val="20"/>
      <w:szCs w:val="20"/>
      <w:lang w:eastAsia="en-US"/>
    </w:rPr>
  </w:style>
  <w:style w:type="character" w:customStyle="1" w:styleId="MenuOption">
    <w:name w:val="Menu Option"/>
    <w:basedOn w:val="DefaultParagraphFont"/>
    <w:rsid w:val="00C944A6"/>
    <w:rPr>
      <w:b/>
      <w:smallCaps/>
    </w:rPr>
  </w:style>
  <w:style w:type="paragraph" w:customStyle="1" w:styleId="TableListNumber">
    <w:name w:val="Table List Number"/>
    <w:basedOn w:val="ListNumber"/>
    <w:rsid w:val="00C944A6"/>
    <w:pPr>
      <w:numPr>
        <w:numId w:val="0"/>
      </w:numPr>
    </w:pPr>
  </w:style>
  <w:style w:type="paragraph" w:styleId="TOC4">
    <w:name w:val="toc 4"/>
    <w:basedOn w:val="TOCBase"/>
    <w:next w:val="Normal"/>
    <w:semiHidden/>
    <w:rsid w:val="00C944A6"/>
    <w:pPr>
      <w:tabs>
        <w:tab w:val="right" w:leader="dot" w:pos="9071"/>
      </w:tabs>
      <w:ind w:left="1701"/>
    </w:pPr>
  </w:style>
  <w:style w:type="paragraph" w:customStyle="1" w:styleId="ListAlpha">
    <w:name w:val="List Alpha"/>
    <w:basedOn w:val="List"/>
    <w:rsid w:val="00C944A6"/>
    <w:pPr>
      <w:numPr>
        <w:numId w:val="8"/>
      </w:numPr>
    </w:pPr>
  </w:style>
  <w:style w:type="paragraph" w:customStyle="1" w:styleId="ListAlpha2">
    <w:name w:val="List Alpha 2"/>
    <w:basedOn w:val="List2"/>
    <w:rsid w:val="00C944A6"/>
    <w:pPr>
      <w:numPr>
        <w:numId w:val="7"/>
      </w:numPr>
    </w:pPr>
  </w:style>
  <w:style w:type="paragraph" w:styleId="List2">
    <w:name w:val="List 2"/>
    <w:basedOn w:val="BodyText"/>
    <w:rsid w:val="00C944A6"/>
    <w:pPr>
      <w:tabs>
        <w:tab w:val="left" w:pos="680"/>
      </w:tabs>
      <w:spacing w:before="60" w:after="60"/>
      <w:ind w:left="680" w:hanging="340"/>
    </w:pPr>
  </w:style>
  <w:style w:type="paragraph" w:styleId="List3">
    <w:name w:val="List 3"/>
    <w:basedOn w:val="BodyText"/>
    <w:rsid w:val="00C944A6"/>
    <w:pPr>
      <w:tabs>
        <w:tab w:val="left" w:pos="1021"/>
      </w:tabs>
      <w:spacing w:before="60" w:after="60"/>
      <w:ind w:left="1020" w:hanging="340"/>
    </w:pPr>
  </w:style>
  <w:style w:type="paragraph" w:styleId="List4">
    <w:name w:val="List 4"/>
    <w:basedOn w:val="BodyText"/>
    <w:rsid w:val="00C944A6"/>
    <w:pPr>
      <w:tabs>
        <w:tab w:val="left" w:pos="1361"/>
      </w:tabs>
      <w:spacing w:before="60" w:after="60"/>
      <w:ind w:left="1361" w:hanging="340"/>
    </w:pPr>
  </w:style>
  <w:style w:type="paragraph" w:styleId="List5">
    <w:name w:val="List 5"/>
    <w:basedOn w:val="BodyText"/>
    <w:rsid w:val="00C944A6"/>
    <w:pPr>
      <w:tabs>
        <w:tab w:val="left" w:pos="1701"/>
      </w:tabs>
      <w:spacing w:before="60" w:after="60"/>
      <w:ind w:left="1701" w:hanging="340"/>
    </w:pPr>
  </w:style>
  <w:style w:type="paragraph" w:styleId="ListBullet3">
    <w:name w:val="List Bullet 3"/>
    <w:basedOn w:val="List3"/>
    <w:rsid w:val="00C944A6"/>
    <w:pPr>
      <w:numPr>
        <w:numId w:val="14"/>
      </w:numPr>
      <w:tabs>
        <w:tab w:val="clear" w:pos="1021"/>
      </w:tabs>
      <w:ind w:left="1037" w:hanging="357"/>
    </w:pPr>
  </w:style>
  <w:style w:type="paragraph" w:styleId="ListBullet4">
    <w:name w:val="List Bullet 4"/>
    <w:basedOn w:val="List4"/>
    <w:rsid w:val="00C944A6"/>
    <w:pPr>
      <w:numPr>
        <w:numId w:val="2"/>
      </w:numPr>
    </w:pPr>
  </w:style>
  <w:style w:type="paragraph" w:styleId="ListBullet5">
    <w:name w:val="List Bullet 5"/>
    <w:basedOn w:val="List5"/>
    <w:rsid w:val="00C944A6"/>
    <w:pPr>
      <w:numPr>
        <w:numId w:val="3"/>
      </w:numPr>
    </w:pPr>
  </w:style>
  <w:style w:type="paragraph" w:styleId="ListContinue2">
    <w:name w:val="List Continue 2"/>
    <w:basedOn w:val="List2"/>
    <w:rsid w:val="00C944A6"/>
    <w:pPr>
      <w:ind w:firstLine="0"/>
    </w:pPr>
  </w:style>
  <w:style w:type="paragraph" w:styleId="ListContinue3">
    <w:name w:val="List Continue 3"/>
    <w:basedOn w:val="List3"/>
    <w:rsid w:val="00C944A6"/>
    <w:pPr>
      <w:ind w:left="1021" w:firstLine="0"/>
    </w:pPr>
  </w:style>
  <w:style w:type="paragraph" w:styleId="ListContinue4">
    <w:name w:val="List Continue 4"/>
    <w:basedOn w:val="List4"/>
    <w:rsid w:val="00C944A6"/>
    <w:pPr>
      <w:ind w:firstLine="0"/>
    </w:pPr>
  </w:style>
  <w:style w:type="paragraph" w:styleId="ListContinue5">
    <w:name w:val="List Continue 5"/>
    <w:basedOn w:val="List5"/>
    <w:rsid w:val="00C944A6"/>
    <w:pPr>
      <w:ind w:firstLine="0"/>
    </w:pPr>
  </w:style>
  <w:style w:type="paragraph" w:styleId="ListNumber3">
    <w:name w:val="List Number 3"/>
    <w:basedOn w:val="List3"/>
    <w:rsid w:val="00C944A6"/>
    <w:pPr>
      <w:numPr>
        <w:numId w:val="4"/>
      </w:numPr>
    </w:pPr>
  </w:style>
  <w:style w:type="paragraph" w:styleId="ListNumber4">
    <w:name w:val="List Number 4"/>
    <w:basedOn w:val="List4"/>
    <w:rsid w:val="00C944A6"/>
    <w:pPr>
      <w:numPr>
        <w:numId w:val="5"/>
      </w:numPr>
    </w:pPr>
  </w:style>
  <w:style w:type="paragraph" w:styleId="ListNumber5">
    <w:name w:val="List Number 5"/>
    <w:basedOn w:val="List5"/>
    <w:rsid w:val="00C944A6"/>
    <w:pPr>
      <w:numPr>
        <w:numId w:val="6"/>
      </w:numPr>
    </w:pPr>
  </w:style>
  <w:style w:type="paragraph" w:styleId="BlockText">
    <w:name w:val="Block Text"/>
    <w:basedOn w:val="Normal"/>
    <w:rsid w:val="00C944A6"/>
    <w:pPr>
      <w:spacing w:after="120"/>
      <w:ind w:left="1440" w:right="1440"/>
    </w:pPr>
  </w:style>
  <w:style w:type="character" w:customStyle="1" w:styleId="Subscript">
    <w:name w:val="Subscript"/>
    <w:basedOn w:val="DefaultParagraphFont"/>
    <w:rsid w:val="00C944A6"/>
    <w:rPr>
      <w:sz w:val="16"/>
      <w:vertAlign w:val="subscript"/>
    </w:rPr>
  </w:style>
  <w:style w:type="character" w:customStyle="1" w:styleId="Superscript">
    <w:name w:val="Superscript"/>
    <w:basedOn w:val="DefaultParagraphFont"/>
    <w:rsid w:val="00C944A6"/>
    <w:rPr>
      <w:sz w:val="16"/>
      <w:vertAlign w:val="superscript"/>
    </w:rPr>
  </w:style>
  <w:style w:type="character" w:customStyle="1" w:styleId="Symbols">
    <w:name w:val="Symbols"/>
    <w:basedOn w:val="DefaultParagraphFont"/>
    <w:rsid w:val="00C944A6"/>
    <w:rPr>
      <w:rFonts w:ascii="Symbol" w:hAnsi="Symbol"/>
    </w:rPr>
  </w:style>
  <w:style w:type="character" w:customStyle="1" w:styleId="MenuOptions">
    <w:name w:val="Menu Options"/>
    <w:basedOn w:val="DefaultParagraphFont"/>
    <w:rsid w:val="00C944A6"/>
    <w:rPr>
      <w:rFonts w:ascii="Arial Narrow" w:hAnsi="Arial Narrow"/>
      <w:smallCaps/>
    </w:rPr>
  </w:style>
  <w:style w:type="character" w:customStyle="1" w:styleId="Buttons">
    <w:name w:val="Buttons"/>
    <w:basedOn w:val="DefaultParagraphFont"/>
    <w:rsid w:val="00C944A6"/>
    <w:rPr>
      <w:b/>
    </w:rPr>
  </w:style>
  <w:style w:type="character" w:customStyle="1" w:styleId="Underlined">
    <w:name w:val="Underlined"/>
    <w:basedOn w:val="DefaultParagraphFont"/>
    <w:rsid w:val="00C944A6"/>
    <w:rPr>
      <w:u w:val="single"/>
    </w:rPr>
  </w:style>
  <w:style w:type="paragraph" w:customStyle="1" w:styleId="TableBodyTextRight">
    <w:name w:val="Table Body Text Right"/>
    <w:basedOn w:val="TableBodyText"/>
    <w:rsid w:val="00C944A6"/>
    <w:pPr>
      <w:widowControl w:val="0"/>
      <w:autoSpaceDE w:val="0"/>
      <w:autoSpaceDN w:val="0"/>
      <w:adjustRightInd w:val="0"/>
      <w:jc w:val="right"/>
    </w:pPr>
    <w:rPr>
      <w:rFonts w:cs="Arial"/>
      <w:szCs w:val="18"/>
    </w:rPr>
  </w:style>
  <w:style w:type="paragraph" w:customStyle="1" w:styleId="CopyrightText">
    <w:name w:val="Copyright Text"/>
    <w:basedOn w:val="BodyText"/>
    <w:rsid w:val="00C944A6"/>
    <w:rPr>
      <w:sz w:val="18"/>
    </w:rPr>
  </w:style>
  <w:style w:type="paragraph" w:customStyle="1" w:styleId="BodySmallRight">
    <w:name w:val="Body Small Right"/>
    <w:basedOn w:val="BodyTextRight"/>
    <w:rsid w:val="00C944A6"/>
    <w:rPr>
      <w:sz w:val="18"/>
      <w:szCs w:val="18"/>
    </w:rPr>
  </w:style>
  <w:style w:type="paragraph" w:customStyle="1" w:styleId="MarginEdition">
    <w:name w:val="Margin Edition"/>
    <w:basedOn w:val="MarginNote"/>
    <w:rsid w:val="00C944A6"/>
    <w:pPr>
      <w:spacing w:before="0" w:after="0"/>
    </w:pPr>
    <w:rPr>
      <w:rFonts w:ascii="Times New Roman" w:hAnsi="Times New Roman"/>
      <w:color w:val="999999"/>
    </w:rPr>
  </w:style>
  <w:style w:type="paragraph" w:customStyle="1" w:styleId="Spacer">
    <w:name w:val="Spacer"/>
    <w:basedOn w:val="Normal"/>
    <w:rsid w:val="00C944A6"/>
    <w:rPr>
      <w:sz w:val="2"/>
      <w:szCs w:val="2"/>
    </w:rPr>
  </w:style>
  <w:style w:type="character" w:customStyle="1" w:styleId="Small">
    <w:name w:val="Small"/>
    <w:basedOn w:val="DefaultParagraphFont"/>
    <w:rsid w:val="00C944A6"/>
    <w:rPr>
      <w:sz w:val="16"/>
    </w:rPr>
  </w:style>
  <w:style w:type="paragraph" w:customStyle="1" w:styleId="WideTable">
    <w:name w:val="Wide Table"/>
    <w:basedOn w:val="Normal"/>
    <w:rsid w:val="00C944A6"/>
    <w:pPr>
      <w:ind w:left="-1418"/>
    </w:pPr>
    <w:rPr>
      <w:sz w:val="2"/>
      <w:szCs w:val="2"/>
    </w:rPr>
  </w:style>
  <w:style w:type="character" w:styleId="PageNumber">
    <w:name w:val="page number"/>
    <w:basedOn w:val="DefaultParagraphFont"/>
    <w:rsid w:val="00C944A6"/>
  </w:style>
  <w:style w:type="paragraph" w:styleId="Quote">
    <w:name w:val="Quote"/>
    <w:basedOn w:val="Heading1"/>
    <w:link w:val="QuoteChar"/>
    <w:qFormat/>
    <w:rsid w:val="00C944A6"/>
    <w:rPr>
      <w:b w:val="0"/>
      <w:sz w:val="72"/>
      <w:szCs w:val="72"/>
      <w:lang w:val="en-NZ"/>
    </w:rPr>
  </w:style>
  <w:style w:type="character" w:customStyle="1" w:styleId="QuoteChar">
    <w:name w:val="Quote Char"/>
    <w:basedOn w:val="DefaultParagraphFont"/>
    <w:link w:val="Quote"/>
    <w:rsid w:val="00C94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4A6"/>
    <w:pPr>
      <w:pageBreakBefore/>
    </w:pPr>
  </w:style>
  <w:style w:type="paragraph" w:customStyle="1" w:styleId="Border">
    <w:name w:val="Border"/>
    <w:basedOn w:val="Normal"/>
    <w:qFormat/>
    <w:rsid w:val="00C94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4A6"/>
    <w:rPr>
      <w:b/>
      <w:bCs/>
      <w:i/>
      <w:iCs/>
      <w:color w:val="auto"/>
    </w:rPr>
  </w:style>
  <w:style w:type="paragraph" w:styleId="IntenseQuote">
    <w:name w:val="Intense Quote"/>
    <w:basedOn w:val="Normal"/>
    <w:next w:val="Normal"/>
    <w:link w:val="IntenseQuoteChar"/>
    <w:uiPriority w:val="30"/>
    <w:qFormat/>
    <w:rsid w:val="00C94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4A6"/>
    <w:rPr>
      <w:smallCaps/>
      <w:color w:val="auto"/>
      <w:u w:val="single"/>
    </w:rPr>
  </w:style>
  <w:style w:type="character" w:styleId="IntenseReference">
    <w:name w:val="Intense Reference"/>
    <w:basedOn w:val="DefaultParagraphFont"/>
    <w:uiPriority w:val="32"/>
    <w:qFormat/>
    <w:rsid w:val="00C944A6"/>
    <w:rPr>
      <w:b/>
      <w:bCs/>
      <w:smallCaps/>
      <w:color w:val="auto"/>
      <w:spacing w:val="5"/>
      <w:u w:val="single"/>
    </w:rPr>
  </w:style>
  <w:style w:type="paragraph" w:customStyle="1" w:styleId="2ColumnHeading">
    <w:name w:val="2Column Heading"/>
    <w:basedOn w:val="BodyText"/>
    <w:qFormat/>
    <w:rsid w:val="00C944A6"/>
    <w:pPr>
      <w:spacing w:after="60"/>
      <w:ind w:left="-2268"/>
    </w:pPr>
    <w:rPr>
      <w:b/>
    </w:rPr>
  </w:style>
  <w:style w:type="paragraph" w:customStyle="1" w:styleId="Heading1TOC">
    <w:name w:val="Heading1 TOC"/>
    <w:basedOn w:val="Normal"/>
    <w:qFormat/>
    <w:rsid w:val="00C944A6"/>
    <w:pPr>
      <w:spacing w:before="240" w:after="120"/>
    </w:pPr>
    <w:rPr>
      <w:rFonts w:ascii="Times New Roman" w:hAnsi="Times New Roman"/>
      <w:b/>
      <w:sz w:val="32"/>
    </w:rPr>
  </w:style>
  <w:style w:type="paragraph" w:customStyle="1" w:styleId="Heading2TOC">
    <w:name w:val="Heading2 TOC"/>
    <w:basedOn w:val="Normal"/>
    <w:qFormat/>
    <w:rsid w:val="00C944A6"/>
    <w:pPr>
      <w:spacing w:before="240" w:after="60"/>
    </w:pPr>
    <w:rPr>
      <w:rFonts w:ascii="Times New Roman" w:hAnsi="Times New Roman"/>
      <w:b/>
      <w:sz w:val="28"/>
    </w:rPr>
  </w:style>
  <w:style w:type="character" w:customStyle="1" w:styleId="Underline">
    <w:name w:val="Underline"/>
    <w:basedOn w:val="DefaultParagraphFont"/>
    <w:qFormat/>
    <w:rsid w:val="00C944A6"/>
    <w:rPr>
      <w:u w:val="single"/>
    </w:rPr>
  </w:style>
  <w:style w:type="paragraph" w:styleId="BalloonText">
    <w:name w:val="Balloon Text"/>
    <w:basedOn w:val="Normal"/>
    <w:link w:val="BalloonTextChar"/>
    <w:rsid w:val="00C944A6"/>
    <w:rPr>
      <w:rFonts w:ascii="Tahoma" w:hAnsi="Tahoma" w:cs="Tahoma"/>
      <w:sz w:val="16"/>
      <w:szCs w:val="16"/>
    </w:rPr>
  </w:style>
  <w:style w:type="character" w:customStyle="1" w:styleId="BalloonTextChar">
    <w:name w:val="Balloon Text Char"/>
    <w:basedOn w:val="DefaultParagraphFont"/>
    <w:link w:val="BalloonText"/>
    <w:rsid w:val="00C94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4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4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4A6"/>
    <w:rPr>
      <w:b/>
      <w:color w:val="660033"/>
      <w:spacing w:val="0"/>
    </w:rPr>
  </w:style>
  <w:style w:type="paragraph" w:customStyle="1" w:styleId="Nameditemlist">
    <w:name w:val="Named item list"/>
    <w:basedOn w:val="BodyText"/>
    <w:qFormat/>
    <w:rsid w:val="00C944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1261</Words>
  <Characters>8404</Characters>
  <Application>Microsoft Office Word</Application>
  <DocSecurity>0</DocSecurity>
  <Lines>366</Lines>
  <Paragraphs>198</Paragraphs>
  <ScaleCrop>false</ScaleCrop>
  <Company>Author-it Software Corporation Ltd.</Company>
  <LinksUpToDate>false</LinksUpToDate>
  <CharactersWithSpaces>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CULMS502C Acquire/dispose of cultural material</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2013-10-25T06:10:00Z</dcterms:created>
  <dcterms:modified xsi:type="dcterms:W3CDTF">2013-10-25T06:10:00Z</dcterms:modified>
</cp:coreProperties>
</file>