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38C" w:rsidP="00E7738C">
      <w:pPr>
        <w:pStyle w:val="Title"/>
      </w:pPr>
      <w:bookmarkStart w:id="0" w:name="_GoBack"/>
      <w:bookmarkEnd w:id="0"/>
      <w:r>
        <w:fldChar w:fldCharType="begin"/>
      </w:r>
      <w:r>
        <w:instrText xml:space="preserve"> TITLE   \* MERGEFORMAT </w:instrText>
      </w:r>
      <w:r>
        <w:fldChar w:fldCharType="separate"/>
      </w:r>
      <w:r>
        <w:t>CUELGT05C Record and operate standard lighting cues</w:t>
      </w:r>
      <w:r>
        <w:fldChar w:fldCharType="end"/>
      </w:r>
    </w:p>
    <w:p w:rsidR="00E7738C" w:rsidP="00E7738C">
      <w:pPr>
        <w:pStyle w:val="Version"/>
        <w:sectPr w:rsidSect="00422F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FA4" w:rsidP="00422FA4">
      <w:pPr>
        <w:pStyle w:val="SuperHeading"/>
      </w:pPr>
      <w:r w:rsidRPr="00422FA4">
        <w:t>CUELGT05C Record and operate standard lighting cues</w:t>
      </w:r>
    </w:p>
    <w:p w:rsidR="00000000" w:rsidRPr="00422FA4" w:rsidP="00422FA4">
      <w:pPr>
        <w:pStyle w:val="Heading1"/>
      </w:pPr>
      <w:bookmarkStart w:id="1" w:name="O_318639"/>
      <w:bookmarkEnd w:id="1"/>
      <w:r w:rsidRPr="00422FA4">
        <w:t>Modification History</w:t>
      </w:r>
    </w:p>
    <w:p w:rsidR="00000000" w:rsidRPr="00422FA4" w:rsidP="00422FA4">
      <w:pPr>
        <w:pStyle w:val="BodyText"/>
      </w:pPr>
      <w:r w:rsidRPr="00422FA4">
        <w:t>Not applicable.</w:t>
      </w:r>
    </w:p>
    <w:p w:rsidR="00000000" w:rsidRPr="00422FA4" w:rsidP="00422FA4">
      <w:pPr>
        <w:pStyle w:val="AllowPageBreak"/>
      </w:pPr>
    </w:p>
    <w:p w:rsidR="00000000" w:rsidRPr="00422FA4" w:rsidP="00422FA4">
      <w:pPr>
        <w:pStyle w:val="Heading1"/>
      </w:pPr>
      <w:bookmarkStart w:id="2" w:name="O_318638"/>
      <w:bookmarkEnd w:id="2"/>
      <w:r w:rsidRPr="00422FA4">
        <w:t>Unit Descriptor</w:t>
      </w:r>
    </w:p>
    <w:p w:rsidR="00000000" w:rsidRPr="00422FA4" w:rsidP="00422FA4">
      <w:pPr>
        <w:pStyle w:val="BodyText"/>
      </w:pPr>
      <w:r w:rsidRPr="00422FA4">
        <w:t>This unit describes the skil</w:t>
      </w:r>
      <w:r w:rsidRPr="00422FA4">
        <w:t xml:space="preserve">ls and knowledge required to operate a lighting console through plotting and modifying standard lighting cues and then operating them in performance. This unit assumes that the set up of the lighting console and the operation of the more complex cues, and </w:t>
      </w:r>
      <w:r w:rsidRPr="00422FA4">
        <w:t>working with advanced equipment, will be undertaken by more senior lighting personnel.</w:t>
      </w:r>
    </w:p>
    <w:p w:rsidR="00000000" w:rsidRPr="00422FA4" w:rsidP="00422FA4">
      <w:pPr>
        <w:pStyle w:val="BodyText"/>
      </w:pPr>
      <w:r w:rsidRPr="00422FA4">
        <w:t>No licensing, legislative, regulatory or certification requirements apply to this unit at the time of endorsement.</w:t>
      </w:r>
    </w:p>
    <w:p w:rsidR="00000000" w:rsidRPr="00422FA4" w:rsidP="00422FA4">
      <w:pPr>
        <w:pStyle w:val="BodyText"/>
      </w:pPr>
      <w:r w:rsidRPr="00422FA4">
        <w:t xml:space="preserve">This unit describes the skills and knowledge required </w:t>
      </w:r>
      <w:r w:rsidRPr="00422FA4">
        <w:t>to operate a lighting console through plotting and modifying standard lighting cues and then operating them in performance. This unit assumes that the set up of the lighting console and the operation of the more complex cues, and working with advanced equi</w:t>
      </w:r>
      <w:r w:rsidRPr="00422FA4">
        <w:t>pment, will be undertaken by more senior lighting personnel.</w:t>
      </w:r>
    </w:p>
    <w:p w:rsidR="00000000" w:rsidRPr="00422FA4" w:rsidP="00422FA4">
      <w:pPr>
        <w:pStyle w:val="BodyText"/>
      </w:pPr>
      <w:r w:rsidRPr="00422FA4">
        <w:t>No licensing, legislative, regulatory or certification requirements apply to this unit at the time of endorsement.</w:t>
      </w:r>
    </w:p>
    <w:p w:rsidR="00000000" w:rsidRPr="00422FA4" w:rsidP="00422FA4">
      <w:pPr>
        <w:pStyle w:val="AllowPageBreak"/>
      </w:pPr>
    </w:p>
    <w:p w:rsidR="00000000" w:rsidRPr="00422FA4" w:rsidP="00422FA4">
      <w:pPr>
        <w:pStyle w:val="Heading1"/>
      </w:pPr>
      <w:bookmarkStart w:id="3" w:name="O_318637"/>
      <w:bookmarkEnd w:id="3"/>
      <w:r w:rsidRPr="00422FA4">
        <w:t>Application of the Unit</w:t>
      </w:r>
    </w:p>
    <w:p w:rsidR="00000000" w:rsidRPr="00422FA4" w:rsidP="00422FA4">
      <w:pPr>
        <w:pStyle w:val="BodyText"/>
      </w:pPr>
      <w:r w:rsidRPr="00422FA4">
        <w:t>Not applicable.</w:t>
      </w:r>
    </w:p>
    <w:p w:rsidR="00000000" w:rsidRPr="00422FA4" w:rsidP="00422FA4">
      <w:pPr>
        <w:pStyle w:val="AllowPageBreak"/>
      </w:pPr>
    </w:p>
    <w:p w:rsidR="00000000" w:rsidRPr="00422FA4" w:rsidP="00422FA4">
      <w:pPr>
        <w:pStyle w:val="Heading1"/>
      </w:pPr>
      <w:bookmarkStart w:id="4" w:name="O_318636"/>
      <w:bookmarkEnd w:id="4"/>
      <w:r w:rsidRPr="00422FA4">
        <w:t>Licens</w:t>
      </w:r>
      <w:r w:rsidRPr="00422FA4">
        <w:t>ing/Regulatory Information</w:t>
      </w:r>
    </w:p>
    <w:p w:rsidR="00000000" w:rsidRPr="00422FA4" w:rsidP="00422FA4">
      <w:pPr>
        <w:pStyle w:val="BodyText"/>
      </w:pPr>
      <w:r w:rsidRPr="00422FA4">
        <w:t>Refer to Unit Descriptor</w:t>
      </w:r>
    </w:p>
    <w:p w:rsidR="00000000" w:rsidRPr="00422FA4" w:rsidP="00422FA4">
      <w:pPr>
        <w:pStyle w:val="AllowPageBreak"/>
      </w:pPr>
    </w:p>
    <w:p w:rsidR="00000000" w:rsidRPr="00422FA4" w:rsidP="00422FA4">
      <w:pPr>
        <w:pStyle w:val="Heading1"/>
      </w:pPr>
      <w:bookmarkStart w:id="5" w:name="O_318635"/>
      <w:bookmarkEnd w:id="5"/>
      <w:r w:rsidRPr="00422FA4">
        <w:t>Pre-Requisites</w:t>
      </w:r>
    </w:p>
    <w:p w:rsidR="00000000" w:rsidRPr="00422FA4" w:rsidP="00422FA4">
      <w:pPr>
        <w:pStyle w:val="BodyText"/>
      </w:pPr>
      <w:r w:rsidRPr="00422FA4">
        <w:t>It is strongly recommended that this unit be assessed with or after the following unit:</w:t>
      </w:r>
    </w:p>
    <w:p w:rsidR="00000000" w:rsidRPr="00422FA4" w:rsidP="00422FA4">
      <w:pPr>
        <w:pStyle w:val="BodyText"/>
      </w:pPr>
      <w:r w:rsidRPr="00422FA4">
        <w:t>CUELGT09B Apply a general knowledge of lighting to work activities.</w:t>
      </w:r>
    </w:p>
    <w:p w:rsidR="00000000" w:rsidRPr="00422FA4" w:rsidP="00422FA4">
      <w:pPr>
        <w:pStyle w:val="BodyText"/>
      </w:pPr>
      <w:r w:rsidRPr="00422FA4">
        <w:t>This unit also has linkages to a range of other lighting units, and combined assessment and or training with those units may be appropriate.</w:t>
      </w:r>
    </w:p>
    <w:p w:rsidR="00000000" w:rsidRPr="00422FA4" w:rsidP="00422FA4">
      <w:pPr>
        <w:pStyle w:val="BodyText"/>
      </w:pPr>
      <w:r w:rsidRPr="00422FA4">
        <w:t>It is strongly recommended that this unit be assessed with or after the following unit:</w:t>
      </w:r>
    </w:p>
    <w:p w:rsidR="00000000" w:rsidRPr="00422FA4" w:rsidP="00422FA4">
      <w:pPr>
        <w:pStyle w:val="BodyText"/>
      </w:pPr>
      <w:r w:rsidRPr="00422FA4">
        <w:t>CUELGT09B Apply a general k</w:t>
      </w:r>
      <w:r w:rsidRPr="00422FA4">
        <w:t>nowledge of lighting to work activities.</w:t>
      </w:r>
    </w:p>
    <w:p w:rsidR="00000000" w:rsidRPr="00422FA4" w:rsidP="00422FA4">
      <w:pPr>
        <w:pStyle w:val="BodyText"/>
      </w:pPr>
      <w:r w:rsidRPr="00422FA4">
        <w:t>This unit also has linkages to a range of other lighting units, and combined assessment and or training with those units may be appropriate.</w:t>
      </w:r>
    </w:p>
    <w:p w:rsidR="00000000" w:rsidRPr="00422FA4" w:rsidP="00422FA4">
      <w:pPr>
        <w:pStyle w:val="AllowPageBreak"/>
      </w:pPr>
    </w:p>
    <w:p w:rsidR="00000000" w:rsidRPr="00422FA4" w:rsidP="00422FA4">
      <w:pPr>
        <w:pStyle w:val="Heading1"/>
      </w:pPr>
      <w:bookmarkStart w:id="6" w:name="O_318634"/>
      <w:bookmarkEnd w:id="6"/>
      <w:r w:rsidRPr="00422FA4">
        <w:t>Employability Skills Information</w:t>
      </w:r>
    </w:p>
    <w:p w:rsidR="00000000" w:rsidRPr="00422FA4" w:rsidP="00422FA4">
      <w:pPr>
        <w:pStyle w:val="BodyText"/>
      </w:pPr>
      <w:r w:rsidRPr="00422FA4">
        <w:t>This unit contains emplo</w:t>
      </w:r>
      <w:r w:rsidRPr="00422FA4">
        <w:t>yability skills.</w:t>
      </w:r>
    </w:p>
    <w:p w:rsidR="00000000" w:rsidRPr="00422FA4" w:rsidP="00422FA4">
      <w:pPr>
        <w:pStyle w:val="BodyText"/>
      </w:pPr>
      <w:r w:rsidRPr="00422FA4">
        <w:t>This unit contains employability skills.</w:t>
      </w:r>
    </w:p>
    <w:p w:rsidR="00000000" w:rsidRPr="00422FA4" w:rsidP="00422FA4">
      <w:pPr>
        <w:pStyle w:val="AllowPageBreak"/>
      </w:pPr>
    </w:p>
    <w:p w:rsidR="00000000" w:rsidRPr="00422FA4" w:rsidP="00422FA4">
      <w:pPr>
        <w:pStyle w:val="Heading1"/>
      </w:pPr>
      <w:bookmarkStart w:id="7" w:name="O_318633"/>
      <w:bookmarkEnd w:id="7"/>
      <w:r w:rsidRPr="00422FA4">
        <w:t>Elements and Performance Criteria Pre-Content</w:t>
      </w:r>
    </w:p>
    <w:p w:rsidR="00000000" w:rsidRPr="00422FA4" w:rsidP="00422FA4">
      <w:pPr>
        <w:pStyle w:val="BodyText"/>
      </w:pPr>
      <w:r w:rsidRPr="00422FA4">
        <w:t>Elements describe the essential outcomes of a unit of competency.</w:t>
      </w:r>
    </w:p>
    <w:p w:rsidR="00000000" w:rsidRPr="00422FA4" w:rsidP="00422FA4">
      <w:pPr>
        <w:pStyle w:val="BodyText"/>
      </w:pPr>
      <w:r w:rsidRPr="00422FA4">
        <w:t>Performance criteria describe the performance needed to demonstrate a</w:t>
      </w:r>
      <w:r w:rsidRPr="00422FA4">
        <w:t xml:space="preserve">chievement of the element. Where </w:t>
      </w:r>
      <w:r w:rsidRPr="00422FA4">
        <w:rPr>
          <w:rStyle w:val="SpecialBold"/>
        </w:rPr>
        <w:t xml:space="preserve">bold italicised </w:t>
      </w:r>
      <w:r w:rsidRPr="00422FA4">
        <w:t>text is used, further information is detailed in the required skills and knowledge section and the range statement. Assessment of performance is to be consistent with the evidence guide.</w:t>
      </w:r>
    </w:p>
    <w:p w:rsidR="00000000" w:rsidRPr="00422FA4" w:rsidP="00422FA4">
      <w:pPr>
        <w:pStyle w:val="BodyText"/>
      </w:pPr>
      <w:r w:rsidRPr="00422FA4">
        <w:t>Elements describe th</w:t>
      </w:r>
      <w:r w:rsidRPr="00422FA4">
        <w:t>e essential outcomes of a unit of competency.</w:t>
      </w:r>
    </w:p>
    <w:p w:rsidR="00000000" w:rsidRPr="00422FA4" w:rsidP="00422FA4">
      <w:pPr>
        <w:pStyle w:val="BodyText"/>
      </w:pPr>
      <w:r w:rsidRPr="00422FA4">
        <w:t xml:space="preserve">Performance criteria describe the performance needed to demonstrate achievement of the element. Where </w:t>
      </w:r>
      <w:r w:rsidRPr="00422FA4">
        <w:rPr>
          <w:rStyle w:val="SpecialBold"/>
        </w:rPr>
        <w:t xml:space="preserve">bold italicised </w:t>
      </w:r>
      <w:r w:rsidRPr="00422FA4">
        <w:t>text is used, further information is detailed in the required skills and knowledge section a</w:t>
      </w:r>
      <w:r w:rsidRPr="00422FA4">
        <w:t>nd the range statement. Assessment of performance is to be consistent with the evidence guide.</w:t>
      </w:r>
    </w:p>
    <w:p w:rsidR="00000000" w:rsidRPr="00422FA4" w:rsidP="00422FA4">
      <w:pPr>
        <w:pStyle w:val="AllowPageBreak"/>
      </w:pPr>
    </w:p>
    <w:p w:rsidR="00000000" w:rsidRPr="00422FA4" w:rsidP="00422FA4">
      <w:pPr>
        <w:pStyle w:val="Heading1"/>
      </w:pPr>
      <w:bookmarkStart w:id="8" w:name="O_318629"/>
      <w:bookmarkEnd w:id="8"/>
      <w:r w:rsidRPr="00422FA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7738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Elements and Performance Criteria</w:t>
            </w:r>
          </w:p>
        </w:tc>
      </w:tr>
      <w:tr w:rsidTr="00E7738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Performance Criteria</w:t>
            </w:r>
          </w:p>
        </w:tc>
      </w:tr>
      <w:tr w:rsidTr="00E773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1</w:t>
            </w:r>
          </w:p>
        </w:tc>
        <w:tc>
          <w:tcPr>
            <w:tcW w:w="3000" w:type="dxa"/>
            <w:vMerge w:val="restart"/>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Record, modify and replay lighting cues.</w:t>
            </w: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1.1</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Correctly identify the functions of </w:t>
            </w:r>
            <w:r w:rsidRPr="00422FA4">
              <w:rPr>
                <w:rStyle w:val="SpecialBold"/>
              </w:rPr>
              <w:t xml:space="preserve">controls </w:t>
            </w:r>
            <w:r w:rsidRPr="00422FA4">
              <w:t>on the console, including function of the unit displaying data and controls to produce text.</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1.2</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Corre</w:t>
            </w:r>
            <w:r w:rsidRPr="00422FA4">
              <w:t>ctly undertake channel selection and intensity setting, identify on display unit and make appropriate modifications using all relevant controls.</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1.3</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Accurately record cue number and fade/wait times identify on display unit and make appropriate modificat</w:t>
            </w:r>
            <w:r w:rsidRPr="00422FA4">
              <w:t>ions using all relevant controls.</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1.4</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Play recorded cues in correct sequence and time using all relevant controls correctly, and identify on display unit.</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1.5</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Create, modify and replay group and sub-groups in correct sequence and time using all relevant controls correctly and identify on display unit.</w:t>
            </w:r>
          </w:p>
        </w:tc>
      </w:tr>
      <w:tr w:rsidTr="00E773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2</w:t>
            </w:r>
          </w:p>
        </w:tc>
        <w:tc>
          <w:tcPr>
            <w:tcW w:w="3000" w:type="dxa"/>
            <w:vMerge w:val="restart"/>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Carry out procedures prior to plotting or operating lighting cues.</w:t>
            </w: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2.1</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Ensure that working area is clear, tid</w:t>
            </w:r>
            <w:r w:rsidRPr="00422FA4">
              <w:t>y, properly illuminated, and relevant written instructions are to hand.</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2.2</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Check communications equipment and ensure that it is in working order.</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2.3</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Power up dimmers, </w:t>
            </w:r>
            <w:r w:rsidRPr="00422FA4">
              <w:rPr>
                <w:rStyle w:val="SpecialBold"/>
              </w:rPr>
              <w:t xml:space="preserve">control desk </w:t>
            </w:r>
            <w:r w:rsidRPr="00422FA4">
              <w:t xml:space="preserve">and </w:t>
            </w:r>
            <w:r w:rsidRPr="00422FA4">
              <w:rPr>
                <w:rStyle w:val="SpecialBold"/>
              </w:rPr>
              <w:t xml:space="preserve">peripherals </w:t>
            </w:r>
            <w:r w:rsidRPr="00422FA4">
              <w:t>using safe working practices and check that operating environment is within manufacturer parameters.</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2.4</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Test </w:t>
            </w:r>
            <w:r w:rsidRPr="00422FA4">
              <w:rPr>
                <w:rStyle w:val="SpecialBold"/>
              </w:rPr>
              <w:t>lighting instruments</w:t>
            </w:r>
            <w:r w:rsidRPr="00422FA4">
              <w:t xml:space="preserve">, accessories and </w:t>
            </w:r>
            <w:r w:rsidRPr="00422FA4">
              <w:rPr>
                <w:rStyle w:val="SpecialBold"/>
              </w:rPr>
              <w:t xml:space="preserve">other lighting elements </w:t>
            </w:r>
            <w:r w:rsidRPr="00422FA4">
              <w:t>to ensure all items are in correct working order.</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2.5</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Test </w:t>
            </w:r>
            <w:r w:rsidRPr="00422FA4">
              <w:rPr>
                <w:rStyle w:val="SpecialBold"/>
              </w:rPr>
              <w:t xml:space="preserve">venue </w:t>
            </w:r>
            <w:r w:rsidRPr="00422FA4">
              <w:t>audience, dec</w:t>
            </w:r>
            <w:r w:rsidRPr="00422FA4">
              <w:t>orative, safety, and working lighting to ensure all items are in correct working order.</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2.6</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Identify problems with equipment promptly and take appropriate action, or refer to </w:t>
            </w:r>
            <w:r w:rsidRPr="00422FA4">
              <w:rPr>
                <w:rStyle w:val="SpecialBold"/>
              </w:rPr>
              <w:t xml:space="preserve">appropriate personnel </w:t>
            </w:r>
            <w:r w:rsidRPr="00422FA4">
              <w:t>as required.</w:t>
            </w:r>
          </w:p>
        </w:tc>
      </w:tr>
      <w:tr w:rsidTr="00E773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3</w:t>
            </w:r>
          </w:p>
        </w:tc>
        <w:tc>
          <w:tcPr>
            <w:tcW w:w="3000" w:type="dxa"/>
            <w:vMerge w:val="restart"/>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Plot and operate lighting cues.</w:t>
            </w: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3.1</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Check instructions to verify practicality before plotting and repeat once plotted.</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3.2</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Test line of sight needed for visual cues for feasibility during performance.</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3.3</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Action cues without delay in accordance with directions and production requirements.</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3.4</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Complete cue modifications in accordance with instruction and accurately update appropriate documentation.</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3.5</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Establish suitable back-up lighting states in the </w:t>
            </w:r>
            <w:r w:rsidRPr="00422FA4">
              <w:t>event of the failure of those recorded.</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3.6</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Store recorded lighting cues and other data electronically on device external to main lighting console.</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3.7</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Identify and rectify problems safely and in accordance with venue procedures, or refer to appropri</w:t>
            </w:r>
            <w:r w:rsidRPr="00422FA4">
              <w:t>ate personnel.</w:t>
            </w:r>
          </w:p>
        </w:tc>
      </w:tr>
      <w:tr w:rsidTr="00E773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4</w:t>
            </w:r>
          </w:p>
        </w:tc>
        <w:tc>
          <w:tcPr>
            <w:tcW w:w="3000" w:type="dxa"/>
            <w:vMerge w:val="restart"/>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Carry out basic troubleshooting procedures.</w:t>
            </w: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4.1</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Correctly identify the nature of faults and locate promptly.</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4.2</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Assess the need for remedial action taking consideration of safety issues and the need for uninterrupted performance.</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4.3</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Correctly follow manufacturer diagnostic and remedial procedures in accordance with organisational policy.</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4.4</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Report fault to appropriate personnel if fault cannot be immediately rectified, providing all relevant information.</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4.5</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Liaise with appropriate personnel to identify back-up alternatives if fault cannot be rectified before next production deadline.</w:t>
            </w:r>
          </w:p>
        </w:tc>
      </w:tr>
      <w:tr w:rsidTr="00E773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5</w:t>
            </w:r>
          </w:p>
        </w:tc>
        <w:tc>
          <w:tcPr>
            <w:tcW w:w="3000" w:type="dxa"/>
            <w:vMerge w:val="restart"/>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Carry out post-performance procedures.</w:t>
            </w: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5.1</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Correctly power down equipment or set to standby between performances as required</w:t>
            </w:r>
            <w:r w:rsidRPr="00422FA4">
              <w:t>.</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5.2</w:t>
            </w:r>
          </w:p>
        </w:tc>
        <w:tc>
          <w:tcPr>
            <w:tcW w:w="51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Store and/or cover control in accordance with organisational procedures.</w:t>
            </w:r>
          </w:p>
        </w:tc>
      </w:tr>
      <w:tr w:rsidTr="00E773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5.3</w:t>
            </w:r>
          </w:p>
        </w:tc>
        <w:tc>
          <w:tcPr>
            <w:tcW w:w="51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Make accurate changes to documentation and file in accordance with organisation procedures.</w:t>
            </w:r>
          </w:p>
        </w:tc>
      </w:tr>
    </w:tbl>
    <w:p w:rsidR="00000000" w:rsidRPr="00422FA4" w:rsidP="00422FA4">
      <w:pPr>
        <w:pStyle w:val="BodyText"/>
      </w:pPr>
    </w:p>
    <w:p w:rsidR="00000000" w:rsidRPr="00422FA4" w:rsidP="00422FA4">
      <w:pPr>
        <w:pStyle w:val="AllowPageBreak"/>
      </w:pPr>
    </w:p>
    <w:p w:rsidR="00000000" w:rsidRPr="00422FA4" w:rsidP="00422FA4">
      <w:pPr>
        <w:pStyle w:val="Heading1"/>
      </w:pPr>
      <w:bookmarkStart w:id="9" w:name="O_318632"/>
      <w:bookmarkEnd w:id="9"/>
      <w:r w:rsidRPr="00422FA4">
        <w:t>Required Skills and Knowledge</w:t>
      </w:r>
    </w:p>
    <w:tbl>
      <w:tblPr>
        <w:tblW w:w="0" w:type="auto"/>
        <w:tblLayout w:type="fixed"/>
        <w:tblCellMar>
          <w:left w:w="62" w:type="dxa"/>
          <w:right w:w="62" w:type="dxa"/>
        </w:tblCellMar>
        <w:tblLook w:val="0000"/>
      </w:tblPr>
      <w:tblGrid>
        <w:gridCol w:w="9000"/>
      </w:tblGrid>
      <w:tr w:rsidTr="00E77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This section describes the skills and knowledge required for this unit. </w:t>
            </w:r>
          </w:p>
        </w:tc>
      </w:tr>
      <w:tr w:rsidTr="00E77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rPr>
                <w:rStyle w:val="SpecialBold"/>
              </w:rPr>
              <w:t>Required skills</w:t>
            </w:r>
            <w:r w:rsidRPr="00422FA4">
              <w:t xml:space="preserve">:    </w:t>
            </w:r>
          </w:p>
          <w:p w:rsidR="00000000" w:rsidRPr="00422FA4" w:rsidP="00422FA4">
            <w:pPr>
              <w:pStyle w:val="BodyText"/>
            </w:pPr>
            <w:r w:rsidRPr="00422FA4">
              <w:t>communication skills to allow for effective collaboration with other technicians and designers</w:t>
            </w:r>
          </w:p>
          <w:p w:rsidR="00000000" w:rsidRPr="00422FA4" w:rsidP="00422FA4">
            <w:pPr>
              <w:pStyle w:val="BodyText"/>
            </w:pPr>
            <w:r w:rsidRPr="00422FA4">
              <w:t>numeracy skills sufficient to complete simple mathematical calcula</w:t>
            </w:r>
            <w:r w:rsidRPr="00422FA4">
              <w:t>tions and recall numbers for channel selection</w:t>
            </w:r>
          </w:p>
          <w:p w:rsidR="00000000" w:rsidP="00422FA4">
            <w:pPr>
              <w:pStyle w:val="BodyText"/>
              <w:rPr>
                <w:lang w:val="en-NZ"/>
              </w:rPr>
            </w:pPr>
            <w:r w:rsidRPr="00422FA4">
              <w:t xml:space="preserve">literacy skills sufficient to interpret production documentation. </w:t>
            </w:r>
          </w:p>
        </w:tc>
      </w:tr>
      <w:tr w:rsidTr="00E77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rPr>
                <w:rStyle w:val="SpecialBold"/>
              </w:rPr>
              <w:t>Required knowledge</w:t>
            </w:r>
            <w:r w:rsidRPr="00422FA4">
              <w:t xml:space="preserve">:    </w:t>
            </w:r>
          </w:p>
          <w:p w:rsidR="00000000" w:rsidRPr="00422FA4" w:rsidP="00422FA4">
            <w:pPr>
              <w:pStyle w:val="BodyText"/>
            </w:pPr>
            <w:r w:rsidRPr="00422FA4">
              <w:t xml:space="preserve">knowledge of general lighting terms, including how terms may vary between different systems or how different terms </w:t>
            </w:r>
            <w:r w:rsidRPr="00422FA4">
              <w:t>can refer to the same functions on different systems</w:t>
            </w:r>
          </w:p>
          <w:p w:rsidR="00000000" w:rsidRPr="00422FA4" w:rsidP="00422FA4">
            <w:pPr>
              <w:pStyle w:val="BodyText"/>
            </w:pPr>
            <w:r w:rsidRPr="00422FA4">
              <w:t>knowledge of lighting control concepts used in various lighting systems</w:t>
            </w:r>
          </w:p>
          <w:p w:rsidR="00000000" w:rsidRPr="00422FA4" w:rsidP="00422FA4">
            <w:pPr>
              <w:pStyle w:val="BodyText"/>
            </w:pPr>
            <w:r w:rsidRPr="00422FA4">
              <w:t>industry terminology and protocols particularly in relation to the operation of lighting</w:t>
            </w:r>
          </w:p>
          <w:p w:rsidR="00000000" w:rsidRPr="00422FA4" w:rsidP="00422FA4">
            <w:pPr>
              <w:pStyle w:val="BodyText"/>
            </w:pPr>
            <w:r w:rsidRPr="00422FA4">
              <w:t>knowledge of the main types of lanterns, i</w:t>
            </w:r>
            <w:r w:rsidRPr="00422FA4">
              <w:t>ncluding profile, Fresnel, PC, flood, and PAR lamps, their uses and operations (optical and mechanical) and accessories</w:t>
            </w:r>
          </w:p>
          <w:p w:rsidR="00000000" w:rsidRPr="00422FA4" w:rsidP="00422FA4">
            <w:pPr>
              <w:pStyle w:val="BodyText"/>
            </w:pPr>
            <w:r w:rsidRPr="00422FA4">
              <w:t xml:space="preserve">understanding of the basic elements of lighting design </w:t>
            </w:r>
          </w:p>
          <w:p w:rsidR="00000000" w:rsidP="00422FA4">
            <w:pPr>
              <w:pStyle w:val="BodyText"/>
              <w:rPr>
                <w:lang w:val="en-NZ"/>
              </w:rPr>
            </w:pPr>
            <w:r w:rsidRPr="00422FA4">
              <w:t>problem-solving techniques particularly in relation to lighting console operatio</w:t>
            </w:r>
            <w:r w:rsidRPr="00422FA4">
              <w:t xml:space="preserve">n </w:t>
            </w:r>
          </w:p>
        </w:tc>
      </w:tr>
      <w:tr w:rsidTr="00E77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documentation and back-up systems used in conjunction with lighting control</w:t>
            </w:r>
          </w:p>
          <w:p w:rsidR="00000000" w:rsidP="00422FA4">
            <w:pPr>
              <w:pStyle w:val="BodyText"/>
              <w:rPr>
                <w:lang w:val="en-NZ"/>
              </w:rPr>
            </w:pPr>
            <w:r w:rsidRPr="00422FA4">
              <w:t xml:space="preserve">colour recognition in display equipment. </w:t>
            </w:r>
          </w:p>
        </w:tc>
      </w:tr>
      <w:tr w:rsidTr="00E773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2FA4" w:rsidP="00422FA4">
            <w:pPr>
              <w:pStyle w:val="BodyText"/>
            </w:pPr>
          </w:p>
        </w:tc>
      </w:tr>
    </w:tbl>
    <w:p w:rsidR="00000000" w:rsidRPr="00422FA4" w:rsidP="00422FA4">
      <w:pPr>
        <w:pStyle w:val="BodyText"/>
      </w:pPr>
    </w:p>
    <w:p w:rsidR="00000000" w:rsidRPr="00422FA4" w:rsidP="00422FA4">
      <w:pPr>
        <w:pStyle w:val="AllowPageBreak"/>
      </w:pPr>
    </w:p>
    <w:p w:rsidR="00000000" w:rsidRPr="00422FA4" w:rsidP="00422FA4">
      <w:pPr>
        <w:pStyle w:val="Heading1"/>
      </w:pPr>
      <w:bookmarkStart w:id="10" w:name="O_318640"/>
      <w:bookmarkEnd w:id="10"/>
      <w:r w:rsidRPr="00422FA4">
        <w:t>Evidence Guide</w:t>
      </w:r>
    </w:p>
    <w:tbl>
      <w:tblPr>
        <w:tblW w:w="0" w:type="auto"/>
        <w:tblLayout w:type="fixed"/>
        <w:tblCellMar>
          <w:left w:w="62" w:type="dxa"/>
          <w:right w:w="62" w:type="dxa"/>
        </w:tblCellMar>
        <w:tblLook w:val="0000"/>
      </w:tblPr>
      <w:tblGrid>
        <w:gridCol w:w="4500"/>
        <w:gridCol w:w="4500"/>
      </w:tblGrid>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The evidence guide provides advice on assessment and must be read in conjunction with the performance criteria, required skills and knowledge, range statement and the Assessment Guidelines for the Training Package. </w:t>
            </w: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Critical aspects for assessment and ev</w:t>
            </w:r>
            <w:r w:rsidRPr="00422FA4">
              <w:rPr>
                <w:rStyle w:val="SpecialBold"/>
              </w:rPr>
              <w:t>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 xml:space="preserve">The following evidence is critical to the judgement of competence in this unit:    </w:t>
            </w:r>
          </w:p>
          <w:p w:rsidR="00000000" w:rsidRPr="00422FA4" w:rsidP="00422FA4">
            <w:pPr>
              <w:pStyle w:val="BodyText"/>
            </w:pPr>
            <w:r w:rsidRPr="00422FA4">
              <w:t>ability to accurately record and reproduce lighting cues to instruction in a given timeframe</w:t>
            </w:r>
          </w:p>
          <w:p w:rsidR="00000000" w:rsidP="00422FA4">
            <w:pPr>
              <w:pStyle w:val="BodyText"/>
              <w:rPr>
                <w:lang w:val="en-NZ"/>
              </w:rPr>
            </w:pPr>
            <w:r w:rsidRPr="00422FA4">
              <w:t>knowledge of lighting te</w:t>
            </w:r>
            <w:r w:rsidRPr="00422FA4">
              <w:t xml:space="preserve">rminology.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 xml:space="preserve">The assessment context must provide for:    </w:t>
            </w:r>
          </w:p>
          <w:p w:rsidR="00000000" w:rsidRPr="00422FA4" w:rsidP="00422FA4">
            <w:pPr>
              <w:pStyle w:val="BodyText"/>
            </w:pPr>
            <w:r w:rsidRPr="00422FA4">
              <w:t>practical demonstration of skills through the use of a lighting console on multiple occasions for multiple productions</w:t>
            </w:r>
          </w:p>
          <w:p w:rsidR="00000000" w:rsidP="00422FA4">
            <w:pPr>
              <w:pStyle w:val="BodyText"/>
              <w:rPr>
                <w:lang w:val="en-NZ"/>
              </w:rPr>
            </w:pPr>
            <w:r w:rsidRPr="00422FA4">
              <w:t xml:space="preserve">use of industry-current equipment.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 xml:space="preserve">Assessment may incorporate a range of methods to assess performance and the application of essential underpinning knowledge, and might include:    </w:t>
            </w:r>
          </w:p>
          <w:p w:rsidR="00000000" w:rsidRPr="00422FA4" w:rsidP="00422FA4">
            <w:pPr>
              <w:pStyle w:val="BodyText"/>
            </w:pPr>
            <w:r w:rsidRPr="00422FA4">
              <w:t>direct observation of the candidate operating a</w:t>
            </w:r>
            <w:r w:rsidRPr="00422FA4">
              <w:t xml:space="preserve"> lighting console during production</w:t>
            </w:r>
          </w:p>
          <w:p w:rsidR="00000000" w:rsidRPr="00422FA4" w:rsidP="00422FA4">
            <w:pPr>
              <w:pStyle w:val="BodyText"/>
            </w:pPr>
            <w:r w:rsidRPr="00422FA4">
              <w:t>direct observation of the lighting effects produced by the candidate during a production</w:t>
            </w:r>
          </w:p>
          <w:p w:rsidR="00000000" w:rsidRPr="00422FA4" w:rsidP="00422FA4">
            <w:pPr>
              <w:pStyle w:val="BodyText"/>
            </w:pPr>
            <w:r w:rsidRPr="00422FA4">
              <w:t xml:space="preserve">oral or written questioning to assess knowledge of console features and functions </w:t>
            </w:r>
          </w:p>
          <w:p w:rsidR="00000000" w:rsidRPr="00422FA4" w:rsidP="00422FA4">
            <w:pPr>
              <w:pStyle w:val="BodyText"/>
            </w:pPr>
            <w:r w:rsidRPr="00422FA4">
              <w:t>review of portfolios of evidence and third party</w:t>
            </w:r>
            <w:r w:rsidRPr="00422FA4">
              <w:t xml:space="preserve"> workplace reports on on-the-job performance by the candidate.</w:t>
            </w:r>
          </w:p>
          <w:p w:rsidR="00000000" w:rsidP="00422FA4">
            <w:pPr>
              <w:pStyle w:val="BodyText"/>
              <w:rPr>
                <w:lang w:val="en-NZ"/>
              </w:rPr>
            </w:pPr>
            <w:r w:rsidRPr="00422FA4">
              <w:t>Assessment methods should closely reflect workp</w:t>
            </w:r>
            <w:r w:rsidRPr="00422FA4">
              <w:t xml:space="preserve">lace demands and the needs of particular groups (eg people with disabilities, and people who may have literacy or numeracy difficulties such as speakers of languages other than English, remote communities and those with interrupted schooling).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Assess</w:t>
            </w:r>
            <w:r w:rsidRPr="00422FA4">
              <w:t xml:space="preserve">ment of this unit requires access to:    </w:t>
            </w:r>
          </w:p>
          <w:p w:rsidR="00000000" w:rsidRPr="00422FA4" w:rsidP="00422FA4">
            <w:pPr>
              <w:pStyle w:val="BodyText"/>
            </w:pPr>
            <w:r w:rsidRPr="00422FA4">
              <w:t>a range of lighting equipment as identified in the Range Statement</w:t>
            </w:r>
          </w:p>
          <w:p w:rsidR="00000000" w:rsidRPr="00422FA4" w:rsidP="00422FA4">
            <w:pPr>
              <w:pStyle w:val="BodyText"/>
            </w:pPr>
            <w:r w:rsidRPr="00422FA4">
              <w:t xml:space="preserve">a production and production venue. </w:t>
            </w:r>
          </w:p>
        </w:tc>
      </w:tr>
    </w:tbl>
    <w:p w:rsidR="00000000" w:rsidRPr="00422FA4" w:rsidP="00422FA4">
      <w:pPr>
        <w:pStyle w:val="BodyText"/>
      </w:pPr>
    </w:p>
    <w:p w:rsidR="00000000" w:rsidRPr="00422FA4" w:rsidP="00422FA4">
      <w:pPr>
        <w:pStyle w:val="AllowPageBreak"/>
      </w:pPr>
    </w:p>
    <w:p w:rsidR="00000000" w:rsidRPr="00422FA4" w:rsidP="00422FA4">
      <w:pPr>
        <w:pStyle w:val="Heading1"/>
      </w:pPr>
      <w:bookmarkStart w:id="11" w:name="O_318631"/>
      <w:bookmarkEnd w:id="11"/>
      <w:r w:rsidRPr="00422FA4">
        <w:t>Range Statement</w:t>
      </w:r>
    </w:p>
    <w:tbl>
      <w:tblPr>
        <w:tblW w:w="0" w:type="auto"/>
        <w:tblLayout w:type="fixed"/>
        <w:tblCellMar>
          <w:left w:w="62" w:type="dxa"/>
          <w:right w:w="62" w:type="dxa"/>
        </w:tblCellMar>
        <w:tblLook w:val="0000"/>
      </w:tblPr>
      <w:tblGrid>
        <w:gridCol w:w="4500"/>
        <w:gridCol w:w="4500"/>
      </w:tblGrid>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The range statement relates to the unit of competency as a whole. It allows for different work environments and situations that may affect performance. </w:t>
            </w:r>
            <w:r w:rsidRPr="00422FA4">
              <w:rPr>
                <w:rStyle w:val="SpecialBold"/>
              </w:rPr>
              <w:t>Bold italicised</w:t>
            </w:r>
            <w:r w:rsidRPr="00422FA4">
              <w:t xml:space="preserve"> wording, if used in the performance criteria, is detailed below. Essential operating con</w:t>
            </w:r>
            <w:r w:rsidRPr="00422FA4">
              <w:t xml:space="preserve">ditions that may be present with training and assessment (depending on the work situation needs of the candidate, accessibility of the item, and local industry and regional contexts) may also be included. </w:t>
            </w: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Venue</w:t>
            </w:r>
            <w:r w:rsidRPr="00422FA4">
              <w:t xml:space="preserve"> lights may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aisle lights</w:t>
            </w:r>
          </w:p>
          <w:p w:rsidR="00000000" w:rsidRPr="00422FA4" w:rsidP="00422FA4">
            <w:pPr>
              <w:pStyle w:val="BodyText"/>
            </w:pPr>
            <w:r w:rsidRPr="00422FA4">
              <w:t>blue lig</w:t>
            </w:r>
            <w:r w:rsidRPr="00422FA4">
              <w:t>ht</w:t>
            </w:r>
          </w:p>
          <w:p w:rsidR="00000000" w:rsidRPr="00422FA4" w:rsidP="00422FA4">
            <w:pPr>
              <w:pStyle w:val="BodyText"/>
            </w:pPr>
            <w:r w:rsidRPr="00422FA4">
              <w:t>cleaners lights</w:t>
            </w:r>
          </w:p>
          <w:p w:rsidR="00000000" w:rsidRPr="00422FA4" w:rsidP="00422FA4">
            <w:pPr>
              <w:pStyle w:val="BodyText"/>
            </w:pPr>
            <w:r w:rsidRPr="00422FA4">
              <w:t>display/advertising lights</w:t>
            </w:r>
          </w:p>
          <w:p w:rsidR="00000000" w:rsidRPr="00422FA4" w:rsidP="00422FA4">
            <w:pPr>
              <w:pStyle w:val="BodyText"/>
            </w:pPr>
            <w:r w:rsidRPr="00422FA4">
              <w:t>general lights</w:t>
            </w:r>
          </w:p>
          <w:p w:rsidR="00000000" w:rsidRPr="00422FA4" w:rsidP="00422FA4">
            <w:pPr>
              <w:pStyle w:val="BodyText"/>
            </w:pPr>
            <w:r w:rsidRPr="00422FA4">
              <w:t>house lights</w:t>
            </w:r>
          </w:p>
          <w:p w:rsidR="00000000" w:rsidRPr="00422FA4" w:rsidP="00422FA4">
            <w:pPr>
              <w:pStyle w:val="BodyText"/>
            </w:pPr>
            <w:r w:rsidRPr="00422FA4">
              <w:t>orchestra lights</w:t>
            </w:r>
          </w:p>
          <w:p w:rsidR="00000000" w:rsidRPr="00422FA4" w:rsidP="00422FA4">
            <w:pPr>
              <w:pStyle w:val="BodyText"/>
            </w:pPr>
            <w:r w:rsidRPr="00422FA4">
              <w:t>panic lights</w:t>
            </w:r>
          </w:p>
          <w:p w:rsidR="00000000" w:rsidRPr="00422FA4" w:rsidP="00422FA4">
            <w:pPr>
              <w:pStyle w:val="BodyText"/>
            </w:pPr>
            <w:r w:rsidRPr="00422FA4">
              <w:t>task light</w:t>
            </w:r>
          </w:p>
          <w:p w:rsidR="00000000" w:rsidP="00422FA4">
            <w:pPr>
              <w:pStyle w:val="BodyText"/>
              <w:rPr>
                <w:lang w:val="en-NZ"/>
              </w:rPr>
            </w:pPr>
            <w:r w:rsidRPr="00422FA4">
              <w:t xml:space="preserve">work lights.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Lighting instruments</w:t>
            </w:r>
            <w:r w:rsidRPr="00422FA4">
              <w:t xml:space="preserve"> must include: </w:t>
            </w:r>
          </w:p>
        </w:tc>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theatre-based units.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Lighting instruments</w:t>
            </w:r>
            <w:r w:rsidRPr="00422FA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special effects units</w:t>
            </w:r>
          </w:p>
          <w:p w:rsidR="00000000" w:rsidP="00422FA4">
            <w:pPr>
              <w:pStyle w:val="BodyText"/>
              <w:rPr>
                <w:lang w:val="en-NZ"/>
              </w:rPr>
            </w:pPr>
            <w:r w:rsidRPr="00422FA4">
              <w:t xml:space="preserve">digital moving lights.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Other lighting elements</w:t>
            </w:r>
            <w:r w:rsidRPr="00422FA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electrical/electronic props</w:t>
            </w:r>
          </w:p>
          <w:p w:rsidR="00000000" w:rsidRPr="00422FA4" w:rsidP="00422FA4">
            <w:pPr>
              <w:pStyle w:val="BodyText"/>
            </w:pPr>
            <w:r w:rsidRPr="00422FA4">
              <w:t>pracs</w:t>
            </w:r>
          </w:p>
          <w:p w:rsidR="00000000" w:rsidRPr="00422FA4" w:rsidP="00422FA4">
            <w:pPr>
              <w:pStyle w:val="BodyText"/>
            </w:pPr>
            <w:r w:rsidRPr="00422FA4">
              <w:t xml:space="preserve">special effects such as:   </w:t>
            </w:r>
          </w:p>
          <w:p w:rsidR="00000000" w:rsidRPr="00422FA4" w:rsidP="00422FA4">
            <w:pPr>
              <w:pStyle w:val="BodyText"/>
            </w:pPr>
            <w:r w:rsidRPr="00422FA4">
              <w:t>chasers</w:t>
            </w:r>
          </w:p>
          <w:p w:rsidR="00000000" w:rsidRPr="00422FA4" w:rsidP="00422FA4">
            <w:pPr>
              <w:pStyle w:val="BodyText"/>
            </w:pPr>
            <w:r w:rsidRPr="00422FA4">
              <w:t>effects projectors</w:t>
            </w:r>
          </w:p>
          <w:p w:rsidR="00000000" w:rsidRPr="00422FA4" w:rsidP="00422FA4">
            <w:pPr>
              <w:pStyle w:val="BodyText"/>
            </w:pPr>
            <w:r w:rsidRPr="00422FA4">
              <w:t>fog machines</w:t>
            </w:r>
          </w:p>
          <w:p w:rsidR="00000000" w:rsidRPr="00422FA4" w:rsidP="00422FA4">
            <w:pPr>
              <w:pStyle w:val="BodyText"/>
            </w:pPr>
            <w:r w:rsidRPr="00422FA4">
              <w:t>haze machines</w:t>
            </w:r>
          </w:p>
          <w:p w:rsidR="00000000" w:rsidRPr="00422FA4" w:rsidP="00422FA4">
            <w:pPr>
              <w:pStyle w:val="BodyText"/>
            </w:pPr>
            <w:r w:rsidRPr="00422FA4">
              <w:t>mirrorballs and motors</w:t>
            </w:r>
          </w:p>
          <w:p w:rsidR="00000000" w:rsidRPr="00422FA4" w:rsidP="00422FA4">
            <w:pPr>
              <w:pStyle w:val="BodyText"/>
            </w:pPr>
            <w:r w:rsidRPr="00422FA4">
              <w:t>smoke machines</w:t>
            </w:r>
          </w:p>
          <w:p w:rsidR="00000000" w:rsidRPr="00422FA4" w:rsidP="00422FA4">
            <w:pPr>
              <w:pStyle w:val="BodyText"/>
            </w:pPr>
            <w:r w:rsidRPr="00422FA4">
              <w:t>strobes</w:t>
            </w:r>
          </w:p>
          <w:p w:rsidR="00000000" w:rsidP="00422FA4">
            <w:pPr>
              <w:pStyle w:val="BodyText"/>
              <w:rPr>
                <w:lang w:val="en-NZ"/>
              </w:rPr>
            </w:pPr>
            <w:r w:rsidRPr="00422FA4">
              <w:t xml:space="preserve">ultraviolet light.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Control desks</w:t>
            </w:r>
            <w:r w:rsidRPr="00422FA4">
              <w:t xml:space="preserve"> must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manual desks</w:t>
            </w:r>
          </w:p>
          <w:p w:rsidR="00000000" w:rsidP="00422FA4">
            <w:pPr>
              <w:pStyle w:val="BodyText"/>
              <w:rPr>
                <w:lang w:val="en-NZ"/>
              </w:rPr>
            </w:pPr>
            <w:r w:rsidRPr="00422FA4">
              <w:t xml:space="preserve">manual/memory desks.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Control desks</w:t>
            </w:r>
            <w:r w:rsidRPr="00422FA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controlled lighting effects.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Control desk </w:t>
            </w:r>
            <w:r w:rsidRPr="00422FA4">
              <w:rPr>
                <w:rStyle w:val="SpecialBold"/>
              </w:rPr>
              <w:t>peripherals</w:t>
            </w:r>
            <w:r w:rsidRPr="00422FA4">
              <w:t xml:space="preserve"> must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desk lamps</w:t>
            </w:r>
          </w:p>
          <w:p w:rsidR="00000000" w:rsidP="00422FA4">
            <w:pPr>
              <w:pStyle w:val="BodyText"/>
              <w:rPr>
                <w:lang w:val="en-NZ"/>
              </w:rPr>
            </w:pPr>
            <w:r w:rsidRPr="00422FA4">
              <w:t xml:space="preserve">control cables.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Control desk </w:t>
            </w:r>
            <w:r w:rsidRPr="00422FA4">
              <w:rPr>
                <w:rStyle w:val="SpecialBold"/>
              </w:rPr>
              <w:t>peripherals</w:t>
            </w:r>
            <w:r w:rsidRPr="00422FA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backup units</w:t>
            </w:r>
          </w:p>
          <w:p w:rsidR="00000000" w:rsidRPr="00422FA4" w:rsidP="00422FA4">
            <w:pPr>
              <w:pStyle w:val="BodyText"/>
            </w:pPr>
            <w:r w:rsidRPr="00422FA4">
              <w:t>effects units</w:t>
            </w:r>
          </w:p>
          <w:p w:rsidR="00000000" w:rsidRPr="00422FA4" w:rsidP="00422FA4">
            <w:pPr>
              <w:pStyle w:val="BodyText"/>
            </w:pPr>
            <w:r w:rsidRPr="00422FA4">
              <w:t>monitors</w:t>
            </w:r>
          </w:p>
          <w:p w:rsidR="00000000" w:rsidRPr="00422FA4" w:rsidP="00422FA4">
            <w:pPr>
              <w:pStyle w:val="BodyText"/>
            </w:pPr>
            <w:r w:rsidRPr="00422FA4">
              <w:t>printers</w:t>
            </w:r>
          </w:p>
          <w:p w:rsidR="00000000" w:rsidP="00422FA4">
            <w:pPr>
              <w:pStyle w:val="BodyText"/>
              <w:rPr>
                <w:lang w:val="en-NZ"/>
              </w:rPr>
            </w:pPr>
            <w:r w:rsidRPr="00422FA4">
              <w:t xml:space="preserve">riggers controls.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Dimmers may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analogue dimmers</w:t>
            </w:r>
          </w:p>
          <w:p w:rsidR="00000000" w:rsidRPr="00422FA4" w:rsidP="00422FA4">
            <w:pPr>
              <w:pStyle w:val="BodyText"/>
            </w:pPr>
            <w:r w:rsidRPr="00422FA4">
              <w:t>multiplexed analogue dimmers</w:t>
            </w:r>
          </w:p>
          <w:p w:rsidR="00000000" w:rsidRPr="00422FA4" w:rsidP="00422FA4">
            <w:pPr>
              <w:pStyle w:val="BodyText"/>
            </w:pPr>
            <w:r w:rsidRPr="00422FA4">
              <w:t>multiplexed digital dimmers</w:t>
            </w:r>
          </w:p>
          <w:p w:rsidR="00000000" w:rsidRPr="00422FA4" w:rsidP="00422FA4">
            <w:pPr>
              <w:pStyle w:val="BodyText"/>
            </w:pPr>
            <w:r w:rsidRPr="00422FA4">
              <w:t>single unit (follow spot) dimmers, eg Model 1 or Monopak</w:t>
            </w:r>
          </w:p>
          <w:p w:rsidR="00000000" w:rsidP="00422FA4">
            <w:pPr>
              <w:pStyle w:val="BodyText"/>
              <w:rPr>
                <w:lang w:val="en-NZ"/>
              </w:rPr>
            </w:pPr>
            <w:r w:rsidRPr="00422FA4">
              <w:t>small self-contained dimmable controllers, eg. F</w:t>
            </w:r>
            <w:r w:rsidRPr="00422FA4">
              <w:t xml:space="preserve">ourpack, Quadpak.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rPr>
                <w:rStyle w:val="SpecialBold"/>
              </w:rPr>
              <w:t>Appropriate personnel</w:t>
            </w:r>
            <w:r w:rsidRPr="00422FA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designer</w:t>
            </w:r>
          </w:p>
          <w:p w:rsidR="00000000" w:rsidRPr="00422FA4" w:rsidP="00422FA4">
            <w:pPr>
              <w:pStyle w:val="BodyText"/>
            </w:pPr>
            <w:r w:rsidRPr="00422FA4">
              <w:t>director</w:t>
            </w:r>
          </w:p>
          <w:p w:rsidR="00000000" w:rsidRPr="00422FA4" w:rsidP="00422FA4">
            <w:pPr>
              <w:pStyle w:val="BodyText"/>
            </w:pPr>
            <w:r w:rsidRPr="00422FA4">
              <w:t>head of department</w:t>
            </w:r>
          </w:p>
          <w:p w:rsidR="00000000" w:rsidRPr="00422FA4" w:rsidP="00422FA4">
            <w:pPr>
              <w:pStyle w:val="BodyText"/>
            </w:pPr>
            <w:r w:rsidRPr="00422FA4">
              <w:t>stage manager</w:t>
            </w:r>
          </w:p>
          <w:p w:rsidR="00000000" w:rsidRPr="00422FA4" w:rsidP="00422FA4">
            <w:pPr>
              <w:pStyle w:val="BodyText"/>
            </w:pPr>
            <w:r w:rsidRPr="00422FA4">
              <w:t>supervisor</w:t>
            </w:r>
          </w:p>
          <w:p w:rsidR="00000000" w:rsidP="00422FA4">
            <w:pPr>
              <w:pStyle w:val="BodyText"/>
              <w:rPr>
                <w:lang w:val="en-NZ"/>
              </w:rPr>
            </w:pPr>
            <w:r w:rsidRPr="00422FA4">
              <w:t xml:space="preserve">other specialist staff.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FA4">
            <w:pPr>
              <w:pStyle w:val="BodyText"/>
              <w:rPr>
                <w:lang w:val="en-NZ"/>
              </w:rPr>
            </w:pPr>
          </w:p>
        </w:tc>
      </w:tr>
      <w:tr w:rsidTr="00E773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FA4">
            <w:pPr>
              <w:pStyle w:val="BodyText"/>
              <w:rPr>
                <w:lang w:val="en-NZ"/>
              </w:rPr>
            </w:pPr>
            <w:r w:rsidRPr="00422FA4">
              <w:t xml:space="preserve">Testing the </w:t>
            </w:r>
            <w:r w:rsidRPr="00422FA4">
              <w:rPr>
                <w:rStyle w:val="SpecialBold"/>
              </w:rPr>
              <w:t>control</w:t>
            </w:r>
            <w:r w:rsidRPr="00422FA4">
              <w:t xml:space="preserve"> system must include ensuring that: </w:t>
            </w:r>
          </w:p>
        </w:tc>
        <w:tc>
          <w:tcPr>
            <w:tcW w:w="4500" w:type="dxa"/>
            <w:tcBorders>
              <w:top w:val="nil"/>
              <w:left w:val="nil"/>
              <w:bottom w:val="nil"/>
              <w:right w:val="nil"/>
            </w:tcBorders>
            <w:tcMar>
              <w:top w:w="0" w:type="dxa"/>
              <w:left w:w="62" w:type="dxa"/>
              <w:bottom w:w="0" w:type="dxa"/>
              <w:right w:w="62" w:type="dxa"/>
            </w:tcMar>
          </w:tcPr>
          <w:p w:rsidR="00000000" w:rsidRPr="00422FA4" w:rsidP="00422FA4">
            <w:pPr>
              <w:pStyle w:val="BodyText"/>
            </w:pPr>
            <w:r w:rsidRPr="00422FA4">
              <w:t>all dimmer channels are functioning properly</w:t>
            </w:r>
          </w:p>
          <w:p w:rsidR="00000000" w:rsidRPr="00422FA4" w:rsidP="00422FA4">
            <w:pPr>
              <w:pStyle w:val="BodyText"/>
            </w:pPr>
            <w:r w:rsidRPr="00422FA4">
              <w:t>all operational controls on the lighting board function properly</w:t>
            </w:r>
          </w:p>
          <w:p w:rsidR="00000000" w:rsidRPr="00422FA4" w:rsidP="00422FA4">
            <w:pPr>
              <w:pStyle w:val="BodyText"/>
            </w:pPr>
            <w:r w:rsidRPr="00422FA4">
              <w:t>all peripherals are functioning properly</w:t>
            </w:r>
          </w:p>
          <w:p w:rsidR="00000000" w:rsidRPr="00422FA4" w:rsidP="00422FA4">
            <w:pPr>
              <w:pStyle w:val="BodyText"/>
            </w:pPr>
            <w:r w:rsidRPr="00422FA4">
              <w:t>any riggers or designer controls are functioning properly</w:t>
            </w:r>
          </w:p>
          <w:p w:rsidR="00000000" w:rsidP="00422FA4">
            <w:pPr>
              <w:pStyle w:val="BodyText"/>
              <w:rPr>
                <w:lang w:val="en-NZ"/>
              </w:rPr>
            </w:pPr>
            <w:r w:rsidRPr="00422FA4">
              <w:t xml:space="preserve">there is a valid DMX line/signal. </w:t>
            </w:r>
          </w:p>
        </w:tc>
      </w:tr>
      <w:tr w:rsidTr="00E773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2FA4" w:rsidP="00422FA4">
            <w:pPr>
              <w:pStyle w:val="BodyText"/>
            </w:pPr>
          </w:p>
        </w:tc>
      </w:tr>
    </w:tbl>
    <w:p w:rsidR="00000000" w:rsidRPr="00422FA4" w:rsidP="00422FA4">
      <w:pPr>
        <w:pStyle w:val="BodyText"/>
      </w:pPr>
    </w:p>
    <w:p w:rsidR="00000000" w:rsidRPr="00422FA4" w:rsidP="00422FA4">
      <w:pPr>
        <w:pStyle w:val="AllowPageBreak"/>
      </w:pPr>
    </w:p>
    <w:p w:rsidR="00000000" w:rsidRPr="00422FA4" w:rsidP="00422FA4">
      <w:pPr>
        <w:pStyle w:val="Heading1"/>
      </w:pPr>
      <w:bookmarkStart w:id="12" w:name="O_318630"/>
      <w:bookmarkEnd w:id="12"/>
      <w:r w:rsidRPr="00422FA4">
        <w:t>Unit Sector(s)</w:t>
      </w:r>
    </w:p>
    <w:p w:rsidR="00000000" w:rsidRPr="00422FA4" w:rsidP="00422FA4">
      <w:pPr>
        <w:pStyle w:val="BodyText"/>
      </w:pPr>
      <w:r w:rsidRPr="00422FA4">
        <w:t>Not applicable.</w:t>
      </w:r>
    </w:p>
    <w:p w:rsidR="00000000" w:rsidRPr="00422FA4" w:rsidP="00422FA4"/>
    <w:sectPr w:rsidSect="00422F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38C" w:rsidP="00E773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8C" w:rsidP="00422F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738C" w:rsidP="00422F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738C" w:rsidP="00422F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A4" w:rsidRPr="00E7738C" w:rsidP="00E773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8C" w:rsidRPr="002D2AF8" w:rsidP="00422FA4">
    <w:pPr>
      <w:pStyle w:val="Header"/>
      <w:framePr w:wrap="around"/>
    </w:pPr>
    <w:r>
      <w:fldChar w:fldCharType="begin"/>
    </w:r>
    <w:r>
      <w:instrText xml:space="preserve"> TITLE   \* MERGEFORMAT </w:instrText>
    </w:r>
    <w:r>
      <w:fldChar w:fldCharType="separate"/>
    </w:r>
    <w:r>
      <w:t>CUELGT05C Record and operate standard lighting 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2012</w:t>
    </w:r>
    <w:r>
      <w:fldChar w:fldCharType="end"/>
    </w:r>
  </w:p>
  <w:p w:rsidR="00E7738C" w:rsidP="00422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FA4"/>
    <w:pPr>
      <w:spacing w:before="360" w:after="60"/>
      <w:outlineLvl w:val="0"/>
    </w:pPr>
    <w:rPr>
      <w:sz w:val="32"/>
    </w:rPr>
  </w:style>
  <w:style w:type="paragraph" w:styleId="Heading2">
    <w:name w:val="heading 2"/>
    <w:basedOn w:val="HeadingBase"/>
    <w:next w:val="BodyText"/>
    <w:link w:val="Heading2Char"/>
    <w:qFormat/>
    <w:rsid w:val="00422FA4"/>
    <w:pPr>
      <w:keepLines/>
      <w:spacing w:before="240" w:after="120"/>
      <w:outlineLvl w:val="1"/>
    </w:pPr>
    <w:rPr>
      <w:sz w:val="28"/>
      <w:szCs w:val="40"/>
    </w:rPr>
  </w:style>
  <w:style w:type="paragraph" w:styleId="Heading3">
    <w:name w:val="heading 3"/>
    <w:basedOn w:val="HeadingBase"/>
    <w:next w:val="BodyText"/>
    <w:link w:val="Heading3Char"/>
    <w:qFormat/>
    <w:rsid w:val="00422FA4"/>
    <w:pPr>
      <w:spacing w:before="180" w:after="120"/>
      <w:outlineLvl w:val="2"/>
    </w:pPr>
    <w:rPr>
      <w:spacing w:val="-10"/>
      <w:kern w:val="32"/>
    </w:rPr>
  </w:style>
  <w:style w:type="paragraph" w:styleId="Heading4">
    <w:name w:val="heading 4"/>
    <w:basedOn w:val="HeadingBase"/>
    <w:next w:val="BodyText"/>
    <w:link w:val="Heading4Char"/>
    <w:qFormat/>
    <w:rsid w:val="00422FA4"/>
    <w:pPr>
      <w:spacing w:before="160" w:after="120"/>
      <w:outlineLvl w:val="3"/>
    </w:pPr>
    <w:rPr>
      <w:sz w:val="22"/>
    </w:rPr>
  </w:style>
  <w:style w:type="paragraph" w:styleId="Heading5">
    <w:name w:val="heading 5"/>
    <w:basedOn w:val="HeadingBase"/>
    <w:next w:val="Normal"/>
    <w:link w:val="Heading5Char"/>
    <w:qFormat/>
    <w:rsid w:val="00422FA4"/>
    <w:pPr>
      <w:spacing w:before="80"/>
      <w:outlineLvl w:val="4"/>
    </w:pPr>
    <w:rPr>
      <w:color w:val="918585"/>
      <w:sz w:val="20"/>
    </w:rPr>
  </w:style>
  <w:style w:type="paragraph" w:styleId="Heading6">
    <w:name w:val="heading 6"/>
    <w:basedOn w:val="HeadingBase"/>
    <w:next w:val="Normal"/>
    <w:link w:val="Heading6Char"/>
    <w:qFormat/>
    <w:rsid w:val="00422FA4"/>
    <w:pPr>
      <w:spacing w:before="60"/>
      <w:outlineLvl w:val="5"/>
    </w:pPr>
    <w:rPr>
      <w:color w:val="918585"/>
      <w:sz w:val="20"/>
    </w:rPr>
  </w:style>
  <w:style w:type="paragraph" w:styleId="Heading7">
    <w:name w:val="heading 7"/>
    <w:basedOn w:val="Normal"/>
    <w:next w:val="Normal"/>
    <w:link w:val="Heading7Char"/>
    <w:qFormat/>
    <w:rsid w:val="00422FA4"/>
    <w:pPr>
      <w:ind w:left="720"/>
      <w:outlineLvl w:val="6"/>
    </w:pPr>
    <w:rPr>
      <w:i/>
    </w:rPr>
  </w:style>
  <w:style w:type="paragraph" w:styleId="Heading8">
    <w:name w:val="heading 8"/>
    <w:basedOn w:val="Normal"/>
    <w:next w:val="Normal"/>
    <w:link w:val="Heading8Char"/>
    <w:qFormat/>
    <w:rsid w:val="00422FA4"/>
    <w:pPr>
      <w:ind w:left="720"/>
      <w:outlineLvl w:val="7"/>
    </w:pPr>
    <w:rPr>
      <w:i/>
    </w:rPr>
  </w:style>
  <w:style w:type="paragraph" w:styleId="Heading9">
    <w:name w:val="heading 9"/>
    <w:basedOn w:val="Normal"/>
    <w:next w:val="Normal"/>
    <w:link w:val="Heading9Char"/>
    <w:qFormat/>
    <w:rsid w:val="00422FA4"/>
    <w:pPr>
      <w:ind w:left="720"/>
      <w:outlineLvl w:val="8"/>
    </w:pPr>
    <w:rPr>
      <w:i/>
    </w:rPr>
  </w:style>
  <w:style w:type="character" w:default="1" w:styleId="DefaultParagraphFont">
    <w:name w:val="Default Paragraph Font"/>
    <w:uiPriority w:val="1"/>
    <w:unhideWhenUsed/>
    <w:rsid w:val="00422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FA4"/>
  </w:style>
  <w:style w:type="character" w:customStyle="1" w:styleId="Heading1Char">
    <w:name w:val="Heading 1 Char"/>
    <w:basedOn w:val="DefaultParagraphFont"/>
    <w:link w:val="Heading1"/>
    <w:rsid w:val="00422FA4"/>
    <w:rPr>
      <w:rFonts w:ascii="Times New Roman" w:eastAsia="Times New Roman" w:hAnsi="Times New Roman" w:cs="Times New Roman"/>
      <w:b/>
      <w:sz w:val="32"/>
      <w:szCs w:val="20"/>
      <w:lang w:eastAsia="en-US"/>
    </w:rPr>
  </w:style>
  <w:style w:type="paragraph" w:styleId="BodyText">
    <w:name w:val="Body Text"/>
    <w:basedOn w:val="Normal"/>
    <w:link w:val="BodyTextChar"/>
    <w:rsid w:val="00422F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FA4"/>
    <w:rPr>
      <w:rFonts w:ascii="Times New Roman" w:eastAsia="Times New Roman" w:hAnsi="Times New Roman" w:cs="Times New Roman"/>
      <w:sz w:val="24"/>
      <w:lang w:eastAsia="en-US"/>
    </w:rPr>
  </w:style>
  <w:style w:type="paragraph" w:styleId="Footer">
    <w:name w:val="footer"/>
    <w:basedOn w:val="Normal"/>
    <w:link w:val="FooterChar"/>
    <w:rsid w:val="00422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FA4"/>
    <w:rPr>
      <w:rFonts w:ascii="Times New Roman" w:eastAsia="Times New Roman" w:hAnsi="Times New Roman" w:cs="Times New Roman"/>
      <w:sz w:val="16"/>
      <w:lang w:eastAsia="en-US"/>
    </w:rPr>
  </w:style>
  <w:style w:type="character" w:customStyle="1" w:styleId="SpecialBold">
    <w:name w:val="Special Bold"/>
    <w:basedOn w:val="DefaultParagraphFont"/>
    <w:rsid w:val="00422FA4"/>
    <w:rPr>
      <w:b/>
      <w:spacing w:val="0"/>
    </w:rPr>
  </w:style>
  <w:style w:type="paragraph" w:customStyle="1" w:styleId="SuperHeading">
    <w:name w:val="SuperHeading"/>
    <w:basedOn w:val="Normal"/>
    <w:rsid w:val="00422FA4"/>
    <w:pPr>
      <w:spacing w:before="240" w:after="120"/>
      <w:outlineLvl w:val="0"/>
    </w:pPr>
    <w:rPr>
      <w:rFonts w:ascii="Times New Roman" w:hAnsi="Times New Roman"/>
      <w:b/>
      <w:sz w:val="28"/>
    </w:rPr>
  </w:style>
  <w:style w:type="paragraph" w:customStyle="1" w:styleId="AllowPageBreak">
    <w:name w:val="AllowPageBreak"/>
    <w:rsid w:val="00422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FA4"/>
    <w:rPr>
      <w:rFonts w:ascii="Courier New" w:eastAsia="Times New Roman" w:hAnsi="Courier New" w:cs="Times New Roman"/>
      <w:i/>
      <w:szCs w:val="20"/>
      <w:lang w:eastAsia="en-US"/>
    </w:rPr>
  </w:style>
  <w:style w:type="paragraph" w:customStyle="1" w:styleId="HeadingBase">
    <w:name w:val="Heading Base"/>
    <w:rsid w:val="00422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FA4"/>
    <w:pPr>
      <w:tabs>
        <w:tab w:val="right" w:leader="dot" w:pos="9072"/>
      </w:tabs>
      <w:ind w:left="567"/>
    </w:pPr>
    <w:rPr>
      <w:szCs w:val="22"/>
    </w:rPr>
  </w:style>
  <w:style w:type="paragraph" w:customStyle="1" w:styleId="TOCBase">
    <w:name w:val="TOC Base"/>
    <w:rsid w:val="00422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FA4"/>
    <w:pPr>
      <w:tabs>
        <w:tab w:val="right" w:leader="dot" w:pos="9072"/>
      </w:tabs>
      <w:spacing w:before="40" w:after="40"/>
      <w:ind w:left="284"/>
    </w:pPr>
    <w:rPr>
      <w:rFonts w:ascii="Times New Roman" w:hAnsi="Times New Roman"/>
    </w:rPr>
  </w:style>
  <w:style w:type="paragraph" w:styleId="TOC1">
    <w:name w:val="toc 1"/>
    <w:basedOn w:val="TOCBase"/>
    <w:next w:val="Normal"/>
    <w:rsid w:val="00422F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FA4"/>
    <w:pPr>
      <w:spacing w:before="5040"/>
      <w:jc w:val="center"/>
    </w:pPr>
    <w:rPr>
      <w:sz w:val="48"/>
      <w:szCs w:val="72"/>
      <w:lang w:val="en-US"/>
    </w:rPr>
  </w:style>
  <w:style w:type="character" w:customStyle="1" w:styleId="TitleChar">
    <w:name w:val="Title Char"/>
    <w:basedOn w:val="DefaultParagraphFont"/>
    <w:link w:val="Title"/>
    <w:rsid w:val="00422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FA4"/>
    <w:pPr>
      <w:tabs>
        <w:tab w:val="left" w:pos="3600"/>
        <w:tab w:val="left" w:pos="3958"/>
      </w:tabs>
    </w:pPr>
  </w:style>
  <w:style w:type="paragraph" w:styleId="List">
    <w:name w:val="List"/>
    <w:basedOn w:val="BodyText"/>
    <w:next w:val="BodyText"/>
    <w:rsid w:val="00422FA4"/>
    <w:pPr>
      <w:tabs>
        <w:tab w:val="left" w:pos="340"/>
      </w:tabs>
      <w:spacing w:before="60" w:after="60"/>
      <w:ind w:left="340" w:hanging="340"/>
    </w:pPr>
  </w:style>
  <w:style w:type="paragraph" w:styleId="ListBullet">
    <w:name w:val="List Bullet"/>
    <w:basedOn w:val="List"/>
    <w:rsid w:val="00422FA4"/>
    <w:pPr>
      <w:numPr>
        <w:numId w:val="11"/>
      </w:numPr>
      <w:tabs>
        <w:tab w:val="clear" w:pos="340"/>
      </w:tabs>
      <w:spacing w:before="40" w:after="40"/>
    </w:pPr>
  </w:style>
  <w:style w:type="paragraph" w:customStyle="1" w:styleId="Note">
    <w:name w:val="Note"/>
    <w:basedOn w:val="BodyText"/>
    <w:rsid w:val="00422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FA4"/>
    <w:pPr>
      <w:framePr w:wrap="auto" w:hAnchor="text" w:y="6049"/>
    </w:pPr>
    <w:rPr>
      <w:color w:val="000000"/>
      <w:sz w:val="40"/>
    </w:rPr>
  </w:style>
  <w:style w:type="paragraph" w:customStyle="1" w:styleId="TOCTitle">
    <w:name w:val="TOCTitle"/>
    <w:basedOn w:val="Heading1"/>
    <w:rsid w:val="00422FA4"/>
    <w:pPr>
      <w:spacing w:after="240"/>
      <w:jc w:val="center"/>
      <w:outlineLvl w:val="9"/>
    </w:pPr>
    <w:rPr>
      <w:caps/>
    </w:rPr>
  </w:style>
  <w:style w:type="paragraph" w:customStyle="1" w:styleId="Version">
    <w:name w:val="Version"/>
    <w:rsid w:val="00422F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FA4"/>
    <w:pPr>
      <w:numPr>
        <w:numId w:val="12"/>
      </w:numPr>
      <w:tabs>
        <w:tab w:val="clear" w:pos="680"/>
      </w:tabs>
    </w:pPr>
  </w:style>
  <w:style w:type="paragraph" w:styleId="Index1">
    <w:name w:val="index 1"/>
    <w:basedOn w:val="Normal"/>
    <w:next w:val="Normal"/>
    <w:semiHidden/>
    <w:rsid w:val="00422FA4"/>
    <w:pPr>
      <w:keepNext w:val="0"/>
      <w:tabs>
        <w:tab w:val="right" w:pos="4176"/>
      </w:tabs>
      <w:ind w:left="198" w:hanging="198"/>
    </w:pPr>
    <w:rPr>
      <w:rFonts w:ascii="Garamond" w:hAnsi="Garamond"/>
    </w:rPr>
  </w:style>
  <w:style w:type="paragraph" w:styleId="IndexHeading">
    <w:name w:val="index heading"/>
    <w:basedOn w:val="Normal"/>
    <w:next w:val="Index1"/>
    <w:semiHidden/>
    <w:rsid w:val="00422FA4"/>
    <w:pPr>
      <w:spacing w:before="120" w:after="120"/>
    </w:pPr>
    <w:rPr>
      <w:rFonts w:ascii="Arial" w:hAnsi="Arial"/>
      <w:b/>
      <w:color w:val="918585"/>
      <w:sz w:val="24"/>
    </w:rPr>
  </w:style>
  <w:style w:type="paragraph" w:styleId="Header">
    <w:name w:val="header"/>
    <w:basedOn w:val="Normal"/>
    <w:link w:val="HeaderChar"/>
    <w:rsid w:val="00422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FA4"/>
    <w:rPr>
      <w:rFonts w:ascii="Times New Roman" w:eastAsia="Times New Roman" w:hAnsi="Times New Roman" w:cs="Times New Roman"/>
      <w:sz w:val="16"/>
      <w:szCs w:val="20"/>
      <w:lang w:val="en-GB" w:eastAsia="en-US"/>
    </w:rPr>
  </w:style>
  <w:style w:type="paragraph" w:customStyle="1" w:styleId="Chapter">
    <w:name w:val="Chapter"/>
    <w:basedOn w:val="Normal"/>
    <w:rsid w:val="00422FA4"/>
    <w:pPr>
      <w:spacing w:before="240"/>
    </w:pPr>
    <w:rPr>
      <w:rFonts w:ascii="Times New Roman" w:hAnsi="Times New Roman"/>
      <w:smallCaps/>
      <w:spacing w:val="80"/>
      <w:sz w:val="28"/>
    </w:rPr>
  </w:style>
  <w:style w:type="paragraph" w:customStyle="1" w:styleId="InChapter">
    <w:name w:val="InChapter"/>
    <w:basedOn w:val="Heading3"/>
    <w:rsid w:val="00422FA4"/>
    <w:pPr>
      <w:spacing w:after="240"/>
      <w:outlineLvl w:val="9"/>
    </w:pPr>
    <w:rPr>
      <w:noProof/>
    </w:rPr>
  </w:style>
  <w:style w:type="paragraph" w:styleId="Index2">
    <w:name w:val="index 2"/>
    <w:basedOn w:val="Normal"/>
    <w:next w:val="Normal"/>
    <w:semiHidden/>
    <w:rsid w:val="00422FA4"/>
    <w:pPr>
      <w:tabs>
        <w:tab w:val="right" w:pos="4176"/>
      </w:tabs>
      <w:ind w:left="568" w:hanging="284"/>
    </w:pPr>
    <w:rPr>
      <w:rFonts w:ascii="Garamond" w:hAnsi="Garamond"/>
    </w:rPr>
  </w:style>
  <w:style w:type="paragraph" w:customStyle="1" w:styleId="Byline">
    <w:name w:val="Byline"/>
    <w:rsid w:val="00422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FA4"/>
    <w:pPr>
      <w:tabs>
        <w:tab w:val="clear" w:pos="3600"/>
        <w:tab w:val="clear" w:pos="3958"/>
      </w:tabs>
      <w:jc w:val="right"/>
    </w:pPr>
  </w:style>
  <w:style w:type="character" w:styleId="Emphasis">
    <w:name w:val="Emphasis"/>
    <w:basedOn w:val="DefaultParagraphFont"/>
    <w:qFormat/>
    <w:rsid w:val="00422FA4"/>
    <w:rPr>
      <w:i/>
    </w:rPr>
  </w:style>
  <w:style w:type="paragraph" w:styleId="Caption">
    <w:name w:val="caption"/>
    <w:basedOn w:val="BodyText"/>
    <w:next w:val="Normal"/>
    <w:qFormat/>
    <w:rsid w:val="00422FA4"/>
    <w:pPr>
      <w:framePr w:w="2268" w:hSpace="181" w:vSpace="181" w:wrap="around" w:vAnchor="text" w:hAnchor="page" w:x="1135" w:y="285" w:anchorLock="1"/>
    </w:pPr>
    <w:rPr>
      <w:i/>
    </w:rPr>
  </w:style>
  <w:style w:type="paragraph" w:customStyle="1" w:styleId="MiniTOCTitle">
    <w:name w:val="MiniTOCTitle"/>
    <w:basedOn w:val="Heading4"/>
    <w:rsid w:val="00422FA4"/>
    <w:pPr>
      <w:spacing w:before="240"/>
      <w:outlineLvl w:val="9"/>
    </w:pPr>
    <w:rPr>
      <w:noProof/>
      <w:sz w:val="24"/>
    </w:rPr>
  </w:style>
  <w:style w:type="paragraph" w:customStyle="1" w:styleId="MiniTOCItem">
    <w:name w:val="MiniTOCItem"/>
    <w:basedOn w:val="ListBullet"/>
    <w:rsid w:val="00422FA4"/>
    <w:pPr>
      <w:numPr>
        <w:numId w:val="0"/>
      </w:numPr>
      <w:tabs>
        <w:tab w:val="right" w:leader="dot" w:pos="6521"/>
      </w:tabs>
      <w:spacing w:before="0" w:after="0"/>
    </w:pPr>
  </w:style>
  <w:style w:type="paragraph" w:customStyle="1" w:styleId="TOFTitle">
    <w:name w:val="TOFTitle"/>
    <w:basedOn w:val="TOCTitle"/>
    <w:rsid w:val="00422FA4"/>
  </w:style>
  <w:style w:type="paragraph" w:styleId="TableofFigures">
    <w:name w:val="table of figures"/>
    <w:basedOn w:val="Normal"/>
    <w:next w:val="Normal"/>
    <w:semiHidden/>
    <w:rsid w:val="00422FA4"/>
    <w:pPr>
      <w:tabs>
        <w:tab w:val="right" w:leader="dot" w:pos="9072"/>
      </w:tabs>
      <w:ind w:left="970" w:hanging="403"/>
    </w:pPr>
    <w:rPr>
      <w:rFonts w:ascii="Times New Roman" w:hAnsi="Times New Roman"/>
      <w:b/>
    </w:rPr>
  </w:style>
  <w:style w:type="paragraph" w:styleId="ListNumber">
    <w:name w:val="List Number"/>
    <w:basedOn w:val="List"/>
    <w:rsid w:val="00422FA4"/>
    <w:pPr>
      <w:numPr>
        <w:numId w:val="9"/>
      </w:numPr>
    </w:pPr>
  </w:style>
  <w:style w:type="character" w:customStyle="1" w:styleId="WingdingSymbols">
    <w:name w:val="Wingding Symbols"/>
    <w:rsid w:val="00422FA4"/>
    <w:rPr>
      <w:rFonts w:ascii="Wingdings" w:hAnsi="Wingdings"/>
    </w:rPr>
  </w:style>
  <w:style w:type="paragraph" w:customStyle="1" w:styleId="TableHeading">
    <w:name w:val="Table Heading"/>
    <w:basedOn w:val="HeadingBase"/>
    <w:rsid w:val="00422FA4"/>
    <w:pPr>
      <w:keepLines/>
      <w:pBdr>
        <w:bottom w:val="single" w:sz="6" w:space="1" w:color="918585"/>
      </w:pBdr>
      <w:spacing w:before="240"/>
    </w:pPr>
  </w:style>
  <w:style w:type="character" w:customStyle="1" w:styleId="HotSpot">
    <w:name w:val="HotSpot"/>
    <w:rsid w:val="00422FA4"/>
    <w:rPr>
      <w:color w:val="0033CC"/>
      <w:u w:val="none"/>
    </w:rPr>
  </w:style>
  <w:style w:type="paragraph" w:customStyle="1" w:styleId="BodyTextRight">
    <w:name w:val="Body Text Right"/>
    <w:basedOn w:val="BodyText"/>
    <w:rsid w:val="00422FA4"/>
    <w:pPr>
      <w:spacing w:before="0" w:after="0"/>
      <w:jc w:val="right"/>
    </w:pPr>
  </w:style>
  <w:style w:type="paragraph" w:styleId="Index3">
    <w:name w:val="index 3"/>
    <w:basedOn w:val="ListNumber2"/>
    <w:next w:val="Normal"/>
    <w:semiHidden/>
    <w:rsid w:val="00422FA4"/>
    <w:pPr>
      <w:numPr>
        <w:numId w:val="0"/>
      </w:numPr>
      <w:tabs>
        <w:tab w:val="right" w:leader="dot" w:pos="4176"/>
      </w:tabs>
    </w:pPr>
  </w:style>
  <w:style w:type="paragraph" w:styleId="ListNumber2">
    <w:name w:val="List Number 2"/>
    <w:basedOn w:val="List2"/>
    <w:rsid w:val="00422FA4"/>
    <w:pPr>
      <w:numPr>
        <w:numId w:val="8"/>
      </w:numPr>
      <w:tabs>
        <w:tab w:val="clear" w:pos="1060"/>
      </w:tabs>
    </w:pPr>
  </w:style>
  <w:style w:type="paragraph" w:customStyle="1" w:styleId="MarginNote">
    <w:name w:val="Margin Note"/>
    <w:basedOn w:val="BodyText"/>
    <w:rsid w:val="00422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FA4"/>
    <w:rPr>
      <w:sz w:val="32"/>
    </w:rPr>
  </w:style>
  <w:style w:type="paragraph" w:customStyle="1" w:styleId="HeadingProcedure">
    <w:name w:val="Heading Procedure"/>
    <w:basedOn w:val="HeadingBase"/>
    <w:next w:val="Normal"/>
    <w:rsid w:val="00422FA4"/>
    <w:pPr>
      <w:tabs>
        <w:tab w:val="left" w:pos="0"/>
      </w:tabs>
      <w:spacing w:before="120" w:after="60"/>
    </w:pPr>
    <w:rPr>
      <w:i/>
      <w:color w:val="918585"/>
      <w:sz w:val="22"/>
    </w:rPr>
  </w:style>
  <w:style w:type="paragraph" w:customStyle="1" w:styleId="TableBodyText">
    <w:name w:val="Table Body Text"/>
    <w:basedOn w:val="BodyText"/>
    <w:rsid w:val="00422FA4"/>
    <w:pPr>
      <w:spacing w:before="60" w:after="60"/>
    </w:pPr>
  </w:style>
  <w:style w:type="paragraph" w:styleId="ListContinue">
    <w:name w:val="List Continue"/>
    <w:basedOn w:val="List"/>
    <w:rsid w:val="00422FA4"/>
    <w:pPr>
      <w:ind w:firstLine="0"/>
    </w:pPr>
  </w:style>
  <w:style w:type="paragraph" w:customStyle="1" w:styleId="ListNote">
    <w:name w:val="List Note"/>
    <w:basedOn w:val="List"/>
    <w:rsid w:val="00422FA4"/>
    <w:pPr>
      <w:pBdr>
        <w:top w:val="single" w:sz="6" w:space="2" w:color="918585"/>
        <w:bottom w:val="single" w:sz="6" w:space="2" w:color="918585"/>
      </w:pBdr>
      <w:tabs>
        <w:tab w:val="left" w:pos="1021"/>
      </w:tabs>
      <w:ind w:firstLine="0"/>
    </w:pPr>
  </w:style>
  <w:style w:type="paragraph" w:customStyle="1" w:styleId="Warning">
    <w:name w:val="Warning"/>
    <w:basedOn w:val="BodyText"/>
    <w:rsid w:val="00422FA4"/>
    <w:pPr>
      <w:shd w:val="clear" w:color="auto" w:fill="D9D9D9"/>
      <w:tabs>
        <w:tab w:val="left" w:pos="992"/>
      </w:tabs>
      <w:ind w:left="119" w:right="119"/>
    </w:pPr>
    <w:rPr>
      <w:sz w:val="20"/>
    </w:rPr>
  </w:style>
  <w:style w:type="paragraph" w:customStyle="1" w:styleId="MarginIcons">
    <w:name w:val="Margin Icons"/>
    <w:basedOn w:val="BodyText"/>
    <w:rsid w:val="00422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FA4"/>
    <w:rPr>
      <w:rFonts w:ascii="Courier New" w:hAnsi="Courier New"/>
    </w:rPr>
  </w:style>
  <w:style w:type="paragraph" w:customStyle="1" w:styleId="NoteBullet">
    <w:name w:val="Note Bullet"/>
    <w:basedOn w:val="Note"/>
    <w:rsid w:val="00422FA4"/>
    <w:pPr>
      <w:tabs>
        <w:tab w:val="clear" w:pos="680"/>
      </w:tabs>
      <w:spacing w:before="60" w:after="60"/>
    </w:pPr>
  </w:style>
  <w:style w:type="paragraph" w:customStyle="1" w:styleId="SubHeading2">
    <w:name w:val="SubHeading2"/>
    <w:basedOn w:val="HeadingBase"/>
    <w:rsid w:val="00422FA4"/>
    <w:pPr>
      <w:spacing w:before="240" w:after="60"/>
    </w:pPr>
    <w:rPr>
      <w:sz w:val="20"/>
    </w:rPr>
  </w:style>
  <w:style w:type="paragraph" w:customStyle="1" w:styleId="SubHeading1">
    <w:name w:val="SubHeading1"/>
    <w:basedOn w:val="HeadingBase"/>
    <w:rsid w:val="00422FA4"/>
    <w:pPr>
      <w:spacing w:before="240" w:after="60"/>
    </w:pPr>
    <w:rPr>
      <w:color w:val="918585"/>
      <w:sz w:val="22"/>
    </w:rPr>
  </w:style>
  <w:style w:type="paragraph" w:customStyle="1" w:styleId="SideHeading">
    <w:name w:val="Side Heading"/>
    <w:basedOn w:val="HeadingBase"/>
    <w:rsid w:val="00422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FA4"/>
    <w:pPr>
      <w:numPr>
        <w:numId w:val="10"/>
      </w:numPr>
    </w:pPr>
  </w:style>
  <w:style w:type="paragraph" w:styleId="PlainText">
    <w:name w:val="Plain Text"/>
    <w:basedOn w:val="Normal"/>
    <w:link w:val="PlainTextChar"/>
    <w:rsid w:val="00422FA4"/>
    <w:rPr>
      <w:sz w:val="20"/>
    </w:rPr>
  </w:style>
  <w:style w:type="character" w:customStyle="1" w:styleId="PlainTextChar">
    <w:name w:val="Plain Text Char"/>
    <w:basedOn w:val="DefaultParagraphFont"/>
    <w:link w:val="PlainText"/>
    <w:rsid w:val="00422FA4"/>
    <w:rPr>
      <w:rFonts w:ascii="Courier New" w:eastAsia="Times New Roman" w:hAnsi="Courier New" w:cs="Times New Roman"/>
      <w:sz w:val="20"/>
      <w:szCs w:val="20"/>
      <w:lang w:eastAsia="en-US"/>
    </w:rPr>
  </w:style>
  <w:style w:type="character" w:customStyle="1" w:styleId="MenuOption">
    <w:name w:val="Menu Option"/>
    <w:basedOn w:val="DefaultParagraphFont"/>
    <w:rsid w:val="00422FA4"/>
    <w:rPr>
      <w:b/>
      <w:smallCaps/>
    </w:rPr>
  </w:style>
  <w:style w:type="paragraph" w:customStyle="1" w:styleId="TableListNumber">
    <w:name w:val="Table List Number"/>
    <w:basedOn w:val="ListNumber"/>
    <w:rsid w:val="00422FA4"/>
    <w:pPr>
      <w:numPr>
        <w:numId w:val="0"/>
      </w:numPr>
    </w:pPr>
  </w:style>
  <w:style w:type="paragraph" w:styleId="TOC4">
    <w:name w:val="toc 4"/>
    <w:basedOn w:val="TOCBase"/>
    <w:next w:val="Normal"/>
    <w:semiHidden/>
    <w:rsid w:val="00422FA4"/>
    <w:pPr>
      <w:tabs>
        <w:tab w:val="right" w:leader="dot" w:pos="9071"/>
      </w:tabs>
      <w:ind w:left="1701"/>
    </w:pPr>
  </w:style>
  <w:style w:type="paragraph" w:customStyle="1" w:styleId="ListAlpha">
    <w:name w:val="List Alpha"/>
    <w:basedOn w:val="List"/>
    <w:rsid w:val="00422FA4"/>
    <w:pPr>
      <w:numPr>
        <w:numId w:val="7"/>
      </w:numPr>
    </w:pPr>
  </w:style>
  <w:style w:type="paragraph" w:customStyle="1" w:styleId="ListAlpha2">
    <w:name w:val="List Alpha 2"/>
    <w:basedOn w:val="List2"/>
    <w:rsid w:val="00422FA4"/>
    <w:pPr>
      <w:numPr>
        <w:numId w:val="6"/>
      </w:numPr>
    </w:pPr>
  </w:style>
  <w:style w:type="paragraph" w:styleId="List2">
    <w:name w:val="List 2"/>
    <w:basedOn w:val="BodyText"/>
    <w:rsid w:val="00422FA4"/>
    <w:pPr>
      <w:tabs>
        <w:tab w:val="left" w:pos="680"/>
      </w:tabs>
      <w:spacing w:before="60" w:after="60"/>
      <w:ind w:left="680" w:hanging="340"/>
    </w:pPr>
  </w:style>
  <w:style w:type="paragraph" w:styleId="List3">
    <w:name w:val="List 3"/>
    <w:basedOn w:val="BodyText"/>
    <w:rsid w:val="00422FA4"/>
    <w:pPr>
      <w:tabs>
        <w:tab w:val="left" w:pos="1021"/>
      </w:tabs>
      <w:spacing w:before="60" w:after="60"/>
      <w:ind w:left="1020" w:hanging="340"/>
    </w:pPr>
  </w:style>
  <w:style w:type="paragraph" w:styleId="List4">
    <w:name w:val="List 4"/>
    <w:basedOn w:val="BodyText"/>
    <w:rsid w:val="00422FA4"/>
    <w:pPr>
      <w:tabs>
        <w:tab w:val="left" w:pos="1361"/>
      </w:tabs>
      <w:spacing w:before="60" w:after="60"/>
      <w:ind w:left="1361" w:hanging="340"/>
    </w:pPr>
  </w:style>
  <w:style w:type="paragraph" w:styleId="List5">
    <w:name w:val="List 5"/>
    <w:basedOn w:val="BodyText"/>
    <w:rsid w:val="00422FA4"/>
    <w:pPr>
      <w:tabs>
        <w:tab w:val="left" w:pos="1701"/>
      </w:tabs>
      <w:spacing w:before="60" w:after="60"/>
      <w:ind w:left="1701" w:hanging="340"/>
    </w:pPr>
  </w:style>
  <w:style w:type="paragraph" w:styleId="ListBullet3">
    <w:name w:val="List Bullet 3"/>
    <w:basedOn w:val="List3"/>
    <w:rsid w:val="00422FA4"/>
    <w:pPr>
      <w:numPr>
        <w:numId w:val="13"/>
      </w:numPr>
      <w:tabs>
        <w:tab w:val="clear" w:pos="1021"/>
      </w:tabs>
      <w:ind w:left="1037" w:hanging="357"/>
    </w:pPr>
  </w:style>
  <w:style w:type="paragraph" w:styleId="ListBullet4">
    <w:name w:val="List Bullet 4"/>
    <w:basedOn w:val="List4"/>
    <w:rsid w:val="00422FA4"/>
    <w:pPr>
      <w:numPr>
        <w:numId w:val="1"/>
      </w:numPr>
    </w:pPr>
  </w:style>
  <w:style w:type="paragraph" w:styleId="ListBullet5">
    <w:name w:val="List Bullet 5"/>
    <w:basedOn w:val="List5"/>
    <w:rsid w:val="00422FA4"/>
    <w:pPr>
      <w:numPr>
        <w:numId w:val="2"/>
      </w:numPr>
    </w:pPr>
  </w:style>
  <w:style w:type="paragraph" w:styleId="ListContinue2">
    <w:name w:val="List Continue 2"/>
    <w:basedOn w:val="List2"/>
    <w:rsid w:val="00422FA4"/>
    <w:pPr>
      <w:ind w:firstLine="0"/>
    </w:pPr>
  </w:style>
  <w:style w:type="paragraph" w:styleId="ListContinue3">
    <w:name w:val="List Continue 3"/>
    <w:basedOn w:val="List3"/>
    <w:rsid w:val="00422FA4"/>
    <w:pPr>
      <w:ind w:left="1021" w:firstLine="0"/>
    </w:pPr>
  </w:style>
  <w:style w:type="paragraph" w:styleId="ListContinue4">
    <w:name w:val="List Continue 4"/>
    <w:basedOn w:val="List4"/>
    <w:rsid w:val="00422FA4"/>
    <w:pPr>
      <w:ind w:firstLine="0"/>
    </w:pPr>
  </w:style>
  <w:style w:type="paragraph" w:styleId="ListContinue5">
    <w:name w:val="List Continue 5"/>
    <w:basedOn w:val="List5"/>
    <w:rsid w:val="00422FA4"/>
    <w:pPr>
      <w:ind w:firstLine="0"/>
    </w:pPr>
  </w:style>
  <w:style w:type="paragraph" w:styleId="ListNumber3">
    <w:name w:val="List Number 3"/>
    <w:basedOn w:val="List3"/>
    <w:rsid w:val="00422FA4"/>
    <w:pPr>
      <w:numPr>
        <w:numId w:val="3"/>
      </w:numPr>
    </w:pPr>
  </w:style>
  <w:style w:type="paragraph" w:styleId="ListNumber4">
    <w:name w:val="List Number 4"/>
    <w:basedOn w:val="List4"/>
    <w:rsid w:val="00422FA4"/>
    <w:pPr>
      <w:numPr>
        <w:numId w:val="4"/>
      </w:numPr>
    </w:pPr>
  </w:style>
  <w:style w:type="paragraph" w:styleId="ListNumber5">
    <w:name w:val="List Number 5"/>
    <w:basedOn w:val="List5"/>
    <w:rsid w:val="00422FA4"/>
    <w:pPr>
      <w:numPr>
        <w:numId w:val="5"/>
      </w:numPr>
    </w:pPr>
  </w:style>
  <w:style w:type="paragraph" w:styleId="BlockText">
    <w:name w:val="Block Text"/>
    <w:basedOn w:val="Normal"/>
    <w:rsid w:val="00422FA4"/>
    <w:pPr>
      <w:spacing w:after="120"/>
      <w:ind w:left="1440" w:right="1440"/>
    </w:pPr>
  </w:style>
  <w:style w:type="character" w:customStyle="1" w:styleId="Subscript">
    <w:name w:val="Subscript"/>
    <w:basedOn w:val="DefaultParagraphFont"/>
    <w:rsid w:val="00422FA4"/>
    <w:rPr>
      <w:sz w:val="16"/>
      <w:vertAlign w:val="subscript"/>
    </w:rPr>
  </w:style>
  <w:style w:type="character" w:customStyle="1" w:styleId="Superscript">
    <w:name w:val="Superscript"/>
    <w:basedOn w:val="DefaultParagraphFont"/>
    <w:rsid w:val="00422FA4"/>
    <w:rPr>
      <w:sz w:val="16"/>
      <w:vertAlign w:val="superscript"/>
    </w:rPr>
  </w:style>
  <w:style w:type="character" w:customStyle="1" w:styleId="Symbols">
    <w:name w:val="Symbols"/>
    <w:basedOn w:val="DefaultParagraphFont"/>
    <w:rsid w:val="00422FA4"/>
    <w:rPr>
      <w:rFonts w:ascii="Symbol" w:hAnsi="Symbol"/>
    </w:rPr>
  </w:style>
  <w:style w:type="character" w:customStyle="1" w:styleId="MenuOptions">
    <w:name w:val="Menu Options"/>
    <w:basedOn w:val="DefaultParagraphFont"/>
    <w:rsid w:val="00422FA4"/>
    <w:rPr>
      <w:rFonts w:ascii="Arial Narrow" w:hAnsi="Arial Narrow"/>
      <w:smallCaps/>
    </w:rPr>
  </w:style>
  <w:style w:type="character" w:customStyle="1" w:styleId="Buttons">
    <w:name w:val="Buttons"/>
    <w:basedOn w:val="DefaultParagraphFont"/>
    <w:rsid w:val="00422FA4"/>
    <w:rPr>
      <w:b/>
    </w:rPr>
  </w:style>
  <w:style w:type="character" w:customStyle="1" w:styleId="Underlined">
    <w:name w:val="Underlined"/>
    <w:basedOn w:val="DefaultParagraphFont"/>
    <w:rsid w:val="00422FA4"/>
    <w:rPr>
      <w:u w:val="single"/>
    </w:rPr>
  </w:style>
  <w:style w:type="paragraph" w:customStyle="1" w:styleId="TableBodyTextRight">
    <w:name w:val="Table Body Text Right"/>
    <w:basedOn w:val="TableBodyText"/>
    <w:rsid w:val="00422FA4"/>
    <w:pPr>
      <w:widowControl w:val="0"/>
      <w:autoSpaceDE w:val="0"/>
      <w:autoSpaceDN w:val="0"/>
      <w:adjustRightInd w:val="0"/>
      <w:jc w:val="right"/>
    </w:pPr>
    <w:rPr>
      <w:rFonts w:cs="Arial"/>
      <w:szCs w:val="18"/>
    </w:rPr>
  </w:style>
  <w:style w:type="paragraph" w:customStyle="1" w:styleId="CopyrightText">
    <w:name w:val="Copyright Text"/>
    <w:basedOn w:val="BodyText"/>
    <w:rsid w:val="00422FA4"/>
    <w:rPr>
      <w:sz w:val="18"/>
    </w:rPr>
  </w:style>
  <w:style w:type="paragraph" w:customStyle="1" w:styleId="BodySmallRight">
    <w:name w:val="Body Small Right"/>
    <w:basedOn w:val="BodyTextRight"/>
    <w:rsid w:val="00422FA4"/>
    <w:rPr>
      <w:sz w:val="18"/>
      <w:szCs w:val="18"/>
    </w:rPr>
  </w:style>
  <w:style w:type="paragraph" w:customStyle="1" w:styleId="MarginEdition">
    <w:name w:val="Margin Edition"/>
    <w:basedOn w:val="MarginNote"/>
    <w:rsid w:val="00422FA4"/>
    <w:pPr>
      <w:spacing w:before="0" w:after="0"/>
    </w:pPr>
    <w:rPr>
      <w:rFonts w:ascii="Times New Roman" w:hAnsi="Times New Roman"/>
      <w:color w:val="999999"/>
    </w:rPr>
  </w:style>
  <w:style w:type="paragraph" w:customStyle="1" w:styleId="Spacer">
    <w:name w:val="Spacer"/>
    <w:basedOn w:val="Normal"/>
    <w:rsid w:val="00422FA4"/>
    <w:rPr>
      <w:sz w:val="2"/>
      <w:szCs w:val="2"/>
    </w:rPr>
  </w:style>
  <w:style w:type="character" w:customStyle="1" w:styleId="Small">
    <w:name w:val="Small"/>
    <w:basedOn w:val="DefaultParagraphFont"/>
    <w:rsid w:val="00422FA4"/>
    <w:rPr>
      <w:sz w:val="16"/>
    </w:rPr>
  </w:style>
  <w:style w:type="paragraph" w:customStyle="1" w:styleId="WideTable">
    <w:name w:val="Wide Table"/>
    <w:basedOn w:val="Normal"/>
    <w:rsid w:val="00422FA4"/>
    <w:pPr>
      <w:ind w:left="-1418"/>
    </w:pPr>
    <w:rPr>
      <w:sz w:val="2"/>
      <w:szCs w:val="2"/>
    </w:rPr>
  </w:style>
  <w:style w:type="character" w:styleId="PageNumber">
    <w:name w:val="page number"/>
    <w:basedOn w:val="DefaultParagraphFont"/>
    <w:rsid w:val="00422FA4"/>
  </w:style>
  <w:style w:type="paragraph" w:styleId="Quote">
    <w:name w:val="Quote"/>
    <w:basedOn w:val="Heading1"/>
    <w:link w:val="QuoteChar"/>
    <w:qFormat/>
    <w:rsid w:val="00422FA4"/>
    <w:rPr>
      <w:b w:val="0"/>
      <w:sz w:val="72"/>
      <w:szCs w:val="72"/>
      <w:lang w:val="en-NZ"/>
    </w:rPr>
  </w:style>
  <w:style w:type="character" w:customStyle="1" w:styleId="QuoteChar">
    <w:name w:val="Quote Char"/>
    <w:basedOn w:val="DefaultParagraphFont"/>
    <w:link w:val="Quote"/>
    <w:rsid w:val="00422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FA4"/>
    <w:pPr>
      <w:pageBreakBefore/>
    </w:pPr>
  </w:style>
  <w:style w:type="paragraph" w:customStyle="1" w:styleId="Border">
    <w:name w:val="Border"/>
    <w:basedOn w:val="Normal"/>
    <w:qFormat/>
    <w:rsid w:val="00422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FA4"/>
    <w:rPr>
      <w:b/>
      <w:bCs/>
      <w:i/>
      <w:iCs/>
      <w:color w:val="auto"/>
    </w:rPr>
  </w:style>
  <w:style w:type="paragraph" w:styleId="IntenseQuote">
    <w:name w:val="Intense Quote"/>
    <w:basedOn w:val="Normal"/>
    <w:next w:val="Normal"/>
    <w:link w:val="IntenseQuoteChar"/>
    <w:uiPriority w:val="30"/>
    <w:qFormat/>
    <w:rsid w:val="00422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FA4"/>
    <w:rPr>
      <w:smallCaps/>
      <w:color w:val="auto"/>
      <w:u w:val="single"/>
    </w:rPr>
  </w:style>
  <w:style w:type="character" w:styleId="IntenseReference">
    <w:name w:val="Intense Reference"/>
    <w:basedOn w:val="DefaultParagraphFont"/>
    <w:uiPriority w:val="32"/>
    <w:qFormat/>
    <w:rsid w:val="00422FA4"/>
    <w:rPr>
      <w:b/>
      <w:bCs/>
      <w:smallCaps/>
      <w:color w:val="auto"/>
      <w:spacing w:val="5"/>
      <w:u w:val="single"/>
    </w:rPr>
  </w:style>
  <w:style w:type="paragraph" w:customStyle="1" w:styleId="2ColumnHeading">
    <w:name w:val="2Column Heading"/>
    <w:basedOn w:val="BodyText"/>
    <w:qFormat/>
    <w:rsid w:val="00422FA4"/>
    <w:pPr>
      <w:spacing w:after="60"/>
      <w:ind w:left="-2268"/>
    </w:pPr>
    <w:rPr>
      <w:b/>
    </w:rPr>
  </w:style>
  <w:style w:type="paragraph" w:customStyle="1" w:styleId="Heading1TOC">
    <w:name w:val="Heading1 TOC"/>
    <w:basedOn w:val="Normal"/>
    <w:qFormat/>
    <w:rsid w:val="00422FA4"/>
    <w:pPr>
      <w:spacing w:before="240" w:after="120"/>
    </w:pPr>
    <w:rPr>
      <w:rFonts w:ascii="Times New Roman" w:hAnsi="Times New Roman"/>
      <w:b/>
      <w:sz w:val="32"/>
    </w:rPr>
  </w:style>
  <w:style w:type="paragraph" w:customStyle="1" w:styleId="Heading2TOC">
    <w:name w:val="Heading2 TOC"/>
    <w:basedOn w:val="Normal"/>
    <w:qFormat/>
    <w:rsid w:val="00422FA4"/>
    <w:pPr>
      <w:spacing w:before="240" w:after="60"/>
    </w:pPr>
    <w:rPr>
      <w:rFonts w:ascii="Times New Roman" w:hAnsi="Times New Roman"/>
      <w:b/>
      <w:sz w:val="28"/>
    </w:rPr>
  </w:style>
  <w:style w:type="character" w:customStyle="1" w:styleId="Underline">
    <w:name w:val="Underline"/>
    <w:basedOn w:val="DefaultParagraphFont"/>
    <w:qFormat/>
    <w:rsid w:val="00422FA4"/>
    <w:rPr>
      <w:u w:val="single"/>
    </w:rPr>
  </w:style>
  <w:style w:type="character" w:customStyle="1" w:styleId="BoldandItalics">
    <w:name w:val="Bold and Italics"/>
    <w:qFormat/>
    <w:rsid w:val="00422FA4"/>
    <w:rPr>
      <w:b/>
      <w:i/>
      <w:u w:val="none"/>
    </w:rPr>
  </w:style>
  <w:style w:type="paragraph" w:styleId="BalloonText">
    <w:name w:val="Balloon Text"/>
    <w:basedOn w:val="Normal"/>
    <w:link w:val="BalloonTextChar"/>
    <w:rsid w:val="00422FA4"/>
    <w:rPr>
      <w:rFonts w:ascii="Tahoma" w:hAnsi="Tahoma" w:cs="Tahoma"/>
      <w:sz w:val="16"/>
      <w:szCs w:val="16"/>
    </w:rPr>
  </w:style>
  <w:style w:type="character" w:customStyle="1" w:styleId="BalloonTextChar">
    <w:name w:val="Balloon Text Char"/>
    <w:basedOn w:val="DefaultParagraphFont"/>
    <w:link w:val="BalloonText"/>
    <w:rsid w:val="00422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F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FA4"/>
    <w:rPr>
      <w:b/>
      <w:color w:val="660033"/>
      <w:spacing w:val="0"/>
    </w:rPr>
  </w:style>
  <w:style w:type="paragraph" w:customStyle="1" w:styleId="Nameditemlist">
    <w:name w:val="Named item list"/>
    <w:basedOn w:val="BodyText"/>
    <w:qFormat/>
    <w:rsid w:val="00422F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9301</Characters>
  <Application>Microsoft Office Word</Application>
  <DocSecurity>0</DocSecurity>
  <Lines>386</Lines>
  <Paragraphs>195</Paragraphs>
  <ScaleCrop>false</ScaleCrop>
  <Company>Author-it Software Corporation Ltd.</Company>
  <LinksUpToDate>false</LinksUpToDate>
  <CharactersWithSpaces>10706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CUELGT05C Record and operate standard lighting cues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2012-10-19T11:14:00Z</dcterms:created>
  <dcterms:modified xsi:type="dcterms:W3CDTF">2012-10-19T11:14:00Z</dcterms:modified>
</cp:coreProperties>
</file>