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B745A" w:rsidP="008B745A">
      <w:pPr>
        <w:pStyle w:val="Title"/>
      </w:pPr>
      <w:r>
        <w:fldChar w:fldCharType="begin"/>
      </w:r>
      <w:r>
        <w:instrText xml:space="preserve"> TITLE   \* MERGEFORMAT </w:instrText>
      </w:r>
      <w:r>
        <w:fldChar w:fldCharType="separate"/>
      </w:r>
      <w:r>
        <w:t>CUETGE15B Handle physical elements during bump in/bump out</w:t>
      </w:r>
      <w:r>
        <w:fldChar w:fldCharType="end"/>
      </w:r>
    </w:p>
    <w:p w:rsidR="008B745A" w:rsidP="008B745A">
      <w:pPr>
        <w:pStyle w:val="Version"/>
        <w:sectPr w:rsidSect="00DE24F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DE24FE" w:rsidP="00DE24FE">
      <w:pPr>
        <w:pStyle w:val="SuperHeading"/>
      </w:pPr>
      <w:r w:rsidRPr="00DE24FE">
        <w:t>CUETGE15B Handle physical elements during bump in/bump out</w:t>
      </w:r>
    </w:p>
    <w:p w:rsidR="00000000" w:rsidRPr="00DE24FE" w:rsidP="00DE24FE">
      <w:pPr>
        <w:pStyle w:val="Heading1"/>
      </w:pPr>
      <w:bookmarkStart w:id="1" w:name="O_70563"/>
      <w:bookmarkEnd w:id="1"/>
      <w:r w:rsidRPr="00DE24FE">
        <w:t>Modification History</w:t>
      </w:r>
    </w:p>
    <w:p w:rsidR="00000000" w:rsidRPr="00DE24FE" w:rsidP="00DE24FE">
      <w:pPr>
        <w:pStyle w:val="BodyText"/>
      </w:pPr>
      <w:r w:rsidRPr="00DE24FE">
        <w:t>Not applicable.</w:t>
      </w:r>
    </w:p>
    <w:p w:rsidR="00000000" w:rsidRPr="00DE24FE" w:rsidP="00DE24FE">
      <w:pPr>
        <w:pStyle w:val="AllowPageBreak"/>
      </w:pPr>
    </w:p>
    <w:p w:rsidR="00000000" w:rsidRPr="00DE24FE" w:rsidP="00DE24FE">
      <w:pPr>
        <w:pStyle w:val="Heading1"/>
      </w:pPr>
      <w:bookmarkStart w:id="2" w:name="O_70564"/>
      <w:bookmarkEnd w:id="2"/>
      <w:r w:rsidRPr="00DE24FE">
        <w:t>Unit Descriptor</w:t>
      </w:r>
    </w:p>
    <w:tbl>
      <w:tblPr>
        <w:tblW w:w="0" w:type="auto"/>
        <w:tblLayout w:type="fixed"/>
        <w:tblCellMar>
          <w:left w:w="62" w:type="dxa"/>
          <w:right w:w="62" w:type="dxa"/>
        </w:tblCellMar>
        <w:tblLook w:val="0000"/>
      </w:tblPr>
      <w:tblGrid>
        <w:gridCol w:w="2661"/>
        <w:gridCol w:w="5861"/>
      </w:tblGrid>
      <w:tr w:rsidTr="008B745A">
        <w:tblPrEx>
          <w:tblW w:w="0" w:type="auto"/>
          <w:tblLayout w:type="fixed"/>
          <w:tblCellMar>
            <w:left w:w="62" w:type="dxa"/>
            <w:right w:w="62" w:type="dxa"/>
          </w:tblCellMar>
          <w:tblLook w:val="0000"/>
        </w:tblPrEx>
        <w:tc>
          <w:tcPr>
            <w:tcW w:w="2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24FE">
            <w:pPr>
              <w:pStyle w:val="BodyText"/>
              <w:rPr>
                <w:lang w:val="en-NZ"/>
              </w:rPr>
            </w:pPr>
            <w:r w:rsidRPr="00DE24FE">
              <w:rPr>
                <w:rStyle w:val="SpecialBold"/>
              </w:rPr>
              <w:t>Unit descriptor</w:t>
            </w:r>
          </w:p>
        </w:tc>
        <w:tc>
          <w:tcPr>
            <w:tcW w:w="58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24FE" w:rsidP="00DE24FE">
            <w:pPr>
              <w:pStyle w:val="BodyText"/>
            </w:pPr>
            <w:r w:rsidRPr="00DE24FE">
              <w:t>This unit describes the skills and knowledge required to assemble, pack and load/unload physical elements under supervision for any production within the cult</w:t>
            </w:r>
            <w:r w:rsidRPr="00DE24FE">
              <w:t>ural industries. This unit is introductory in nature and focuses on safe manual handling and general knowledge of the bump in/bump out process and types of equipment. It does not include the specialised bump in/bump out procedures and knowledge required by</w:t>
            </w:r>
            <w:r w:rsidRPr="00DE24FE">
              <w:t xml:space="preserve"> technicians.</w:t>
            </w:r>
          </w:p>
          <w:p w:rsidR="00000000" w:rsidRPr="00DE24FE" w:rsidP="00DE24FE">
            <w:pPr>
              <w:pStyle w:val="BodyText"/>
            </w:pPr>
          </w:p>
          <w:p w:rsidR="00000000" w:rsidRPr="00DE24FE" w:rsidP="00DE24FE">
            <w:pPr>
              <w:pStyle w:val="BodyText"/>
            </w:pPr>
            <w:r w:rsidRPr="00DE24FE">
              <w:t>No licensing, legislative, regulatory or certification requirements apply to this unit at the time of endorsement.</w:t>
            </w:r>
          </w:p>
        </w:tc>
      </w:tr>
    </w:tbl>
    <w:p w:rsidR="00000000" w:rsidRPr="00DE24FE" w:rsidP="00DE24FE">
      <w:pPr>
        <w:pStyle w:val="BodyText"/>
      </w:pPr>
    </w:p>
    <w:p w:rsidR="00000000" w:rsidRPr="00DE24FE" w:rsidP="00DE24FE">
      <w:pPr>
        <w:pStyle w:val="AllowPageBreak"/>
      </w:pPr>
    </w:p>
    <w:p w:rsidR="00000000" w:rsidRPr="00DE24FE" w:rsidP="00DE24FE">
      <w:pPr>
        <w:pStyle w:val="Heading1"/>
      </w:pPr>
      <w:bookmarkStart w:id="3" w:name="O_70565"/>
      <w:bookmarkEnd w:id="3"/>
      <w:r w:rsidRPr="00DE24FE">
        <w:t>Application of the Unit</w:t>
      </w:r>
    </w:p>
    <w:tbl>
      <w:tblPr>
        <w:tblW w:w="0" w:type="auto"/>
        <w:tblLayout w:type="fixed"/>
        <w:tblCellMar>
          <w:left w:w="62" w:type="dxa"/>
          <w:right w:w="62" w:type="dxa"/>
        </w:tblCellMar>
        <w:tblLook w:val="0000"/>
      </w:tblPr>
      <w:tblGrid>
        <w:gridCol w:w="2746"/>
        <w:gridCol w:w="5776"/>
      </w:tblGrid>
      <w:tr w:rsidTr="008B745A">
        <w:tblPrEx>
          <w:tblW w:w="0" w:type="auto"/>
          <w:tblLayout w:type="fixed"/>
          <w:tblCellMar>
            <w:left w:w="62" w:type="dxa"/>
            <w:right w:w="62" w:type="dxa"/>
          </w:tblCellMar>
          <w:tblLook w:val="0000"/>
        </w:tblPrEx>
        <w:tc>
          <w:tcPr>
            <w:tcW w:w="2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24FE">
            <w:pPr>
              <w:pStyle w:val="BodyText"/>
              <w:rPr>
                <w:lang w:val="en-NZ"/>
              </w:rPr>
            </w:pPr>
            <w:r w:rsidRPr="00DE24FE">
              <w:rPr>
                <w:rStyle w:val="SpecialBold"/>
              </w:rPr>
              <w:t>Application of the unit</w:t>
            </w:r>
          </w:p>
        </w:tc>
        <w:tc>
          <w:tcPr>
            <w:tcW w:w="57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24FE" w:rsidP="00DE24FE">
            <w:pPr>
              <w:pStyle w:val="BodyText"/>
            </w:pPr>
            <w:r w:rsidRPr="00DE24FE">
              <w:t>The role outlined in this unit may be undertaken by a range o</w:t>
            </w:r>
            <w:r w:rsidRPr="00DE24FE">
              <w:t>f technical production personnel, usually under the supervision of others.</w:t>
            </w:r>
          </w:p>
          <w:p w:rsidR="00000000" w:rsidRPr="00DE24FE" w:rsidP="00DE24FE">
            <w:pPr>
              <w:pStyle w:val="BodyText"/>
            </w:pPr>
            <w:r w:rsidRPr="00DE24FE">
              <w:t>This unit has linkages to other technical construction and manufacturing units and combined assessment and/or training with those units may be appropriate.</w:t>
            </w:r>
          </w:p>
          <w:p w:rsidR="00000000" w:rsidRPr="00DE24FE" w:rsidP="00DE24FE">
            <w:pPr>
              <w:pStyle w:val="BodyText"/>
            </w:pPr>
          </w:p>
          <w:p w:rsidR="00000000" w:rsidRPr="00DE24FE" w:rsidP="00DE24FE">
            <w:pPr>
              <w:pStyle w:val="BodyText"/>
            </w:pPr>
            <w:r w:rsidRPr="00DE24FE">
              <w:t>It is strongly recommend</w:t>
            </w:r>
            <w:r w:rsidRPr="00DE24FE">
              <w:t>ed that this unit be assessed with or after the following unit:</w:t>
            </w:r>
          </w:p>
          <w:p w:rsidR="00000000" w:rsidRPr="00DE24FE" w:rsidP="00DE24FE">
            <w:pPr>
              <w:pStyle w:val="BodyText"/>
            </w:pPr>
            <w:r w:rsidRPr="00DE24FE">
              <w:t>MEM18001C Use hand tools.</w:t>
            </w:r>
          </w:p>
        </w:tc>
      </w:tr>
    </w:tbl>
    <w:p w:rsidR="00000000" w:rsidRPr="00DE24FE" w:rsidP="00DE24FE">
      <w:pPr>
        <w:pStyle w:val="BodyText"/>
      </w:pPr>
    </w:p>
    <w:p w:rsidR="00000000" w:rsidRPr="00DE24FE" w:rsidP="00DE24FE">
      <w:pPr>
        <w:pStyle w:val="AllowPageBreak"/>
      </w:pPr>
    </w:p>
    <w:p w:rsidR="00000000" w:rsidRPr="00DE24FE" w:rsidP="00DE24FE">
      <w:pPr>
        <w:pStyle w:val="Heading1"/>
      </w:pPr>
      <w:bookmarkStart w:id="4" w:name="O_70566"/>
      <w:bookmarkEnd w:id="4"/>
      <w:r w:rsidRPr="00DE24FE">
        <w:t>Licensing/Regulatory Information</w:t>
      </w:r>
    </w:p>
    <w:p w:rsidR="00000000" w:rsidRPr="00DE24FE" w:rsidP="00DE24FE">
      <w:pPr>
        <w:pStyle w:val="BodyText"/>
      </w:pPr>
      <w:r w:rsidRPr="00DE24FE">
        <w:t>Not applicable.</w:t>
      </w:r>
    </w:p>
    <w:p w:rsidR="00000000" w:rsidRPr="00DE24FE" w:rsidP="00DE24FE">
      <w:pPr>
        <w:pStyle w:val="AllowPageBreak"/>
      </w:pPr>
    </w:p>
    <w:p w:rsidR="00000000" w:rsidRPr="00DE24FE" w:rsidP="00DE24FE">
      <w:pPr>
        <w:pStyle w:val="Heading1"/>
      </w:pPr>
      <w:bookmarkStart w:id="5" w:name="O_70568"/>
      <w:bookmarkEnd w:id="5"/>
      <w:r w:rsidRPr="00DE24FE">
        <w:t>Pre-Requisites</w:t>
      </w:r>
    </w:p>
    <w:tbl>
      <w:tblPr>
        <w:tblW w:w="0" w:type="auto"/>
        <w:tblLayout w:type="fixed"/>
        <w:tblCellMar>
          <w:left w:w="62" w:type="dxa"/>
          <w:right w:w="62" w:type="dxa"/>
        </w:tblCellMar>
        <w:tblLook w:val="0000"/>
      </w:tblPr>
      <w:tblGrid>
        <w:gridCol w:w="2775"/>
        <w:gridCol w:w="1295"/>
        <w:gridCol w:w="4452"/>
      </w:tblGrid>
      <w:tr w:rsidTr="008B745A">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24FE">
            <w:pPr>
              <w:pStyle w:val="BodyText"/>
              <w:rPr>
                <w:lang w:val="en-NZ"/>
              </w:rPr>
            </w:pPr>
            <w:r w:rsidRPr="00DE24FE">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24FE">
            <w:pPr>
              <w:pStyle w:val="BodyText"/>
              <w:rPr>
                <w:lang w:val="en-NZ"/>
              </w:rPr>
            </w:pPr>
          </w:p>
        </w:tc>
      </w:tr>
      <w:tr w:rsidTr="008B745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24FE">
            <w:pPr>
              <w:pStyle w:val="BodyText"/>
              <w:rPr>
                <w:lang w:val="en-NZ"/>
              </w:rPr>
            </w:pPr>
          </w:p>
        </w:tc>
      </w:tr>
      <w:tr w:rsidTr="008B745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24FE" w:rsidP="00DE24FE">
            <w:pPr>
              <w:pStyle w:val="BodyText"/>
            </w:pPr>
          </w:p>
        </w:tc>
      </w:tr>
    </w:tbl>
    <w:p w:rsidR="00000000" w:rsidRPr="00DE24FE" w:rsidP="00DE24FE">
      <w:pPr>
        <w:pStyle w:val="BodyText"/>
      </w:pPr>
    </w:p>
    <w:p w:rsidR="00000000" w:rsidRPr="00DE24FE" w:rsidP="00DE24FE">
      <w:pPr>
        <w:pStyle w:val="AllowPageBreak"/>
      </w:pPr>
    </w:p>
    <w:p w:rsidR="00000000" w:rsidRPr="00DE24FE" w:rsidP="00DE24FE">
      <w:pPr>
        <w:pStyle w:val="Heading1"/>
      </w:pPr>
      <w:bookmarkStart w:id="6" w:name="O_70567"/>
      <w:bookmarkEnd w:id="6"/>
      <w:r w:rsidRPr="00DE24FE">
        <w:t>Employability Skills Information</w:t>
      </w:r>
    </w:p>
    <w:tbl>
      <w:tblPr>
        <w:tblW w:w="0" w:type="auto"/>
        <w:tblLayout w:type="fixed"/>
        <w:tblCellMar>
          <w:left w:w="62" w:type="dxa"/>
          <w:right w:w="62" w:type="dxa"/>
        </w:tblCellMar>
        <w:tblLook w:val="0000"/>
      </w:tblPr>
      <w:tblGrid>
        <w:gridCol w:w="2802"/>
        <w:gridCol w:w="5720"/>
      </w:tblGrid>
      <w:tr w:rsidTr="008B745A">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24FE">
            <w:pPr>
              <w:pStyle w:val="BodyText"/>
              <w:rPr>
                <w:lang w:val="en-NZ"/>
              </w:rPr>
            </w:pPr>
            <w:r w:rsidRPr="00DE24FE">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24FE" w:rsidP="00DE24FE">
            <w:pPr>
              <w:pStyle w:val="BodyText"/>
            </w:pPr>
            <w:r w:rsidRPr="00DE24FE">
              <w:t>This unit contains employability skills.</w:t>
            </w:r>
          </w:p>
        </w:tc>
      </w:tr>
    </w:tbl>
    <w:p w:rsidR="00000000" w:rsidRPr="00DE24FE" w:rsidP="00DE24FE">
      <w:pPr>
        <w:pStyle w:val="BodyText"/>
      </w:pPr>
    </w:p>
    <w:p w:rsidR="00000000" w:rsidRPr="00DE24FE" w:rsidP="00DE24FE">
      <w:pPr>
        <w:pStyle w:val="AllowPageBreak"/>
      </w:pPr>
    </w:p>
    <w:p w:rsidR="00000000" w:rsidRPr="00DE24FE" w:rsidP="00DE24FE">
      <w:pPr>
        <w:pStyle w:val="Heading1"/>
      </w:pPr>
      <w:bookmarkStart w:id="7" w:name="O_70569"/>
      <w:bookmarkEnd w:id="7"/>
      <w:r w:rsidRPr="00DE24FE">
        <w:t>Elements and Performance Criteria Pre-Content</w:t>
      </w:r>
    </w:p>
    <w:tbl>
      <w:tblPr>
        <w:tblW w:w="0" w:type="auto"/>
        <w:tblLayout w:type="fixed"/>
        <w:tblCellMar>
          <w:left w:w="62" w:type="dxa"/>
          <w:right w:w="62" w:type="dxa"/>
        </w:tblCellMar>
        <w:tblLook w:val="0000"/>
      </w:tblPr>
      <w:tblGrid>
        <w:gridCol w:w="2567"/>
        <w:gridCol w:w="5955"/>
      </w:tblGrid>
      <w:tr w:rsidTr="008B745A">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24FE">
            <w:pPr>
              <w:pStyle w:val="BodyText"/>
              <w:rPr>
                <w:lang w:val="en-NZ"/>
              </w:rPr>
            </w:pPr>
            <w:r w:rsidRPr="00DE24FE">
              <w:t>Elements describe the essential outcomes of a unit of competency.</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24FE" w:rsidP="00DE24FE">
            <w:pPr>
              <w:pStyle w:val="BodyText"/>
            </w:pPr>
            <w:r w:rsidRPr="00DE24FE">
              <w:t>Performance criteria describe th</w:t>
            </w:r>
            <w:r w:rsidRPr="00DE24FE">
              <w:t>e performance needed to demonstrate achievement of the element. Where bold italicised text is used, further information is detailed in the required skills and knowledge section and the range statement. Assessment of performance is to be consistent with the</w:t>
            </w:r>
            <w:r w:rsidRPr="00DE24FE">
              <w:t xml:space="preserve"> evidence guide.</w:t>
            </w:r>
          </w:p>
        </w:tc>
      </w:tr>
    </w:tbl>
    <w:p w:rsidR="00000000" w:rsidRPr="00DE24FE" w:rsidP="00DE24FE">
      <w:pPr>
        <w:pStyle w:val="BodyText"/>
      </w:pPr>
    </w:p>
    <w:p w:rsidR="00000000" w:rsidRPr="00DE24FE" w:rsidP="00DE24FE">
      <w:pPr>
        <w:pStyle w:val="AllowPageBreak"/>
      </w:pPr>
    </w:p>
    <w:p w:rsidR="00000000" w:rsidRPr="00DE24FE" w:rsidP="00DE24FE">
      <w:pPr>
        <w:pStyle w:val="Heading1"/>
      </w:pPr>
      <w:bookmarkStart w:id="8" w:name="O_70570"/>
      <w:bookmarkEnd w:id="8"/>
      <w:r w:rsidRPr="00DE24FE">
        <w:t>Elements and Performance Criteria</w:t>
      </w:r>
    </w:p>
    <w:tbl>
      <w:tblPr>
        <w:tblW w:w="0" w:type="auto"/>
        <w:tblLayout w:type="fixed"/>
        <w:tblCellMar>
          <w:left w:w="62" w:type="dxa"/>
          <w:right w:w="62" w:type="dxa"/>
        </w:tblCellMar>
        <w:tblLook w:val="0000"/>
      </w:tblPr>
      <w:tblGrid>
        <w:gridCol w:w="2567"/>
        <w:gridCol w:w="5955"/>
      </w:tblGrid>
      <w:tr w:rsidTr="008B745A">
        <w:tblPrEx>
          <w:tblW w:w="0" w:type="auto"/>
          <w:tblLayout w:type="fixed"/>
          <w:tblCellMar>
            <w:left w:w="62" w:type="dxa"/>
            <w:right w:w="62" w:type="dxa"/>
          </w:tblCellMar>
          <w:tblLook w:val="0000"/>
        </w:tblPrEx>
        <w:trPr>
          <w:tblHeader/>
        </w:trPr>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24FE" w:rsidP="00DE24FE">
            <w:pPr>
              <w:pStyle w:val="BodyText"/>
            </w:pPr>
            <w:r w:rsidRPr="00DE24FE">
              <w:rPr>
                <w:rStyle w:val="SpecialBold"/>
              </w:rPr>
              <w:t>ELEMENT</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24FE">
            <w:pPr>
              <w:pStyle w:val="BodyText"/>
              <w:rPr>
                <w:lang w:val="en-NZ"/>
              </w:rPr>
            </w:pPr>
            <w:r w:rsidRPr="00DE24FE">
              <w:rPr>
                <w:rStyle w:val="SpecialBold"/>
              </w:rPr>
              <w:t>PERFORMANCE CRITERIA</w:t>
            </w:r>
          </w:p>
        </w:tc>
      </w:tr>
      <w:tr w:rsidTr="008B745A">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24FE">
            <w:pPr>
              <w:pStyle w:val="List"/>
              <w:rPr>
                <w:lang w:val="en-NZ"/>
              </w:rPr>
            </w:pPr>
            <w:r w:rsidRPr="00DE24FE">
              <w:t>1.</w:t>
            </w:r>
            <w:r w:rsidRPr="00DE24FE">
              <w:tab/>
              <w:t>Prepare physical elements for transportation</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24FE" w:rsidP="00DE24FE">
            <w:pPr>
              <w:pStyle w:val="List2"/>
            </w:pPr>
            <w:r w:rsidRPr="00DE24FE">
              <w:t>1.1.</w:t>
            </w:r>
            <w:r w:rsidRPr="00DE24FE">
              <w:tab/>
              <w:t xml:space="preserve">Assemble/dismantle </w:t>
            </w:r>
            <w:r w:rsidRPr="00DE24FE">
              <w:rPr>
                <w:rStyle w:val="BoldandItalics"/>
              </w:rPr>
              <w:t>physical elements</w:t>
            </w:r>
            <w:r w:rsidRPr="00DE24FE">
              <w:t xml:space="preserve"> in the correct order in accordance with instructions to ensure e</w:t>
            </w:r>
            <w:r w:rsidRPr="00DE24FE">
              <w:t>ase of packing, loading, unloading and installation</w:t>
            </w:r>
          </w:p>
          <w:p w:rsidR="00000000" w:rsidRPr="00DE24FE" w:rsidP="00DE24FE">
            <w:pPr>
              <w:pStyle w:val="List2"/>
            </w:pPr>
            <w:r w:rsidRPr="00DE24FE">
              <w:t>1.2.</w:t>
            </w:r>
            <w:r w:rsidRPr="00DE24FE">
              <w:tab/>
            </w:r>
            <w:r w:rsidRPr="00DE24FE">
              <w:rPr>
                <w:rStyle w:val="BoldandItalics"/>
              </w:rPr>
              <w:t>Pack</w:t>
            </w:r>
            <w:r w:rsidRPr="00DE24FE">
              <w:t xml:space="preserve"> physical elements safely using appropriate </w:t>
            </w:r>
            <w:r w:rsidRPr="00DE24FE">
              <w:rPr>
                <w:rStyle w:val="BoldandItalics"/>
              </w:rPr>
              <w:t>techniques and materials</w:t>
            </w:r>
            <w:r w:rsidRPr="00DE24FE">
              <w:t xml:space="preserve"> to avoid damage during </w:t>
            </w:r>
            <w:r w:rsidRPr="00DE24FE">
              <w:rPr>
                <w:rStyle w:val="BoldandItalics"/>
              </w:rPr>
              <w:t>transportation</w:t>
            </w:r>
          </w:p>
          <w:p w:rsidR="00000000" w:rsidP="00DE24FE">
            <w:pPr>
              <w:pStyle w:val="List2"/>
              <w:rPr>
                <w:lang w:val="en-NZ"/>
              </w:rPr>
            </w:pPr>
            <w:r w:rsidRPr="00DE24FE">
              <w:t>1.3.</w:t>
            </w:r>
            <w:r w:rsidRPr="00DE24FE">
              <w:tab/>
              <w:t>Correctly identify, prepare and pack any tools required for bump in/bump out</w:t>
            </w:r>
          </w:p>
        </w:tc>
      </w:tr>
      <w:tr w:rsidTr="008B745A">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24FE">
            <w:pPr>
              <w:pStyle w:val="List"/>
              <w:rPr>
                <w:lang w:val="en-NZ"/>
              </w:rPr>
            </w:pPr>
            <w:r w:rsidRPr="00DE24FE">
              <w:t>2.</w:t>
            </w:r>
            <w:r w:rsidRPr="00DE24FE">
              <w:tab/>
            </w:r>
            <w:r w:rsidRPr="00DE24FE">
              <w:t>Load/unload physical elements</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24FE" w:rsidP="00DE24FE">
            <w:pPr>
              <w:pStyle w:val="List2"/>
            </w:pPr>
            <w:r w:rsidRPr="00DE24FE">
              <w:t>2.1.</w:t>
            </w:r>
            <w:r w:rsidRPr="00DE24FE">
              <w:tab/>
              <w:t>Load/unload physical elements in the required order taking care to avoid damage</w:t>
            </w:r>
          </w:p>
          <w:p w:rsidR="00000000" w:rsidRPr="00DE24FE" w:rsidP="00DE24FE">
            <w:pPr>
              <w:pStyle w:val="List2"/>
            </w:pPr>
            <w:r w:rsidRPr="00DE24FE">
              <w:t>2.2.</w:t>
            </w:r>
            <w:r w:rsidRPr="00DE24FE">
              <w:tab/>
              <w:t>Use safe manual handling techniques throughout the loading/unloading process to avoid injury or damage</w:t>
            </w:r>
          </w:p>
          <w:p w:rsidR="00000000" w:rsidRPr="00DE24FE" w:rsidP="00DE24FE">
            <w:pPr>
              <w:pStyle w:val="List2"/>
            </w:pPr>
            <w:r w:rsidRPr="00DE24FE">
              <w:t>2.3.</w:t>
            </w:r>
            <w:r w:rsidRPr="00DE24FE">
              <w:tab/>
              <w:t>Install or position physical</w:t>
            </w:r>
            <w:r w:rsidRPr="00DE24FE">
              <w:t xml:space="preserve"> elements in appropriate work or storage area in accordance with directions</w:t>
            </w:r>
          </w:p>
          <w:p w:rsidR="00000000" w:rsidRPr="00DE24FE" w:rsidP="00DE24FE">
            <w:pPr>
              <w:pStyle w:val="List2"/>
            </w:pPr>
            <w:r w:rsidRPr="00DE24FE">
              <w:t>2.4.</w:t>
            </w:r>
            <w:r w:rsidRPr="00DE24FE">
              <w:tab/>
              <w:t>Identify any hazardous items and load these in a manner which minimises health and safety risk</w:t>
            </w:r>
          </w:p>
          <w:p w:rsidR="00000000" w:rsidRPr="00DE24FE" w:rsidP="00DE24FE">
            <w:pPr>
              <w:pStyle w:val="List2"/>
            </w:pPr>
            <w:r w:rsidRPr="00DE24FE">
              <w:t>2.5.</w:t>
            </w:r>
            <w:r w:rsidRPr="00DE24FE">
              <w:tab/>
              <w:t>Inspect load prior to transportation to ensure that all items are loaded ap</w:t>
            </w:r>
            <w:r w:rsidRPr="00DE24FE">
              <w:t>propriately, and make adjustments as required</w:t>
            </w:r>
          </w:p>
          <w:p w:rsidR="00000000" w:rsidP="00DE24FE">
            <w:pPr>
              <w:pStyle w:val="List2"/>
              <w:rPr>
                <w:lang w:val="en-NZ"/>
              </w:rPr>
            </w:pPr>
            <w:r w:rsidRPr="00DE24FE">
              <w:t>2.6.</w:t>
            </w:r>
            <w:r w:rsidRPr="00DE24FE">
              <w:tab/>
              <w:t>Clear and clean work areas in accordance with organisational procedures</w:t>
            </w:r>
          </w:p>
        </w:tc>
      </w:tr>
      <w:tr w:rsidTr="008B745A">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24FE">
            <w:pPr>
              <w:pStyle w:val="List"/>
              <w:rPr>
                <w:lang w:val="en-NZ"/>
              </w:rPr>
            </w:pPr>
            <w:r w:rsidRPr="00DE24FE">
              <w:t>3.</w:t>
            </w:r>
            <w:r w:rsidRPr="00DE24FE">
              <w:tab/>
              <w:t>Check condition of physical elements</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24FE" w:rsidP="00DE24FE">
            <w:pPr>
              <w:pStyle w:val="List2"/>
            </w:pPr>
            <w:r w:rsidRPr="00DE24FE">
              <w:t>3.1.</w:t>
            </w:r>
            <w:r w:rsidRPr="00DE24FE">
              <w:tab/>
              <w:t>Check the condition of physical elements to ensure that no damage has occurred during b</w:t>
            </w:r>
            <w:r w:rsidRPr="00DE24FE">
              <w:t>ump-in/bump-out</w:t>
            </w:r>
          </w:p>
          <w:p w:rsidR="00000000" w:rsidRPr="00DE24FE" w:rsidP="00DE24FE">
            <w:pPr>
              <w:pStyle w:val="List2"/>
            </w:pPr>
            <w:r w:rsidRPr="00DE24FE">
              <w:t>3.2.</w:t>
            </w:r>
            <w:r w:rsidRPr="00DE24FE">
              <w:tab/>
              <w:t xml:space="preserve">Identify any repairs required and report to the </w:t>
            </w:r>
            <w:r w:rsidRPr="00DE24FE">
              <w:rPr>
                <w:rStyle w:val="BoldandItalics"/>
              </w:rPr>
              <w:t>appropriate personnel</w:t>
            </w:r>
            <w:r w:rsidRPr="00DE24FE">
              <w:t xml:space="preserve"> for action, using correct documentation as required</w:t>
            </w:r>
          </w:p>
        </w:tc>
      </w:tr>
    </w:tbl>
    <w:p w:rsidR="00000000" w:rsidRPr="00DE24FE" w:rsidP="00DE24FE">
      <w:pPr>
        <w:pStyle w:val="BodyText"/>
      </w:pPr>
    </w:p>
    <w:p w:rsidR="00000000" w:rsidRPr="00DE24FE" w:rsidP="00DE24FE">
      <w:pPr>
        <w:pStyle w:val="AllowPageBreak"/>
      </w:pPr>
    </w:p>
    <w:p w:rsidR="00000000" w:rsidRPr="00DE24FE" w:rsidP="00DE24FE">
      <w:pPr>
        <w:pStyle w:val="Heading1"/>
      </w:pPr>
      <w:bookmarkStart w:id="9" w:name="O_70571"/>
      <w:bookmarkEnd w:id="9"/>
      <w:r w:rsidRPr="00DE24FE">
        <w:t>Required Skills and Knowledge</w:t>
      </w:r>
    </w:p>
    <w:tbl>
      <w:tblPr>
        <w:tblW w:w="0" w:type="auto"/>
        <w:tblLayout w:type="fixed"/>
        <w:tblCellMar>
          <w:left w:w="62" w:type="dxa"/>
          <w:right w:w="62" w:type="dxa"/>
        </w:tblCellMar>
        <w:tblLook w:val="0000"/>
      </w:tblPr>
      <w:tblGrid>
        <w:gridCol w:w="8522"/>
      </w:tblGrid>
      <w:tr w:rsidTr="008B745A">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E24FE">
            <w:pPr>
              <w:pStyle w:val="BodyText"/>
              <w:rPr>
                <w:lang w:val="en-NZ"/>
              </w:rPr>
            </w:pPr>
            <w:r w:rsidRPr="00DE24FE">
              <w:rPr>
                <w:rStyle w:val="SpecialBold"/>
              </w:rPr>
              <w:t>REQUIRED SKILLS AND KNOWLEDGE</w:t>
            </w:r>
          </w:p>
        </w:tc>
      </w:tr>
      <w:tr w:rsidTr="008B745A">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E24FE">
            <w:pPr>
              <w:pStyle w:val="BodyText"/>
              <w:rPr>
                <w:lang w:val="en-NZ"/>
              </w:rPr>
            </w:pPr>
            <w:r w:rsidRPr="00DE24FE">
              <w:t>This section describes the skills and knowledge required for this unit.</w:t>
            </w:r>
          </w:p>
        </w:tc>
      </w:tr>
      <w:tr w:rsidTr="008B745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24FE">
            <w:pPr>
              <w:pStyle w:val="BodyText"/>
              <w:rPr>
                <w:lang w:val="en-NZ"/>
              </w:rPr>
            </w:pPr>
            <w:r w:rsidRPr="00DE24FE">
              <w:rPr>
                <w:rStyle w:val="SpecialBold"/>
              </w:rPr>
              <w:t>Required skills</w:t>
            </w:r>
          </w:p>
        </w:tc>
      </w:tr>
      <w:tr w:rsidTr="008B745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24FE" w:rsidP="00DE24FE">
            <w:pPr>
              <w:pStyle w:val="ListBullet"/>
            </w:pPr>
            <w:r w:rsidRPr="00DE24FE">
              <w:t>literacy skills sufficient to read simple work instructions, equipment lists and safety directions</w:t>
            </w:r>
          </w:p>
          <w:p w:rsidR="00000000" w:rsidRPr="00DE24FE" w:rsidP="00DE24FE">
            <w:pPr>
              <w:pStyle w:val="ListBullet"/>
            </w:pPr>
            <w:r w:rsidRPr="00DE24FE">
              <w:t>numeracy skills sufficient to count/tally equipment and other physical elements</w:t>
            </w:r>
          </w:p>
          <w:p w:rsidR="00000000" w:rsidRPr="00DE24FE" w:rsidP="00DE24FE">
            <w:pPr>
              <w:pStyle w:val="ListBullet"/>
            </w:pPr>
            <w:r w:rsidRPr="00DE24FE">
              <w:t>self-management skills sufficient to meet deadlines</w:t>
            </w:r>
          </w:p>
          <w:p w:rsidR="00000000" w:rsidRPr="00DE24FE" w:rsidP="00DE24FE">
            <w:pPr>
              <w:pStyle w:val="ListBullet"/>
            </w:pPr>
            <w:r w:rsidRPr="00DE24FE">
              <w:t>problem-solving skills sufficient to anticipate and resolve minor equipment set-up problems</w:t>
            </w:r>
          </w:p>
          <w:p w:rsidR="00000000" w:rsidP="00DE24FE">
            <w:pPr>
              <w:pStyle w:val="ListBullet"/>
              <w:rPr>
                <w:lang w:val="en-NZ"/>
              </w:rPr>
            </w:pPr>
            <w:r w:rsidRPr="00DE24FE">
              <w:t>ability to work as a member of a</w:t>
            </w:r>
            <w:r w:rsidRPr="00DE24FE">
              <w:t xml:space="preserve"> production team </w:t>
            </w:r>
          </w:p>
        </w:tc>
      </w:tr>
      <w:tr w:rsidTr="008B745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24FE">
            <w:pPr>
              <w:pStyle w:val="BodyText"/>
              <w:rPr>
                <w:lang w:val="en-NZ"/>
              </w:rPr>
            </w:pPr>
            <w:r w:rsidRPr="00DE24FE">
              <w:rPr>
                <w:rStyle w:val="SpecialBold"/>
              </w:rPr>
              <w:t>Required knowledge</w:t>
            </w:r>
          </w:p>
        </w:tc>
      </w:tr>
      <w:tr w:rsidTr="008B745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24FE" w:rsidP="00DE24FE">
            <w:pPr>
              <w:pStyle w:val="ListBullet"/>
            </w:pPr>
            <w:r w:rsidRPr="00DE24FE">
              <w:t>general knowledge of the bump in/bump out process for different types of production,  including typical procedures and processes and the roles and responsibilities of different personnel</w:t>
            </w:r>
          </w:p>
          <w:p w:rsidR="00000000" w:rsidRPr="00DE24FE" w:rsidP="00DE24FE">
            <w:pPr>
              <w:pStyle w:val="ListBullet"/>
            </w:pPr>
            <w:r w:rsidRPr="00DE24FE">
              <w:t>general knowledge of the typi</w:t>
            </w:r>
            <w:r w:rsidRPr="00DE24FE">
              <w:t>cal physical elements used for different types of production</w:t>
            </w:r>
          </w:p>
          <w:p w:rsidR="00000000" w:rsidRPr="00DE24FE" w:rsidP="00DE24FE">
            <w:pPr>
              <w:pStyle w:val="ListBullet"/>
            </w:pPr>
            <w:r w:rsidRPr="00DE24FE">
              <w:t>typical locations for different physical elements within a production venue</w:t>
            </w:r>
          </w:p>
          <w:p w:rsidR="00000000" w:rsidRPr="00DE24FE" w:rsidP="00DE24FE">
            <w:pPr>
              <w:pStyle w:val="ListBullet"/>
            </w:pPr>
            <w:r w:rsidRPr="00DE24FE">
              <w:t>safe manual handling techniques and the broader safety issues associated with the movement of physical elements</w:t>
            </w:r>
          </w:p>
          <w:p w:rsidR="00000000" w:rsidRPr="00DE24FE" w:rsidP="00DE24FE">
            <w:pPr>
              <w:pStyle w:val="ListBullet"/>
            </w:pPr>
            <w:r w:rsidRPr="00DE24FE">
              <w:t>relevan</w:t>
            </w:r>
            <w:r w:rsidRPr="00DE24FE">
              <w:t>t organisational and/or legislative occupational health and safety requirements</w:t>
            </w:r>
          </w:p>
          <w:p w:rsidR="00000000" w:rsidRPr="00DE24FE" w:rsidP="00DE24FE">
            <w:pPr>
              <w:pStyle w:val="ListBullet"/>
            </w:pPr>
            <w:r w:rsidRPr="00DE24FE">
              <w:t xml:space="preserve">packing materials and techniques used for different types of equipment </w:t>
            </w:r>
          </w:p>
          <w:p w:rsidR="00000000" w:rsidRPr="00DE24FE" w:rsidP="00DE24FE">
            <w:pPr>
              <w:pStyle w:val="ListBullet"/>
            </w:pPr>
            <w:r w:rsidRPr="00DE24FE">
              <w:t>techniques for loading and stowing equipment for safe transportation</w:t>
            </w:r>
          </w:p>
          <w:p w:rsidR="00000000" w:rsidRPr="00DE24FE" w:rsidP="00DE24FE">
            <w:pPr>
              <w:pStyle w:val="ListBullet"/>
            </w:pPr>
            <w:r w:rsidRPr="00DE24FE">
              <w:t>the range of tools commonly require</w:t>
            </w:r>
            <w:r w:rsidRPr="00DE24FE">
              <w:t>d during the bump in/bump out process</w:t>
            </w:r>
          </w:p>
        </w:tc>
      </w:tr>
    </w:tbl>
    <w:p w:rsidR="00000000" w:rsidRPr="00DE24FE" w:rsidP="00DE24FE">
      <w:pPr>
        <w:pStyle w:val="BodyText"/>
      </w:pPr>
    </w:p>
    <w:p w:rsidR="00000000" w:rsidRPr="00DE24FE" w:rsidP="00DE24FE">
      <w:pPr>
        <w:pStyle w:val="AllowPageBreak"/>
      </w:pPr>
    </w:p>
    <w:p w:rsidR="00000000" w:rsidRPr="00DE24FE" w:rsidP="00DE24FE">
      <w:pPr>
        <w:pStyle w:val="Heading1"/>
      </w:pPr>
      <w:bookmarkStart w:id="10" w:name="O_70572"/>
      <w:bookmarkEnd w:id="10"/>
      <w:r w:rsidRPr="00DE24FE">
        <w:t>Evidence Guide</w:t>
      </w:r>
    </w:p>
    <w:tbl>
      <w:tblPr>
        <w:tblW w:w="9570" w:type="dxa"/>
        <w:tblLayout w:type="fixed"/>
        <w:tblCellMar>
          <w:left w:w="62" w:type="dxa"/>
          <w:right w:w="62" w:type="dxa"/>
        </w:tblCellMar>
        <w:tblLook w:val="0000"/>
      </w:tblPr>
      <w:tblGrid>
        <w:gridCol w:w="3908"/>
        <w:gridCol w:w="5662"/>
      </w:tblGrid>
      <w:tr w:rsidTr="008B745A">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24FE">
            <w:pPr>
              <w:pStyle w:val="BodyText"/>
              <w:rPr>
                <w:lang w:val="en-NZ"/>
              </w:rPr>
            </w:pPr>
            <w:r w:rsidRPr="00DE24FE">
              <w:rPr>
                <w:rStyle w:val="SpecialBold"/>
              </w:rPr>
              <w:t>EVIDENCE GUIDE</w:t>
            </w:r>
          </w:p>
        </w:tc>
      </w:tr>
      <w:tr w:rsidTr="008B745A">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24FE">
            <w:pPr>
              <w:pStyle w:val="BodyText"/>
              <w:rPr>
                <w:lang w:val="en-NZ"/>
              </w:rPr>
            </w:pPr>
            <w:r w:rsidRPr="00DE24FE">
              <w:t xml:space="preserve">The Evidence Guide provides advice on assessment and must be read in conjunction with the performance criteria, required skills and knowledge, </w:t>
            </w:r>
            <w:r w:rsidRPr="00DE24FE">
              <w:t>range statement and the Assessment Guidelines for the Training Package.</w:t>
            </w:r>
          </w:p>
        </w:tc>
      </w:tr>
      <w:tr w:rsidTr="008B745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24FE">
            <w:pPr>
              <w:pStyle w:val="BodyText"/>
              <w:rPr>
                <w:lang w:val="en-NZ"/>
              </w:rPr>
            </w:pPr>
            <w:r w:rsidRPr="00DE24FE">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24FE">
            <w:pPr>
              <w:pStyle w:val="BodyText"/>
              <w:rPr>
                <w:lang w:val="en-NZ"/>
              </w:rPr>
            </w:pPr>
          </w:p>
        </w:tc>
      </w:tr>
      <w:tr w:rsidTr="008B745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24FE">
            <w:pPr>
              <w:pStyle w:val="BodyText"/>
              <w:rPr>
                <w:lang w:val="en-NZ"/>
              </w:rPr>
            </w:pPr>
            <w:r w:rsidRPr="00DE24FE">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24FE" w:rsidP="00DE24FE">
            <w:pPr>
              <w:pStyle w:val="BodyText"/>
            </w:pPr>
            <w:r w:rsidRPr="00DE24FE">
              <w:t>The following evidence is critical to the judgement of compet</w:t>
            </w:r>
            <w:r w:rsidRPr="00DE24FE">
              <w:t>ence in this unit:</w:t>
            </w:r>
          </w:p>
          <w:p w:rsidR="00000000" w:rsidRPr="00DE24FE" w:rsidP="00DE24FE">
            <w:pPr>
              <w:pStyle w:val="ListBullet"/>
            </w:pPr>
            <w:r w:rsidRPr="00DE24FE">
              <w:t xml:space="preserve">knowledge of safe manual handling techniques for various types of equipment </w:t>
            </w:r>
          </w:p>
          <w:p w:rsidR="00000000" w:rsidP="00DE24FE">
            <w:pPr>
              <w:pStyle w:val="ListBullet"/>
              <w:rPr>
                <w:lang w:val="en-NZ"/>
              </w:rPr>
            </w:pPr>
            <w:r w:rsidRPr="00DE24FE">
              <w:t>ability to move, pack and load equipment under instruction using safe manual handling techniques.</w:t>
            </w:r>
          </w:p>
        </w:tc>
      </w:tr>
      <w:tr w:rsidTr="008B745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24FE">
            <w:pPr>
              <w:pStyle w:val="BodyText"/>
              <w:rPr>
                <w:lang w:val="en-NZ"/>
              </w:rPr>
            </w:pPr>
            <w:r w:rsidRPr="00DE24FE">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24FE" w:rsidP="00DE24FE">
            <w:pPr>
              <w:pStyle w:val="BodyText"/>
            </w:pPr>
            <w:r w:rsidRPr="00DE24FE">
              <w:t>The assessment context must provide for:</w:t>
            </w:r>
          </w:p>
          <w:p w:rsidR="00000000" w:rsidRPr="00DE24FE" w:rsidP="00DE24FE">
            <w:pPr>
              <w:pStyle w:val="ListBullet"/>
            </w:pPr>
            <w:r w:rsidRPr="00DE24FE">
              <w:t>practical demonstration of skills through the packing, loading and positioning of physical elements required in a given production</w:t>
            </w:r>
          </w:p>
          <w:p w:rsidR="00000000" w:rsidP="00DE24FE">
            <w:pPr>
              <w:pStyle w:val="ListBullet"/>
              <w:rPr>
                <w:lang w:val="en-NZ"/>
              </w:rPr>
            </w:pPr>
            <w:r w:rsidRPr="00DE24FE">
              <w:t>involvement of and interaction with a team during the bump in/bump out process.</w:t>
            </w:r>
          </w:p>
        </w:tc>
      </w:tr>
      <w:tr w:rsidTr="008B745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24FE">
            <w:pPr>
              <w:pStyle w:val="BodyText"/>
              <w:rPr>
                <w:lang w:val="en-NZ"/>
              </w:rPr>
            </w:pPr>
            <w:r w:rsidRPr="00DE24FE">
              <w:rPr>
                <w:rStyle w:val="SpecialBold"/>
              </w:rPr>
              <w:t>Me</w:t>
            </w:r>
            <w:r w:rsidRPr="00DE24FE">
              <w:rPr>
                <w:rStyle w:val="SpecialBold"/>
              </w:rPr>
              <w:t>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24FE" w:rsidP="00DE24FE">
            <w:pPr>
              <w:pStyle w:val="BodyText"/>
            </w:pPr>
            <w:r w:rsidRPr="00DE24FE">
              <w:t xml:space="preserve">Assessment may incorporate a range of methods to assess performance and the application of essential underpinning knowledge, and might include: </w:t>
            </w:r>
          </w:p>
          <w:p w:rsidR="00000000" w:rsidRPr="00DE24FE" w:rsidP="00DE24FE">
            <w:pPr>
              <w:pStyle w:val="ListBullet"/>
            </w:pPr>
            <w:r w:rsidRPr="00DE24FE">
              <w:t>direct observation of the candidate packing, loading or unloading equipment during a bump i</w:t>
            </w:r>
            <w:r w:rsidRPr="00DE24FE">
              <w:t>n/bump out</w:t>
            </w:r>
          </w:p>
          <w:p w:rsidR="00000000" w:rsidRPr="00DE24FE" w:rsidP="00DE24FE">
            <w:pPr>
              <w:pStyle w:val="ListBullet"/>
            </w:pPr>
            <w:r w:rsidRPr="00DE24FE">
              <w:t>oral or written questioning to assess knowledge of equipment types and features, safety issues</w:t>
            </w:r>
          </w:p>
          <w:p w:rsidR="00000000" w:rsidRPr="00DE24FE" w:rsidP="00DE24FE">
            <w:pPr>
              <w:pStyle w:val="ListBullet"/>
            </w:pPr>
            <w:r w:rsidRPr="00DE24FE">
              <w:t>case studies or problem solving exercises to assess the candidate's ability to respond to different operational situations and contexts</w:t>
            </w:r>
          </w:p>
          <w:p w:rsidR="00000000" w:rsidP="00DE24FE">
            <w:pPr>
              <w:pStyle w:val="ListBullet"/>
              <w:rPr>
                <w:lang w:val="en-NZ"/>
              </w:rPr>
            </w:pPr>
            <w:r w:rsidRPr="00DE24FE">
              <w:t>review of port</w:t>
            </w:r>
            <w:r w:rsidRPr="00DE24FE">
              <w:t>folios of evidence and third party workplace reports of on-the job performance by the candidate.</w:t>
            </w:r>
          </w:p>
        </w:tc>
      </w:tr>
      <w:tr w:rsidTr="008B745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24FE">
            <w:pPr>
              <w:pStyle w:val="BodyText"/>
              <w:rPr>
                <w:lang w:val="en-NZ"/>
              </w:rPr>
            </w:pPr>
            <w:r w:rsidRPr="00DE24FE">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24FE" w:rsidP="00DE24FE">
            <w:pPr>
              <w:pStyle w:val="BodyText"/>
            </w:pPr>
            <w:r w:rsidRPr="00DE24FE">
              <w:t>Assessment of this unit requires access to:</w:t>
            </w:r>
          </w:p>
          <w:p w:rsidR="00000000" w:rsidRPr="00DE24FE" w:rsidP="00DE24FE">
            <w:pPr>
              <w:pStyle w:val="ListBullet"/>
            </w:pPr>
            <w:r w:rsidRPr="00DE24FE">
              <w:t>a venue or location for bump in/bump out</w:t>
            </w:r>
          </w:p>
          <w:p w:rsidR="00000000" w:rsidRPr="00DE24FE" w:rsidP="00DE24FE">
            <w:pPr>
              <w:pStyle w:val="ListBullet"/>
            </w:pPr>
            <w:r w:rsidRPr="00DE24FE">
              <w:t>a range of equipment typically used for a production</w:t>
            </w:r>
          </w:p>
          <w:p w:rsidR="00000000" w:rsidRPr="00DE24FE" w:rsidP="00DE24FE">
            <w:pPr>
              <w:pStyle w:val="ListBullet"/>
            </w:pPr>
            <w:r w:rsidRPr="00DE24FE">
              <w:t>transportation into which equipment can be loaded.</w:t>
            </w:r>
          </w:p>
        </w:tc>
      </w:tr>
    </w:tbl>
    <w:p w:rsidR="00000000" w:rsidRPr="00DE24FE" w:rsidP="00DE24FE">
      <w:pPr>
        <w:pStyle w:val="BodyText"/>
      </w:pPr>
    </w:p>
    <w:p w:rsidR="00000000" w:rsidRPr="00DE24FE" w:rsidP="00DE24FE">
      <w:pPr>
        <w:pStyle w:val="AllowPageBreak"/>
      </w:pPr>
    </w:p>
    <w:p w:rsidR="00000000" w:rsidRPr="00DE24FE" w:rsidP="00DE24FE">
      <w:pPr>
        <w:pStyle w:val="Heading1"/>
      </w:pPr>
      <w:bookmarkStart w:id="11" w:name="O_70573"/>
      <w:bookmarkEnd w:id="11"/>
      <w:r w:rsidRPr="00DE24FE">
        <w:t>Range Statement</w:t>
      </w:r>
    </w:p>
    <w:tbl>
      <w:tblPr>
        <w:tblW w:w="0" w:type="auto"/>
        <w:tblLayout w:type="fixed"/>
        <w:tblCellMar>
          <w:left w:w="62" w:type="dxa"/>
          <w:right w:w="62" w:type="dxa"/>
        </w:tblCellMar>
        <w:tblLook w:val="0000"/>
      </w:tblPr>
      <w:tblGrid>
        <w:gridCol w:w="3481"/>
        <w:gridCol w:w="5041"/>
      </w:tblGrid>
      <w:tr w:rsidTr="008B745A">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24FE">
            <w:pPr>
              <w:pStyle w:val="BodyText"/>
              <w:rPr>
                <w:lang w:val="en-NZ"/>
              </w:rPr>
            </w:pPr>
            <w:r w:rsidRPr="00DE24FE">
              <w:rPr>
                <w:rStyle w:val="SpecialBold"/>
              </w:rPr>
              <w:t>RANGE STATEMENT</w:t>
            </w:r>
          </w:p>
        </w:tc>
      </w:tr>
      <w:tr w:rsidTr="008B745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24FE">
            <w:pPr>
              <w:pStyle w:val="BodyText"/>
              <w:rPr>
                <w:lang w:val="en-NZ"/>
              </w:rPr>
            </w:pPr>
            <w:r w:rsidRPr="00DE24FE">
              <w:t>The range statement relates to the unit of competency as a whole. It allows for different work environments and situations that may affect performance. Bold italicised wording, if used in the performance criteria, is detailed below. Essential operating con</w:t>
            </w:r>
            <w:r w:rsidRPr="00DE24FE">
              <w:t>ditions that may be present with training and assessment (depending on the work situation, needs of the candidate, accessibility of the item, and local industry and regional contexts) may also be included.</w:t>
            </w:r>
          </w:p>
        </w:tc>
      </w:tr>
      <w:tr w:rsidTr="008B745A">
        <w:tblPrEx>
          <w:tblW w:w="0" w:type="auto"/>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24FE">
            <w:pPr>
              <w:pStyle w:val="BodyText"/>
              <w:rPr>
                <w:lang w:val="en-NZ"/>
              </w:rPr>
            </w:pPr>
            <w:r w:rsidRPr="00DE24FE">
              <w:rPr>
                <w:rStyle w:val="BoldandItalics"/>
              </w:rPr>
              <w:t>Physical elements</w:t>
            </w:r>
            <w:r w:rsidRPr="00DE24FE">
              <w:t xml:space="preserve"> may include any equipment or m</w:t>
            </w:r>
            <w:r w:rsidRPr="00DE24FE">
              <w:t>aterials commonly used for an entertainment production, eg:</w:t>
            </w:r>
          </w:p>
        </w:tc>
        <w:tc>
          <w:tcPr>
            <w:tcW w:w="50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24FE" w:rsidP="00DE24FE">
            <w:pPr>
              <w:pStyle w:val="ListBullet"/>
            </w:pPr>
            <w:r w:rsidRPr="00DE24FE">
              <w:t>audio equipment</w:t>
            </w:r>
          </w:p>
          <w:p w:rsidR="00000000" w:rsidRPr="00DE24FE" w:rsidP="00DE24FE">
            <w:pPr>
              <w:pStyle w:val="ListBullet"/>
            </w:pPr>
            <w:r w:rsidRPr="00DE24FE">
              <w:t>costumes</w:t>
            </w:r>
          </w:p>
          <w:p w:rsidR="00000000" w:rsidRPr="00DE24FE" w:rsidP="00DE24FE">
            <w:pPr>
              <w:pStyle w:val="ListBullet"/>
            </w:pPr>
            <w:r w:rsidRPr="00DE24FE">
              <w:t>lighting equipment</w:t>
            </w:r>
          </w:p>
          <w:p w:rsidR="00000000" w:rsidRPr="00DE24FE" w:rsidP="00DE24FE">
            <w:pPr>
              <w:pStyle w:val="ListBullet"/>
            </w:pPr>
            <w:r w:rsidRPr="00DE24FE">
              <w:t>props</w:t>
            </w:r>
          </w:p>
          <w:p w:rsidR="00000000" w:rsidRPr="00DE24FE" w:rsidP="00DE24FE">
            <w:pPr>
              <w:pStyle w:val="ListBullet"/>
            </w:pPr>
            <w:r w:rsidRPr="00DE24FE">
              <w:t>scenic art</w:t>
            </w:r>
          </w:p>
          <w:p w:rsidR="00000000" w:rsidP="00DE24FE">
            <w:pPr>
              <w:pStyle w:val="ListBullet"/>
              <w:rPr>
                <w:lang w:val="en-NZ"/>
              </w:rPr>
            </w:pPr>
            <w:r w:rsidRPr="00DE24FE">
              <w:t>sets</w:t>
            </w:r>
          </w:p>
        </w:tc>
      </w:tr>
      <w:tr w:rsidTr="008B745A">
        <w:tblPrEx>
          <w:tblW w:w="0" w:type="auto"/>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24FE">
            <w:pPr>
              <w:pStyle w:val="BodyText"/>
              <w:rPr>
                <w:lang w:val="en-NZ"/>
              </w:rPr>
            </w:pPr>
            <w:r w:rsidRPr="00DE24FE">
              <w:rPr>
                <w:rStyle w:val="BoldandItalics"/>
              </w:rPr>
              <w:t>Transportation</w:t>
            </w:r>
            <w:r w:rsidRPr="00DE24FE">
              <w:t xml:space="preserve"> may be required:</w:t>
            </w:r>
          </w:p>
        </w:tc>
        <w:tc>
          <w:tcPr>
            <w:tcW w:w="50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24FE" w:rsidP="00DE24FE">
            <w:pPr>
              <w:pStyle w:val="ListBullet"/>
            </w:pPr>
            <w:r w:rsidRPr="00DE24FE">
              <w:t>between different venues</w:t>
            </w:r>
          </w:p>
          <w:p w:rsidR="00000000" w:rsidRPr="00DE24FE" w:rsidP="00DE24FE">
            <w:pPr>
              <w:pStyle w:val="ListBullet"/>
            </w:pPr>
            <w:r w:rsidRPr="00DE24FE">
              <w:t>by air</w:t>
            </w:r>
          </w:p>
          <w:p w:rsidR="00000000" w:rsidRPr="00DE24FE" w:rsidP="00DE24FE">
            <w:pPr>
              <w:pStyle w:val="ListBullet"/>
            </w:pPr>
            <w:r w:rsidRPr="00DE24FE">
              <w:t>by rail</w:t>
            </w:r>
          </w:p>
          <w:p w:rsidR="00000000" w:rsidRPr="00DE24FE" w:rsidP="00DE24FE">
            <w:pPr>
              <w:pStyle w:val="ListBullet"/>
            </w:pPr>
            <w:r w:rsidRPr="00DE24FE">
              <w:t>by road</w:t>
            </w:r>
          </w:p>
          <w:p w:rsidR="00000000" w:rsidRPr="00DE24FE" w:rsidP="00DE24FE">
            <w:pPr>
              <w:pStyle w:val="ListBullet"/>
            </w:pPr>
            <w:r w:rsidRPr="00DE24FE">
              <w:t>by sea</w:t>
            </w:r>
          </w:p>
          <w:p w:rsidR="00000000" w:rsidP="00DE24FE">
            <w:pPr>
              <w:pStyle w:val="ListBullet"/>
              <w:rPr>
                <w:lang w:val="en-NZ"/>
              </w:rPr>
            </w:pPr>
            <w:r w:rsidRPr="00DE24FE">
              <w:t>within a venue</w:t>
            </w:r>
          </w:p>
        </w:tc>
      </w:tr>
      <w:tr w:rsidTr="008B745A">
        <w:tblPrEx>
          <w:tblW w:w="0" w:type="auto"/>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24FE">
            <w:pPr>
              <w:pStyle w:val="BodyText"/>
              <w:rPr>
                <w:lang w:val="en-NZ"/>
              </w:rPr>
            </w:pPr>
            <w:r w:rsidRPr="00DE24FE">
              <w:rPr>
                <w:rStyle w:val="BoldandItalics"/>
              </w:rPr>
              <w:t>Packing</w:t>
            </w:r>
            <w:r w:rsidRPr="00DE24FE">
              <w:t>/</w:t>
            </w:r>
            <w:r w:rsidRPr="00DE24FE">
              <w:rPr>
                <w:rStyle w:val="BoldandItalics"/>
              </w:rPr>
              <w:t>loading techniques</w:t>
            </w:r>
            <w:r w:rsidRPr="00DE24FE">
              <w:t xml:space="preserve"> may include:</w:t>
            </w:r>
          </w:p>
        </w:tc>
        <w:tc>
          <w:tcPr>
            <w:tcW w:w="50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24FE" w:rsidP="00DE24FE">
            <w:pPr>
              <w:pStyle w:val="ListBullet"/>
            </w:pPr>
            <w:r w:rsidRPr="00DE24FE">
              <w:t>particular ways of handling different equipment</w:t>
            </w:r>
          </w:p>
          <w:p w:rsidR="00000000" w:rsidRPr="00DE24FE" w:rsidP="00DE24FE">
            <w:pPr>
              <w:pStyle w:val="ListBullet"/>
            </w:pPr>
            <w:r w:rsidRPr="00DE24FE">
              <w:t>use of protective coverings</w:t>
            </w:r>
          </w:p>
          <w:p w:rsidR="00000000" w:rsidP="00DE24FE">
            <w:pPr>
              <w:pStyle w:val="ListBullet"/>
              <w:rPr>
                <w:lang w:val="en-NZ"/>
              </w:rPr>
            </w:pPr>
            <w:r w:rsidRPr="00DE24FE">
              <w:t>use of restraints</w:t>
            </w:r>
          </w:p>
        </w:tc>
      </w:tr>
      <w:tr w:rsidTr="008B745A">
        <w:tblPrEx>
          <w:tblW w:w="0" w:type="auto"/>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24FE">
            <w:pPr>
              <w:pStyle w:val="BodyText"/>
              <w:rPr>
                <w:lang w:val="en-NZ"/>
              </w:rPr>
            </w:pPr>
            <w:r w:rsidRPr="00DE24FE">
              <w:t xml:space="preserve">Packing </w:t>
            </w:r>
            <w:r w:rsidRPr="00DE24FE">
              <w:rPr>
                <w:rStyle w:val="BoldandItalics"/>
              </w:rPr>
              <w:t>materials</w:t>
            </w:r>
            <w:r w:rsidRPr="00DE24FE">
              <w:t xml:space="preserve"> may include:</w:t>
            </w:r>
          </w:p>
        </w:tc>
        <w:tc>
          <w:tcPr>
            <w:tcW w:w="50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24FE" w:rsidP="00DE24FE">
            <w:pPr>
              <w:pStyle w:val="ListBullet"/>
            </w:pPr>
            <w:r w:rsidRPr="00DE24FE">
              <w:t>boxes</w:t>
            </w:r>
          </w:p>
          <w:p w:rsidR="00000000" w:rsidRPr="00DE24FE" w:rsidP="00DE24FE">
            <w:pPr>
              <w:pStyle w:val="ListBullet"/>
            </w:pPr>
            <w:r w:rsidRPr="00DE24FE">
              <w:t>bubble wrap</w:t>
            </w:r>
          </w:p>
          <w:p w:rsidR="00000000" w:rsidRPr="00DE24FE" w:rsidP="00DE24FE">
            <w:pPr>
              <w:pStyle w:val="ListBullet"/>
            </w:pPr>
            <w:r w:rsidRPr="00DE24FE">
              <w:t>bush blankets</w:t>
            </w:r>
          </w:p>
          <w:p w:rsidR="00000000" w:rsidRPr="00DE24FE" w:rsidP="00DE24FE">
            <w:pPr>
              <w:pStyle w:val="ListBullet"/>
            </w:pPr>
            <w:r w:rsidRPr="00DE24FE">
              <w:t>crates</w:t>
            </w:r>
          </w:p>
          <w:p w:rsidR="00000000" w:rsidRPr="00DE24FE" w:rsidP="00DE24FE">
            <w:pPr>
              <w:pStyle w:val="ListBullet"/>
            </w:pPr>
            <w:r w:rsidRPr="00DE24FE">
              <w:t>labels</w:t>
            </w:r>
          </w:p>
          <w:p w:rsidR="00000000" w:rsidRPr="00DE24FE" w:rsidP="00DE24FE">
            <w:pPr>
              <w:pStyle w:val="ListBullet"/>
            </w:pPr>
            <w:r w:rsidRPr="00DE24FE">
              <w:t>road cases</w:t>
            </w:r>
          </w:p>
          <w:p w:rsidR="00000000" w:rsidRPr="00DE24FE" w:rsidP="00DE24FE">
            <w:pPr>
              <w:pStyle w:val="ListBullet"/>
            </w:pPr>
            <w:r w:rsidRPr="00DE24FE">
              <w:t>rope</w:t>
            </w:r>
          </w:p>
          <w:p w:rsidR="00000000" w:rsidRPr="00DE24FE" w:rsidP="00DE24FE">
            <w:pPr>
              <w:pStyle w:val="ListBullet"/>
            </w:pPr>
            <w:r w:rsidRPr="00DE24FE">
              <w:t>straps</w:t>
            </w:r>
          </w:p>
          <w:p w:rsidR="00000000" w:rsidRPr="00DE24FE" w:rsidP="00DE24FE">
            <w:pPr>
              <w:pStyle w:val="ListBullet"/>
            </w:pPr>
            <w:r w:rsidRPr="00DE24FE">
              <w:t>tape</w:t>
            </w:r>
          </w:p>
          <w:p w:rsidR="00000000" w:rsidRPr="00DE24FE" w:rsidP="00DE24FE">
            <w:pPr>
              <w:pStyle w:val="ListBullet"/>
            </w:pPr>
            <w:r w:rsidRPr="00DE24FE">
              <w:t>tissue paper</w:t>
            </w:r>
          </w:p>
          <w:p w:rsidR="00000000" w:rsidP="00DE24FE">
            <w:pPr>
              <w:pStyle w:val="ListBullet"/>
              <w:rPr>
                <w:lang w:val="en-NZ"/>
              </w:rPr>
            </w:pPr>
            <w:r w:rsidRPr="00DE24FE">
              <w:t>wardrobe skips</w:t>
            </w:r>
          </w:p>
        </w:tc>
      </w:tr>
      <w:tr w:rsidTr="008B745A">
        <w:tblPrEx>
          <w:tblW w:w="0" w:type="auto"/>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24FE">
            <w:pPr>
              <w:pStyle w:val="BodyText"/>
              <w:rPr>
                <w:lang w:val="en-NZ"/>
              </w:rPr>
            </w:pPr>
            <w:r w:rsidRPr="00DE24FE">
              <w:rPr>
                <w:rStyle w:val="BoldandItalics"/>
              </w:rPr>
              <w:t>Appropriate personnel</w:t>
            </w:r>
            <w:r w:rsidRPr="00DE24FE">
              <w:t xml:space="preserve"> may include:</w:t>
            </w:r>
          </w:p>
        </w:tc>
        <w:tc>
          <w:tcPr>
            <w:tcW w:w="50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24FE" w:rsidP="00DE24FE">
            <w:pPr>
              <w:pStyle w:val="ListBullet"/>
            </w:pPr>
            <w:r w:rsidRPr="00DE24FE">
              <w:t>event/production managers</w:t>
            </w:r>
          </w:p>
          <w:p w:rsidR="00000000" w:rsidRPr="00DE24FE" w:rsidP="00DE24FE">
            <w:pPr>
              <w:pStyle w:val="ListBullet"/>
            </w:pPr>
            <w:r w:rsidRPr="00DE24FE">
              <w:t>stage managers</w:t>
            </w:r>
          </w:p>
          <w:p w:rsidR="00000000" w:rsidRPr="00DE24FE" w:rsidP="00DE24FE">
            <w:pPr>
              <w:pStyle w:val="ListBullet"/>
            </w:pPr>
            <w:r w:rsidRPr="00DE24FE">
              <w:t>supervisors/managers</w:t>
            </w:r>
          </w:p>
          <w:p w:rsidR="00000000" w:rsidRPr="00DE24FE" w:rsidP="00DE24FE">
            <w:pPr>
              <w:pStyle w:val="ListBullet"/>
            </w:pPr>
            <w:r w:rsidRPr="00DE24FE">
              <w:t>technical staff</w:t>
            </w:r>
          </w:p>
        </w:tc>
      </w:tr>
    </w:tbl>
    <w:p w:rsidR="008B745A" w:rsidP="00DE24FE">
      <w:pPr>
        <w:pStyle w:val="BodyText"/>
      </w:pPr>
    </w:p>
    <w:p w:rsidR="008B745A" w:rsidP="00DE24FE">
      <w:pPr>
        <w:pStyle w:val="BodyText"/>
      </w:pPr>
    </w:p>
    <w:p w:rsidR="00000000" w:rsidRPr="00DE24FE" w:rsidP="00DE24FE">
      <w:pPr>
        <w:pStyle w:val="Heading1"/>
      </w:pPr>
      <w:bookmarkStart w:id="12" w:name="O_70574"/>
      <w:bookmarkEnd w:id="12"/>
      <w:r w:rsidRPr="00DE24FE">
        <w:t>Unit Sector(s)</w:t>
      </w:r>
    </w:p>
    <w:tbl>
      <w:tblPr>
        <w:tblW w:w="0" w:type="auto"/>
        <w:tblLayout w:type="fixed"/>
        <w:tblCellMar>
          <w:left w:w="62" w:type="dxa"/>
          <w:right w:w="62" w:type="dxa"/>
        </w:tblCellMar>
        <w:tblLook w:val="0000"/>
      </w:tblPr>
      <w:tblGrid>
        <w:gridCol w:w="2654"/>
        <w:gridCol w:w="5868"/>
      </w:tblGrid>
      <w:tr w:rsidTr="008B745A">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24FE">
            <w:pPr>
              <w:pStyle w:val="BodyText"/>
              <w:rPr>
                <w:lang w:val="en-NZ"/>
              </w:rPr>
            </w:pPr>
            <w:r w:rsidRPr="00DE24FE">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24FE" w:rsidP="00DE24FE">
            <w:pPr>
              <w:pStyle w:val="BodyText"/>
            </w:pPr>
          </w:p>
        </w:tc>
      </w:tr>
    </w:tbl>
    <w:p w:rsidR="00000000" w:rsidRPr="00DE24FE" w:rsidP="00DE24FE">
      <w:pPr>
        <w:pStyle w:val="BodyText"/>
      </w:pPr>
    </w:p>
    <w:p w:rsidR="00000000" w:rsidRPr="00DE24FE" w:rsidP="00DE24FE">
      <w:pPr>
        <w:pStyle w:val="AllowPageBreak"/>
      </w:pPr>
    </w:p>
    <w:p w:rsidR="00000000" w:rsidRPr="00DE24FE" w:rsidP="00DE24FE">
      <w:pPr>
        <w:pStyle w:val="Heading1"/>
      </w:pPr>
      <w:bookmarkStart w:id="13" w:name="O_155053"/>
      <w:bookmarkEnd w:id="13"/>
      <w:r w:rsidRPr="00DE24FE">
        <w:t>Competency field</w:t>
      </w:r>
    </w:p>
    <w:tbl>
      <w:tblPr>
        <w:tblW w:w="0" w:type="auto"/>
        <w:tblLayout w:type="fixed"/>
        <w:tblCellMar>
          <w:left w:w="62" w:type="dxa"/>
          <w:right w:w="62" w:type="dxa"/>
        </w:tblCellMar>
        <w:tblLook w:val="0000"/>
      </w:tblPr>
      <w:tblGrid>
        <w:gridCol w:w="2778"/>
        <w:gridCol w:w="5744"/>
      </w:tblGrid>
      <w:tr w:rsidTr="008B745A">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24FE">
            <w:pPr>
              <w:pStyle w:val="BodyText"/>
              <w:rPr>
                <w:lang w:val="en-NZ"/>
              </w:rPr>
            </w:pPr>
            <w:r w:rsidRPr="00DE24FE">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24FE" w:rsidP="00DE24FE">
            <w:pPr>
              <w:pStyle w:val="BodyText"/>
            </w:pPr>
            <w:r w:rsidRPr="00DE24FE">
              <w:t>Media and entertainment production - staging</w:t>
            </w:r>
          </w:p>
        </w:tc>
      </w:tr>
    </w:tbl>
    <w:p w:rsidR="00000000" w:rsidRPr="00DE24FE" w:rsidP="00DE24FE">
      <w:pPr>
        <w:pStyle w:val="BodyText"/>
      </w:pPr>
    </w:p>
    <w:p w:rsidR="00000000" w:rsidRPr="00DE24FE" w:rsidP="00DE24FE">
      <w:pPr>
        <w:pStyle w:val="AllowPageBreak"/>
      </w:pPr>
    </w:p>
    <w:p w:rsidR="00000000" w:rsidRPr="00DE24FE" w:rsidP="00DE24FE">
      <w:pPr>
        <w:pStyle w:val="Heading1"/>
      </w:pPr>
      <w:bookmarkStart w:id="14" w:name="O_155052"/>
      <w:bookmarkEnd w:id="14"/>
      <w:r w:rsidRPr="00DE24FE">
        <w:t>Co-requisite units</w:t>
      </w:r>
    </w:p>
    <w:tbl>
      <w:tblPr>
        <w:tblW w:w="0" w:type="auto"/>
        <w:tblLayout w:type="fixed"/>
        <w:tblCellMar>
          <w:left w:w="62" w:type="dxa"/>
          <w:right w:w="62" w:type="dxa"/>
        </w:tblCellMar>
        <w:tblLook w:val="0000"/>
      </w:tblPr>
      <w:tblGrid>
        <w:gridCol w:w="2641"/>
        <w:gridCol w:w="1322"/>
        <w:gridCol w:w="4559"/>
      </w:tblGrid>
      <w:tr w:rsidTr="008B745A">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24FE">
            <w:pPr>
              <w:pStyle w:val="BodyText"/>
              <w:rPr>
                <w:lang w:val="en-NZ"/>
              </w:rPr>
            </w:pPr>
            <w:r w:rsidRPr="00DE24FE">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24FE">
            <w:pPr>
              <w:pStyle w:val="BodyText"/>
              <w:rPr>
                <w:lang w:val="en-NZ"/>
              </w:rPr>
            </w:pPr>
          </w:p>
        </w:tc>
      </w:tr>
      <w:tr w:rsidTr="008B745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24FE">
            <w:pPr>
              <w:pStyle w:val="BodyText"/>
              <w:rPr>
                <w:lang w:val="en-NZ"/>
              </w:rPr>
            </w:pPr>
          </w:p>
        </w:tc>
      </w:tr>
      <w:tr w:rsidTr="008B745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24FE" w:rsidP="00DE24FE">
            <w:pPr>
              <w:pStyle w:val="BodyText"/>
            </w:pPr>
          </w:p>
        </w:tc>
      </w:tr>
    </w:tbl>
    <w:p w:rsidR="00000000" w:rsidRPr="00DE24FE" w:rsidP="00DE24FE">
      <w:pPr>
        <w:pStyle w:val="BodyText"/>
      </w:pPr>
    </w:p>
    <w:p w:rsidR="00000000" w:rsidRPr="00DE24FE" w:rsidP="00DE24FE"/>
    <w:sectPr w:rsidSect="00DE24F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24F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24FE" w:rsidRPr="008B745A" w:rsidP="008B745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24F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745A" w:rsidP="00DE24F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8B745A" w:rsidP="00DE24FE">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B745A" w:rsidP="00DE24F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24F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24FE" w:rsidRPr="008B745A" w:rsidP="008B745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24F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745A" w:rsidRPr="002D2AF8" w:rsidP="00DE24FE">
    <w:pPr>
      <w:pStyle w:val="Header"/>
      <w:framePr w:wrap="around"/>
    </w:pPr>
    <w:r>
      <w:fldChar w:fldCharType="begin"/>
    </w:r>
    <w:r>
      <w:instrText xml:space="preserve"> TITLE   \* MERGEFORMAT </w:instrText>
    </w:r>
    <w:r>
      <w:fldChar w:fldCharType="separate"/>
    </w:r>
    <w:r>
      <w:t>CUETGE15B Handle physical elements during bump in/bump out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October 2013</w:t>
    </w:r>
    <w:r>
      <w:fldChar w:fldCharType="end"/>
    </w:r>
  </w:p>
  <w:p w:rsidR="008B745A" w:rsidP="00DE24F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A0A31D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1B25FD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24F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E24FE"/>
    <w:pPr>
      <w:spacing w:before="360" w:after="60"/>
      <w:outlineLvl w:val="0"/>
    </w:pPr>
    <w:rPr>
      <w:sz w:val="32"/>
    </w:rPr>
  </w:style>
  <w:style w:type="paragraph" w:styleId="Heading2">
    <w:name w:val="heading 2"/>
    <w:basedOn w:val="HeadingBase"/>
    <w:next w:val="BodyText"/>
    <w:link w:val="Heading2Char"/>
    <w:qFormat/>
    <w:rsid w:val="00DE24FE"/>
    <w:pPr>
      <w:keepLines/>
      <w:spacing w:before="240" w:after="120"/>
      <w:outlineLvl w:val="1"/>
    </w:pPr>
    <w:rPr>
      <w:sz w:val="28"/>
      <w:szCs w:val="40"/>
    </w:rPr>
  </w:style>
  <w:style w:type="paragraph" w:styleId="Heading3">
    <w:name w:val="heading 3"/>
    <w:basedOn w:val="HeadingBase"/>
    <w:next w:val="BodyText"/>
    <w:link w:val="Heading3Char"/>
    <w:qFormat/>
    <w:rsid w:val="00DE24FE"/>
    <w:pPr>
      <w:spacing w:before="180" w:after="120"/>
      <w:outlineLvl w:val="2"/>
    </w:pPr>
    <w:rPr>
      <w:spacing w:val="-10"/>
      <w:kern w:val="32"/>
    </w:rPr>
  </w:style>
  <w:style w:type="paragraph" w:styleId="Heading4">
    <w:name w:val="heading 4"/>
    <w:basedOn w:val="HeadingBase"/>
    <w:next w:val="BodyText"/>
    <w:link w:val="Heading4Char"/>
    <w:qFormat/>
    <w:rsid w:val="00DE24FE"/>
    <w:pPr>
      <w:spacing w:before="160" w:after="120"/>
      <w:outlineLvl w:val="3"/>
    </w:pPr>
    <w:rPr>
      <w:sz w:val="22"/>
    </w:rPr>
  </w:style>
  <w:style w:type="paragraph" w:styleId="Heading5">
    <w:name w:val="heading 5"/>
    <w:basedOn w:val="HeadingBase"/>
    <w:next w:val="Normal"/>
    <w:link w:val="Heading5Char"/>
    <w:qFormat/>
    <w:rsid w:val="00DE24FE"/>
    <w:pPr>
      <w:spacing w:before="80"/>
      <w:outlineLvl w:val="4"/>
    </w:pPr>
    <w:rPr>
      <w:color w:val="918585"/>
      <w:sz w:val="20"/>
    </w:rPr>
  </w:style>
  <w:style w:type="paragraph" w:styleId="Heading6">
    <w:name w:val="heading 6"/>
    <w:basedOn w:val="HeadingBase"/>
    <w:next w:val="Normal"/>
    <w:link w:val="Heading6Char"/>
    <w:qFormat/>
    <w:rsid w:val="00DE24FE"/>
    <w:pPr>
      <w:spacing w:before="60"/>
      <w:outlineLvl w:val="5"/>
    </w:pPr>
    <w:rPr>
      <w:color w:val="918585"/>
      <w:sz w:val="20"/>
    </w:rPr>
  </w:style>
  <w:style w:type="paragraph" w:styleId="Heading7">
    <w:name w:val="heading 7"/>
    <w:basedOn w:val="Normal"/>
    <w:next w:val="Normal"/>
    <w:link w:val="Heading7Char"/>
    <w:qFormat/>
    <w:rsid w:val="00DE24FE"/>
    <w:pPr>
      <w:ind w:left="720"/>
      <w:outlineLvl w:val="6"/>
    </w:pPr>
    <w:rPr>
      <w:i/>
    </w:rPr>
  </w:style>
  <w:style w:type="paragraph" w:styleId="Heading8">
    <w:name w:val="heading 8"/>
    <w:basedOn w:val="Normal"/>
    <w:next w:val="Normal"/>
    <w:link w:val="Heading8Char"/>
    <w:qFormat/>
    <w:rsid w:val="00DE24FE"/>
    <w:pPr>
      <w:ind w:left="720"/>
      <w:outlineLvl w:val="7"/>
    </w:pPr>
    <w:rPr>
      <w:i/>
    </w:rPr>
  </w:style>
  <w:style w:type="paragraph" w:styleId="Heading9">
    <w:name w:val="heading 9"/>
    <w:basedOn w:val="Normal"/>
    <w:next w:val="Normal"/>
    <w:link w:val="Heading9Char"/>
    <w:qFormat/>
    <w:rsid w:val="00DE24FE"/>
    <w:pPr>
      <w:ind w:left="720"/>
      <w:outlineLvl w:val="8"/>
    </w:pPr>
    <w:rPr>
      <w:i/>
    </w:rPr>
  </w:style>
  <w:style w:type="character" w:default="1" w:styleId="DefaultParagraphFont">
    <w:name w:val="Default Paragraph Font"/>
    <w:uiPriority w:val="1"/>
    <w:unhideWhenUsed/>
    <w:rsid w:val="00DE24F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E24FE"/>
  </w:style>
  <w:style w:type="character" w:customStyle="1" w:styleId="Heading1Char">
    <w:name w:val="Heading 1 Char"/>
    <w:basedOn w:val="DefaultParagraphFont"/>
    <w:link w:val="Heading1"/>
    <w:rsid w:val="00DE24FE"/>
    <w:rPr>
      <w:rFonts w:ascii="Times New Roman" w:eastAsia="Times New Roman" w:hAnsi="Times New Roman" w:cs="Times New Roman"/>
      <w:b/>
      <w:sz w:val="32"/>
      <w:szCs w:val="20"/>
      <w:lang w:eastAsia="en-US"/>
    </w:rPr>
  </w:style>
  <w:style w:type="paragraph" w:styleId="BodyText">
    <w:name w:val="Body Text"/>
    <w:basedOn w:val="Normal"/>
    <w:link w:val="BodyTextChar"/>
    <w:rsid w:val="00DE24F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E24FE"/>
    <w:rPr>
      <w:rFonts w:ascii="Times New Roman" w:eastAsia="Times New Roman" w:hAnsi="Times New Roman" w:cs="Times New Roman"/>
      <w:sz w:val="24"/>
      <w:lang w:eastAsia="en-US"/>
    </w:rPr>
  </w:style>
  <w:style w:type="paragraph" w:styleId="List">
    <w:name w:val="List"/>
    <w:basedOn w:val="BodyText"/>
    <w:next w:val="BodyText"/>
    <w:rsid w:val="00DE24FE"/>
    <w:pPr>
      <w:tabs>
        <w:tab w:val="left" w:pos="340"/>
      </w:tabs>
      <w:spacing w:before="60" w:after="60"/>
      <w:ind w:left="340" w:hanging="340"/>
    </w:pPr>
  </w:style>
  <w:style w:type="paragraph" w:styleId="ListBullet">
    <w:name w:val="List Bullet"/>
    <w:basedOn w:val="List"/>
    <w:rsid w:val="00DE24FE"/>
    <w:pPr>
      <w:numPr>
        <w:numId w:val="12"/>
      </w:numPr>
      <w:tabs>
        <w:tab w:val="clear" w:pos="340"/>
      </w:tabs>
      <w:spacing w:before="40" w:after="40"/>
    </w:pPr>
  </w:style>
  <w:style w:type="character" w:customStyle="1" w:styleId="SpecialBold">
    <w:name w:val="Special Bold"/>
    <w:basedOn w:val="DefaultParagraphFont"/>
    <w:rsid w:val="00DE24FE"/>
    <w:rPr>
      <w:b/>
      <w:spacing w:val="0"/>
    </w:rPr>
  </w:style>
  <w:style w:type="paragraph" w:customStyle="1" w:styleId="SuperHeading">
    <w:name w:val="SuperHeading"/>
    <w:basedOn w:val="Normal"/>
    <w:rsid w:val="00DE24FE"/>
    <w:pPr>
      <w:spacing w:before="240" w:after="120"/>
      <w:outlineLvl w:val="0"/>
    </w:pPr>
    <w:rPr>
      <w:rFonts w:ascii="Times New Roman" w:hAnsi="Times New Roman"/>
      <w:b/>
      <w:sz w:val="32"/>
    </w:rPr>
  </w:style>
  <w:style w:type="paragraph" w:customStyle="1" w:styleId="AllowPageBreak">
    <w:name w:val="AllowPageBreak"/>
    <w:rsid w:val="00DE24F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E24FE"/>
    <w:pPr>
      <w:tabs>
        <w:tab w:val="left" w:pos="680"/>
      </w:tabs>
      <w:spacing w:before="60" w:after="60"/>
      <w:ind w:left="680" w:hanging="340"/>
    </w:pPr>
  </w:style>
  <w:style w:type="character" w:customStyle="1" w:styleId="BoldandItalics">
    <w:name w:val="Bold and Italics"/>
    <w:qFormat/>
    <w:rsid w:val="00DE24FE"/>
    <w:rPr>
      <w:b/>
      <w:i/>
      <w:u w:val="none"/>
    </w:rPr>
  </w:style>
  <w:style w:type="character" w:customStyle="1" w:styleId="Heading2Char">
    <w:name w:val="Heading 2 Char"/>
    <w:basedOn w:val="DefaultParagraphFont"/>
    <w:link w:val="Heading2"/>
    <w:rsid w:val="00DE24F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E24F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E24F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E24F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E24F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E24F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E24F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E24FE"/>
    <w:rPr>
      <w:rFonts w:ascii="Courier New" w:eastAsia="Times New Roman" w:hAnsi="Courier New" w:cs="Times New Roman"/>
      <w:i/>
      <w:szCs w:val="20"/>
      <w:lang w:eastAsia="en-US"/>
    </w:rPr>
  </w:style>
  <w:style w:type="paragraph" w:customStyle="1" w:styleId="HeadingBase">
    <w:name w:val="Heading Base"/>
    <w:rsid w:val="00DE24F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E24FE"/>
    <w:pPr>
      <w:tabs>
        <w:tab w:val="right" w:leader="dot" w:pos="9072"/>
      </w:tabs>
      <w:ind w:left="567"/>
    </w:pPr>
    <w:rPr>
      <w:szCs w:val="22"/>
    </w:rPr>
  </w:style>
  <w:style w:type="paragraph" w:customStyle="1" w:styleId="TOCBase">
    <w:name w:val="TOC Base"/>
    <w:rsid w:val="00DE24F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E24FE"/>
    <w:pPr>
      <w:tabs>
        <w:tab w:val="right" w:leader="dot" w:pos="9072"/>
      </w:tabs>
      <w:spacing w:before="40" w:after="40"/>
      <w:ind w:left="284"/>
    </w:pPr>
    <w:rPr>
      <w:rFonts w:ascii="Times New Roman" w:hAnsi="Times New Roman"/>
    </w:rPr>
  </w:style>
  <w:style w:type="paragraph" w:styleId="TOC1">
    <w:name w:val="toc 1"/>
    <w:basedOn w:val="TOCBase"/>
    <w:next w:val="Normal"/>
    <w:rsid w:val="00DE24F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E24F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E24FE"/>
    <w:rPr>
      <w:rFonts w:ascii="Times New Roman" w:eastAsia="Times New Roman" w:hAnsi="Times New Roman" w:cs="Times New Roman"/>
      <w:sz w:val="16"/>
      <w:lang w:eastAsia="en-US"/>
    </w:rPr>
  </w:style>
  <w:style w:type="paragraph" w:styleId="Title">
    <w:name w:val="Title"/>
    <w:basedOn w:val="HeadingBase"/>
    <w:link w:val="TitleChar"/>
    <w:qFormat/>
    <w:rsid w:val="00DE24FE"/>
    <w:pPr>
      <w:spacing w:before="5040"/>
      <w:jc w:val="center"/>
    </w:pPr>
    <w:rPr>
      <w:sz w:val="48"/>
      <w:szCs w:val="72"/>
      <w:lang w:val="en-US"/>
    </w:rPr>
  </w:style>
  <w:style w:type="character" w:customStyle="1" w:styleId="TitleChar">
    <w:name w:val="Title Char"/>
    <w:basedOn w:val="DefaultParagraphFont"/>
    <w:link w:val="Title"/>
    <w:rsid w:val="00DE24F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E24FE"/>
    <w:pPr>
      <w:tabs>
        <w:tab w:val="left" w:pos="3600"/>
        <w:tab w:val="left" w:pos="3958"/>
      </w:tabs>
    </w:pPr>
  </w:style>
  <w:style w:type="paragraph" w:customStyle="1" w:styleId="Note">
    <w:name w:val="Note"/>
    <w:basedOn w:val="BodyText"/>
    <w:rsid w:val="00DE24F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E24FE"/>
    <w:pPr>
      <w:framePr w:wrap="auto" w:hAnchor="text" w:y="6049"/>
    </w:pPr>
    <w:rPr>
      <w:color w:val="000000"/>
      <w:sz w:val="40"/>
    </w:rPr>
  </w:style>
  <w:style w:type="paragraph" w:customStyle="1" w:styleId="TOCTitle">
    <w:name w:val="TOCTitle"/>
    <w:basedOn w:val="Heading1"/>
    <w:rsid w:val="00DE24FE"/>
    <w:pPr>
      <w:spacing w:after="240"/>
      <w:jc w:val="center"/>
      <w:outlineLvl w:val="9"/>
    </w:pPr>
    <w:rPr>
      <w:caps/>
    </w:rPr>
  </w:style>
  <w:style w:type="paragraph" w:customStyle="1" w:styleId="Version">
    <w:name w:val="Version"/>
    <w:rsid w:val="00DE24F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E24FE"/>
    <w:pPr>
      <w:numPr>
        <w:numId w:val="13"/>
      </w:numPr>
      <w:tabs>
        <w:tab w:val="clear" w:pos="680"/>
      </w:tabs>
    </w:pPr>
  </w:style>
  <w:style w:type="paragraph" w:styleId="Index1">
    <w:name w:val="index 1"/>
    <w:basedOn w:val="Normal"/>
    <w:next w:val="Normal"/>
    <w:semiHidden/>
    <w:rsid w:val="00DE24FE"/>
    <w:pPr>
      <w:keepNext w:val="0"/>
      <w:tabs>
        <w:tab w:val="right" w:pos="4176"/>
      </w:tabs>
      <w:ind w:left="198" w:hanging="198"/>
    </w:pPr>
    <w:rPr>
      <w:rFonts w:ascii="Garamond" w:hAnsi="Garamond"/>
    </w:rPr>
  </w:style>
  <w:style w:type="paragraph" w:styleId="IndexHeading">
    <w:name w:val="index heading"/>
    <w:basedOn w:val="Normal"/>
    <w:next w:val="Index1"/>
    <w:semiHidden/>
    <w:rsid w:val="00DE24FE"/>
    <w:pPr>
      <w:spacing w:before="120" w:after="120"/>
    </w:pPr>
    <w:rPr>
      <w:rFonts w:ascii="Arial" w:hAnsi="Arial"/>
      <w:b/>
      <w:color w:val="918585"/>
      <w:sz w:val="24"/>
    </w:rPr>
  </w:style>
  <w:style w:type="paragraph" w:styleId="Header">
    <w:name w:val="header"/>
    <w:basedOn w:val="Normal"/>
    <w:link w:val="HeaderChar"/>
    <w:rsid w:val="00DE24F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E24FE"/>
    <w:rPr>
      <w:rFonts w:ascii="Times New Roman" w:eastAsia="Times New Roman" w:hAnsi="Times New Roman" w:cs="Times New Roman"/>
      <w:sz w:val="16"/>
      <w:szCs w:val="20"/>
      <w:lang w:val="en-GB" w:eastAsia="en-US"/>
    </w:rPr>
  </w:style>
  <w:style w:type="paragraph" w:customStyle="1" w:styleId="Chapter">
    <w:name w:val="Chapter"/>
    <w:basedOn w:val="Normal"/>
    <w:rsid w:val="00DE24FE"/>
    <w:pPr>
      <w:spacing w:before="240"/>
    </w:pPr>
    <w:rPr>
      <w:rFonts w:ascii="Times New Roman" w:hAnsi="Times New Roman"/>
      <w:smallCaps/>
      <w:spacing w:val="80"/>
      <w:sz w:val="28"/>
    </w:rPr>
  </w:style>
  <w:style w:type="paragraph" w:customStyle="1" w:styleId="InChapter">
    <w:name w:val="InChapter"/>
    <w:basedOn w:val="Heading3"/>
    <w:rsid w:val="00DE24FE"/>
    <w:pPr>
      <w:spacing w:after="240"/>
      <w:outlineLvl w:val="9"/>
    </w:pPr>
    <w:rPr>
      <w:noProof/>
    </w:rPr>
  </w:style>
  <w:style w:type="paragraph" w:styleId="Index2">
    <w:name w:val="index 2"/>
    <w:basedOn w:val="Normal"/>
    <w:next w:val="Normal"/>
    <w:semiHidden/>
    <w:rsid w:val="00DE24FE"/>
    <w:pPr>
      <w:tabs>
        <w:tab w:val="right" w:pos="4176"/>
      </w:tabs>
      <w:ind w:left="568" w:hanging="284"/>
    </w:pPr>
    <w:rPr>
      <w:rFonts w:ascii="Garamond" w:hAnsi="Garamond"/>
    </w:rPr>
  </w:style>
  <w:style w:type="paragraph" w:customStyle="1" w:styleId="Byline">
    <w:name w:val="Byline"/>
    <w:rsid w:val="00DE24F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E24FE"/>
    <w:pPr>
      <w:tabs>
        <w:tab w:val="clear" w:pos="3600"/>
        <w:tab w:val="clear" w:pos="3958"/>
      </w:tabs>
      <w:jc w:val="right"/>
    </w:pPr>
  </w:style>
  <w:style w:type="character" w:styleId="Emphasis">
    <w:name w:val="Emphasis"/>
    <w:basedOn w:val="DefaultParagraphFont"/>
    <w:qFormat/>
    <w:rsid w:val="00DE24FE"/>
    <w:rPr>
      <w:i/>
    </w:rPr>
  </w:style>
  <w:style w:type="paragraph" w:styleId="Caption">
    <w:name w:val="caption"/>
    <w:basedOn w:val="BodyText"/>
    <w:next w:val="Normal"/>
    <w:qFormat/>
    <w:rsid w:val="00DE24FE"/>
    <w:pPr>
      <w:framePr w:w="2268" w:hSpace="181" w:vSpace="181" w:wrap="around" w:vAnchor="text" w:hAnchor="page" w:x="1135" w:y="285" w:anchorLock="1"/>
    </w:pPr>
    <w:rPr>
      <w:i/>
    </w:rPr>
  </w:style>
  <w:style w:type="paragraph" w:customStyle="1" w:styleId="MiniTOCTitle">
    <w:name w:val="MiniTOCTitle"/>
    <w:basedOn w:val="Heading4"/>
    <w:rsid w:val="00DE24FE"/>
    <w:pPr>
      <w:spacing w:before="240"/>
      <w:outlineLvl w:val="9"/>
    </w:pPr>
    <w:rPr>
      <w:noProof/>
      <w:sz w:val="24"/>
    </w:rPr>
  </w:style>
  <w:style w:type="paragraph" w:customStyle="1" w:styleId="MiniTOCItem">
    <w:name w:val="MiniTOCItem"/>
    <w:basedOn w:val="ListBullet"/>
    <w:rsid w:val="00DE24FE"/>
    <w:pPr>
      <w:numPr>
        <w:numId w:val="0"/>
      </w:numPr>
      <w:tabs>
        <w:tab w:val="right" w:leader="dot" w:pos="6521"/>
      </w:tabs>
      <w:spacing w:before="0" w:after="0"/>
    </w:pPr>
  </w:style>
  <w:style w:type="paragraph" w:customStyle="1" w:styleId="TOFTitle">
    <w:name w:val="TOFTitle"/>
    <w:basedOn w:val="TOCTitle"/>
    <w:rsid w:val="00DE24FE"/>
  </w:style>
  <w:style w:type="paragraph" w:styleId="TableofFigures">
    <w:name w:val="table of figures"/>
    <w:basedOn w:val="Normal"/>
    <w:next w:val="Normal"/>
    <w:semiHidden/>
    <w:rsid w:val="00DE24FE"/>
    <w:pPr>
      <w:tabs>
        <w:tab w:val="right" w:leader="dot" w:pos="9072"/>
      </w:tabs>
      <w:ind w:left="970" w:hanging="403"/>
    </w:pPr>
    <w:rPr>
      <w:rFonts w:ascii="Times New Roman" w:hAnsi="Times New Roman"/>
      <w:b/>
    </w:rPr>
  </w:style>
  <w:style w:type="paragraph" w:styleId="ListNumber">
    <w:name w:val="List Number"/>
    <w:basedOn w:val="List"/>
    <w:rsid w:val="00DE24FE"/>
    <w:pPr>
      <w:numPr>
        <w:numId w:val="10"/>
      </w:numPr>
    </w:pPr>
  </w:style>
  <w:style w:type="character" w:customStyle="1" w:styleId="WingdingSymbols">
    <w:name w:val="Wingding Symbols"/>
    <w:rsid w:val="00DE24FE"/>
    <w:rPr>
      <w:rFonts w:ascii="Wingdings" w:hAnsi="Wingdings"/>
    </w:rPr>
  </w:style>
  <w:style w:type="paragraph" w:customStyle="1" w:styleId="TableHeading">
    <w:name w:val="Table Heading"/>
    <w:basedOn w:val="HeadingBase"/>
    <w:rsid w:val="00DE24FE"/>
    <w:pPr>
      <w:keepLines/>
      <w:pBdr>
        <w:bottom w:val="single" w:sz="6" w:space="1" w:color="918585"/>
      </w:pBdr>
      <w:spacing w:before="240"/>
    </w:pPr>
  </w:style>
  <w:style w:type="character" w:customStyle="1" w:styleId="HotSpot">
    <w:name w:val="HotSpot"/>
    <w:rsid w:val="00DE24FE"/>
    <w:rPr>
      <w:color w:val="0033CC"/>
      <w:u w:val="none"/>
    </w:rPr>
  </w:style>
  <w:style w:type="paragraph" w:customStyle="1" w:styleId="BodyTextRight">
    <w:name w:val="Body Text Right"/>
    <w:basedOn w:val="BodyText"/>
    <w:rsid w:val="00DE24FE"/>
    <w:pPr>
      <w:spacing w:before="0" w:after="0"/>
      <w:jc w:val="right"/>
    </w:pPr>
  </w:style>
  <w:style w:type="paragraph" w:styleId="Index3">
    <w:name w:val="index 3"/>
    <w:basedOn w:val="ListNumber2"/>
    <w:next w:val="Normal"/>
    <w:semiHidden/>
    <w:rsid w:val="00DE24FE"/>
    <w:pPr>
      <w:numPr>
        <w:numId w:val="0"/>
      </w:numPr>
      <w:tabs>
        <w:tab w:val="right" w:leader="dot" w:pos="4176"/>
      </w:tabs>
    </w:pPr>
  </w:style>
  <w:style w:type="paragraph" w:styleId="ListNumber2">
    <w:name w:val="List Number 2"/>
    <w:basedOn w:val="List2"/>
    <w:rsid w:val="00DE24FE"/>
    <w:pPr>
      <w:numPr>
        <w:numId w:val="9"/>
      </w:numPr>
      <w:tabs>
        <w:tab w:val="clear" w:pos="1060"/>
      </w:tabs>
    </w:pPr>
  </w:style>
  <w:style w:type="paragraph" w:customStyle="1" w:styleId="MarginNote">
    <w:name w:val="Margin Note"/>
    <w:basedOn w:val="BodyText"/>
    <w:rsid w:val="00DE24F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E24F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E24F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E24FE"/>
    <w:rPr>
      <w:sz w:val="32"/>
    </w:rPr>
  </w:style>
  <w:style w:type="paragraph" w:customStyle="1" w:styleId="HeadingProcedure">
    <w:name w:val="Heading Procedure"/>
    <w:basedOn w:val="HeadingBase"/>
    <w:next w:val="Normal"/>
    <w:rsid w:val="00DE24FE"/>
    <w:pPr>
      <w:tabs>
        <w:tab w:val="left" w:pos="0"/>
      </w:tabs>
      <w:spacing w:before="120" w:after="60"/>
    </w:pPr>
    <w:rPr>
      <w:i/>
      <w:color w:val="918585"/>
      <w:sz w:val="22"/>
    </w:rPr>
  </w:style>
  <w:style w:type="paragraph" w:customStyle="1" w:styleId="TableBodyText">
    <w:name w:val="Table Body Text"/>
    <w:basedOn w:val="BodyText"/>
    <w:rsid w:val="00DE24FE"/>
    <w:pPr>
      <w:spacing w:before="60" w:after="60"/>
    </w:pPr>
  </w:style>
  <w:style w:type="paragraph" w:styleId="ListContinue">
    <w:name w:val="List Continue"/>
    <w:basedOn w:val="List"/>
    <w:rsid w:val="00DE24FE"/>
    <w:pPr>
      <w:ind w:firstLine="0"/>
    </w:pPr>
  </w:style>
  <w:style w:type="paragraph" w:customStyle="1" w:styleId="ListNote">
    <w:name w:val="List Note"/>
    <w:basedOn w:val="List"/>
    <w:rsid w:val="00DE24FE"/>
    <w:pPr>
      <w:pBdr>
        <w:top w:val="single" w:sz="6" w:space="2" w:color="918585"/>
        <w:bottom w:val="single" w:sz="6" w:space="2" w:color="918585"/>
      </w:pBdr>
      <w:tabs>
        <w:tab w:val="left" w:pos="1021"/>
      </w:tabs>
      <w:ind w:firstLine="0"/>
    </w:pPr>
  </w:style>
  <w:style w:type="paragraph" w:customStyle="1" w:styleId="Warning">
    <w:name w:val="Warning"/>
    <w:basedOn w:val="BodyText"/>
    <w:rsid w:val="00DE24FE"/>
    <w:pPr>
      <w:shd w:val="clear" w:color="auto" w:fill="D9D9D9"/>
      <w:tabs>
        <w:tab w:val="left" w:pos="992"/>
      </w:tabs>
      <w:ind w:left="119" w:right="119"/>
    </w:pPr>
    <w:rPr>
      <w:sz w:val="20"/>
    </w:rPr>
  </w:style>
  <w:style w:type="paragraph" w:customStyle="1" w:styleId="MarginIcons">
    <w:name w:val="Margin Icons"/>
    <w:basedOn w:val="BodyText"/>
    <w:rsid w:val="00DE24F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E24FE"/>
    <w:rPr>
      <w:rFonts w:ascii="Courier New" w:hAnsi="Courier New"/>
    </w:rPr>
  </w:style>
  <w:style w:type="paragraph" w:customStyle="1" w:styleId="NoteBullet">
    <w:name w:val="Note Bullet"/>
    <w:basedOn w:val="Note"/>
    <w:rsid w:val="00DE24FE"/>
    <w:pPr>
      <w:tabs>
        <w:tab w:val="clear" w:pos="680"/>
      </w:tabs>
      <w:spacing w:before="60" w:after="60"/>
    </w:pPr>
  </w:style>
  <w:style w:type="paragraph" w:customStyle="1" w:styleId="SubHeading2">
    <w:name w:val="SubHeading2"/>
    <w:basedOn w:val="HeadingBase"/>
    <w:rsid w:val="00DE24FE"/>
    <w:pPr>
      <w:spacing w:before="240" w:after="60"/>
    </w:pPr>
    <w:rPr>
      <w:sz w:val="20"/>
    </w:rPr>
  </w:style>
  <w:style w:type="paragraph" w:customStyle="1" w:styleId="SubHeading1">
    <w:name w:val="SubHeading1"/>
    <w:basedOn w:val="HeadingBase"/>
    <w:rsid w:val="00DE24FE"/>
    <w:pPr>
      <w:spacing w:before="240" w:after="60"/>
    </w:pPr>
    <w:rPr>
      <w:color w:val="918585"/>
      <w:sz w:val="22"/>
    </w:rPr>
  </w:style>
  <w:style w:type="paragraph" w:customStyle="1" w:styleId="SideHeading">
    <w:name w:val="Side Heading"/>
    <w:basedOn w:val="HeadingBase"/>
    <w:rsid w:val="00DE24F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E24FE"/>
    <w:pPr>
      <w:tabs>
        <w:tab w:val="num" w:pos="360"/>
      </w:tabs>
    </w:pPr>
  </w:style>
  <w:style w:type="paragraph" w:styleId="PlainText">
    <w:name w:val="Plain Text"/>
    <w:basedOn w:val="Normal"/>
    <w:link w:val="PlainTextChar"/>
    <w:rsid w:val="00DE24FE"/>
    <w:rPr>
      <w:sz w:val="20"/>
    </w:rPr>
  </w:style>
  <w:style w:type="character" w:customStyle="1" w:styleId="PlainTextChar">
    <w:name w:val="Plain Text Char"/>
    <w:basedOn w:val="DefaultParagraphFont"/>
    <w:link w:val="PlainText"/>
    <w:rsid w:val="00DE24FE"/>
    <w:rPr>
      <w:rFonts w:ascii="Courier New" w:eastAsia="Times New Roman" w:hAnsi="Courier New" w:cs="Times New Roman"/>
      <w:sz w:val="20"/>
      <w:szCs w:val="20"/>
      <w:lang w:eastAsia="en-US"/>
    </w:rPr>
  </w:style>
  <w:style w:type="character" w:customStyle="1" w:styleId="MenuOption">
    <w:name w:val="Menu Option"/>
    <w:basedOn w:val="DefaultParagraphFont"/>
    <w:rsid w:val="00DE24FE"/>
    <w:rPr>
      <w:b/>
      <w:smallCaps/>
    </w:rPr>
  </w:style>
  <w:style w:type="paragraph" w:customStyle="1" w:styleId="TableListNumber">
    <w:name w:val="Table List Number"/>
    <w:basedOn w:val="ListNumber"/>
    <w:rsid w:val="00DE24FE"/>
    <w:pPr>
      <w:numPr>
        <w:numId w:val="0"/>
      </w:numPr>
    </w:pPr>
  </w:style>
  <w:style w:type="paragraph" w:styleId="TOC4">
    <w:name w:val="toc 4"/>
    <w:basedOn w:val="TOCBase"/>
    <w:next w:val="Normal"/>
    <w:semiHidden/>
    <w:rsid w:val="00DE24FE"/>
    <w:pPr>
      <w:tabs>
        <w:tab w:val="right" w:leader="dot" w:pos="9071"/>
      </w:tabs>
      <w:ind w:left="1701"/>
    </w:pPr>
  </w:style>
  <w:style w:type="paragraph" w:customStyle="1" w:styleId="ListAlpha">
    <w:name w:val="List Alpha"/>
    <w:basedOn w:val="List"/>
    <w:rsid w:val="00DE24FE"/>
    <w:pPr>
      <w:numPr>
        <w:numId w:val="8"/>
      </w:numPr>
    </w:pPr>
  </w:style>
  <w:style w:type="paragraph" w:customStyle="1" w:styleId="ListAlpha2">
    <w:name w:val="List Alpha 2"/>
    <w:basedOn w:val="List2"/>
    <w:rsid w:val="00DE24FE"/>
    <w:pPr>
      <w:numPr>
        <w:numId w:val="7"/>
      </w:numPr>
    </w:pPr>
  </w:style>
  <w:style w:type="paragraph" w:styleId="List3">
    <w:name w:val="List 3"/>
    <w:basedOn w:val="BodyText"/>
    <w:rsid w:val="00DE24FE"/>
    <w:pPr>
      <w:tabs>
        <w:tab w:val="left" w:pos="1021"/>
      </w:tabs>
      <w:spacing w:before="60" w:after="60"/>
      <w:ind w:left="1020" w:hanging="340"/>
    </w:pPr>
  </w:style>
  <w:style w:type="paragraph" w:styleId="List4">
    <w:name w:val="List 4"/>
    <w:basedOn w:val="BodyText"/>
    <w:rsid w:val="00DE24FE"/>
    <w:pPr>
      <w:tabs>
        <w:tab w:val="left" w:pos="1361"/>
      </w:tabs>
      <w:spacing w:before="60" w:after="60"/>
      <w:ind w:left="1361" w:hanging="340"/>
    </w:pPr>
  </w:style>
  <w:style w:type="paragraph" w:styleId="List5">
    <w:name w:val="List 5"/>
    <w:basedOn w:val="BodyText"/>
    <w:rsid w:val="00DE24FE"/>
    <w:pPr>
      <w:tabs>
        <w:tab w:val="left" w:pos="1701"/>
      </w:tabs>
      <w:spacing w:before="60" w:after="60"/>
      <w:ind w:left="1701" w:hanging="340"/>
    </w:pPr>
  </w:style>
  <w:style w:type="paragraph" w:styleId="ListBullet3">
    <w:name w:val="List Bullet 3"/>
    <w:basedOn w:val="List3"/>
    <w:rsid w:val="00DE24FE"/>
    <w:pPr>
      <w:numPr>
        <w:numId w:val="14"/>
      </w:numPr>
      <w:tabs>
        <w:tab w:val="clear" w:pos="1021"/>
      </w:tabs>
      <w:ind w:left="1037" w:hanging="357"/>
    </w:pPr>
  </w:style>
  <w:style w:type="paragraph" w:styleId="ListBullet4">
    <w:name w:val="List Bullet 4"/>
    <w:basedOn w:val="List4"/>
    <w:rsid w:val="00DE24FE"/>
    <w:pPr>
      <w:numPr>
        <w:numId w:val="2"/>
      </w:numPr>
    </w:pPr>
  </w:style>
  <w:style w:type="paragraph" w:styleId="ListBullet5">
    <w:name w:val="List Bullet 5"/>
    <w:basedOn w:val="List5"/>
    <w:rsid w:val="00DE24FE"/>
    <w:pPr>
      <w:numPr>
        <w:numId w:val="3"/>
      </w:numPr>
    </w:pPr>
  </w:style>
  <w:style w:type="paragraph" w:styleId="ListContinue2">
    <w:name w:val="List Continue 2"/>
    <w:basedOn w:val="List2"/>
    <w:rsid w:val="00DE24FE"/>
    <w:pPr>
      <w:ind w:firstLine="0"/>
    </w:pPr>
  </w:style>
  <w:style w:type="paragraph" w:styleId="ListContinue3">
    <w:name w:val="List Continue 3"/>
    <w:basedOn w:val="List3"/>
    <w:rsid w:val="00DE24FE"/>
    <w:pPr>
      <w:ind w:left="1021" w:firstLine="0"/>
    </w:pPr>
  </w:style>
  <w:style w:type="paragraph" w:styleId="ListContinue4">
    <w:name w:val="List Continue 4"/>
    <w:basedOn w:val="List4"/>
    <w:rsid w:val="00DE24FE"/>
    <w:pPr>
      <w:ind w:firstLine="0"/>
    </w:pPr>
  </w:style>
  <w:style w:type="paragraph" w:styleId="ListContinue5">
    <w:name w:val="List Continue 5"/>
    <w:basedOn w:val="List5"/>
    <w:rsid w:val="00DE24FE"/>
    <w:pPr>
      <w:ind w:firstLine="0"/>
    </w:pPr>
  </w:style>
  <w:style w:type="paragraph" w:styleId="ListNumber3">
    <w:name w:val="List Number 3"/>
    <w:basedOn w:val="List3"/>
    <w:rsid w:val="00DE24FE"/>
    <w:pPr>
      <w:numPr>
        <w:numId w:val="4"/>
      </w:numPr>
    </w:pPr>
  </w:style>
  <w:style w:type="paragraph" w:styleId="ListNumber4">
    <w:name w:val="List Number 4"/>
    <w:basedOn w:val="List4"/>
    <w:rsid w:val="00DE24FE"/>
    <w:pPr>
      <w:numPr>
        <w:numId w:val="5"/>
      </w:numPr>
    </w:pPr>
  </w:style>
  <w:style w:type="paragraph" w:styleId="ListNumber5">
    <w:name w:val="List Number 5"/>
    <w:basedOn w:val="List5"/>
    <w:rsid w:val="00DE24FE"/>
    <w:pPr>
      <w:numPr>
        <w:numId w:val="6"/>
      </w:numPr>
    </w:pPr>
  </w:style>
  <w:style w:type="paragraph" w:styleId="BlockText">
    <w:name w:val="Block Text"/>
    <w:basedOn w:val="Normal"/>
    <w:rsid w:val="00DE24FE"/>
    <w:pPr>
      <w:spacing w:after="120"/>
      <w:ind w:left="1440" w:right="1440"/>
    </w:pPr>
  </w:style>
  <w:style w:type="character" w:customStyle="1" w:styleId="Subscript">
    <w:name w:val="Subscript"/>
    <w:basedOn w:val="DefaultParagraphFont"/>
    <w:rsid w:val="00DE24FE"/>
    <w:rPr>
      <w:sz w:val="16"/>
      <w:vertAlign w:val="subscript"/>
    </w:rPr>
  </w:style>
  <w:style w:type="character" w:customStyle="1" w:styleId="Superscript">
    <w:name w:val="Superscript"/>
    <w:basedOn w:val="DefaultParagraphFont"/>
    <w:rsid w:val="00DE24FE"/>
    <w:rPr>
      <w:sz w:val="16"/>
      <w:vertAlign w:val="superscript"/>
    </w:rPr>
  </w:style>
  <w:style w:type="character" w:customStyle="1" w:styleId="Symbols">
    <w:name w:val="Symbols"/>
    <w:basedOn w:val="DefaultParagraphFont"/>
    <w:rsid w:val="00DE24FE"/>
    <w:rPr>
      <w:rFonts w:ascii="Symbol" w:hAnsi="Symbol"/>
    </w:rPr>
  </w:style>
  <w:style w:type="character" w:customStyle="1" w:styleId="MenuOptions">
    <w:name w:val="Menu Options"/>
    <w:basedOn w:val="DefaultParagraphFont"/>
    <w:rsid w:val="00DE24FE"/>
    <w:rPr>
      <w:rFonts w:ascii="Arial Narrow" w:hAnsi="Arial Narrow"/>
      <w:smallCaps/>
    </w:rPr>
  </w:style>
  <w:style w:type="character" w:customStyle="1" w:styleId="Buttons">
    <w:name w:val="Buttons"/>
    <w:basedOn w:val="DefaultParagraphFont"/>
    <w:rsid w:val="00DE24FE"/>
    <w:rPr>
      <w:b/>
    </w:rPr>
  </w:style>
  <w:style w:type="character" w:customStyle="1" w:styleId="Underlined">
    <w:name w:val="Underlined"/>
    <w:basedOn w:val="DefaultParagraphFont"/>
    <w:rsid w:val="00DE24FE"/>
    <w:rPr>
      <w:u w:val="single"/>
    </w:rPr>
  </w:style>
  <w:style w:type="paragraph" w:customStyle="1" w:styleId="TableBodyTextRight">
    <w:name w:val="Table Body Text Right"/>
    <w:basedOn w:val="TableBodyText"/>
    <w:rsid w:val="00DE24FE"/>
    <w:pPr>
      <w:widowControl w:val="0"/>
      <w:autoSpaceDE w:val="0"/>
      <w:autoSpaceDN w:val="0"/>
      <w:adjustRightInd w:val="0"/>
      <w:jc w:val="right"/>
    </w:pPr>
    <w:rPr>
      <w:rFonts w:cs="Arial"/>
      <w:szCs w:val="18"/>
    </w:rPr>
  </w:style>
  <w:style w:type="paragraph" w:customStyle="1" w:styleId="CopyrightText">
    <w:name w:val="Copyright Text"/>
    <w:basedOn w:val="BodyText"/>
    <w:rsid w:val="00DE24FE"/>
    <w:rPr>
      <w:sz w:val="18"/>
    </w:rPr>
  </w:style>
  <w:style w:type="paragraph" w:customStyle="1" w:styleId="BodySmallRight">
    <w:name w:val="Body Small Right"/>
    <w:basedOn w:val="BodyTextRight"/>
    <w:rsid w:val="00DE24FE"/>
    <w:rPr>
      <w:sz w:val="18"/>
      <w:szCs w:val="18"/>
    </w:rPr>
  </w:style>
  <w:style w:type="paragraph" w:customStyle="1" w:styleId="MarginEdition">
    <w:name w:val="Margin Edition"/>
    <w:basedOn w:val="MarginNote"/>
    <w:rsid w:val="00DE24FE"/>
    <w:pPr>
      <w:spacing w:before="0" w:after="0"/>
    </w:pPr>
    <w:rPr>
      <w:rFonts w:ascii="Times New Roman" w:hAnsi="Times New Roman"/>
      <w:color w:val="999999"/>
    </w:rPr>
  </w:style>
  <w:style w:type="paragraph" w:customStyle="1" w:styleId="Spacer">
    <w:name w:val="Spacer"/>
    <w:basedOn w:val="Normal"/>
    <w:rsid w:val="00DE24FE"/>
    <w:rPr>
      <w:sz w:val="2"/>
      <w:szCs w:val="2"/>
    </w:rPr>
  </w:style>
  <w:style w:type="character" w:customStyle="1" w:styleId="Small">
    <w:name w:val="Small"/>
    <w:basedOn w:val="DefaultParagraphFont"/>
    <w:rsid w:val="00DE24FE"/>
    <w:rPr>
      <w:sz w:val="16"/>
    </w:rPr>
  </w:style>
  <w:style w:type="paragraph" w:customStyle="1" w:styleId="WideTable">
    <w:name w:val="Wide Table"/>
    <w:basedOn w:val="Normal"/>
    <w:rsid w:val="00DE24FE"/>
    <w:pPr>
      <w:ind w:left="-1418"/>
    </w:pPr>
    <w:rPr>
      <w:sz w:val="2"/>
      <w:szCs w:val="2"/>
    </w:rPr>
  </w:style>
  <w:style w:type="character" w:styleId="PageNumber">
    <w:name w:val="page number"/>
    <w:basedOn w:val="DefaultParagraphFont"/>
    <w:rsid w:val="00DE24FE"/>
  </w:style>
  <w:style w:type="paragraph" w:styleId="Quote">
    <w:name w:val="Quote"/>
    <w:basedOn w:val="Heading1"/>
    <w:link w:val="QuoteChar"/>
    <w:qFormat/>
    <w:rsid w:val="00DE24FE"/>
    <w:rPr>
      <w:b w:val="0"/>
      <w:sz w:val="72"/>
      <w:szCs w:val="72"/>
      <w:lang w:val="en-NZ"/>
    </w:rPr>
  </w:style>
  <w:style w:type="character" w:customStyle="1" w:styleId="QuoteChar">
    <w:name w:val="Quote Char"/>
    <w:basedOn w:val="DefaultParagraphFont"/>
    <w:link w:val="Quote"/>
    <w:rsid w:val="00DE24F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E24FE"/>
    <w:pPr>
      <w:pageBreakBefore/>
    </w:pPr>
  </w:style>
  <w:style w:type="paragraph" w:customStyle="1" w:styleId="Border">
    <w:name w:val="Border"/>
    <w:basedOn w:val="Normal"/>
    <w:qFormat/>
    <w:rsid w:val="00DE24F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E24FE"/>
    <w:rPr>
      <w:b/>
      <w:bCs/>
      <w:i/>
      <w:iCs/>
      <w:color w:val="auto"/>
    </w:rPr>
  </w:style>
  <w:style w:type="paragraph" w:styleId="IntenseQuote">
    <w:name w:val="Intense Quote"/>
    <w:basedOn w:val="Normal"/>
    <w:next w:val="Normal"/>
    <w:link w:val="IntenseQuoteChar"/>
    <w:uiPriority w:val="30"/>
    <w:qFormat/>
    <w:rsid w:val="00DE24F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E24F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E24FE"/>
    <w:rPr>
      <w:smallCaps/>
      <w:color w:val="auto"/>
      <w:u w:val="single"/>
    </w:rPr>
  </w:style>
  <w:style w:type="character" w:styleId="IntenseReference">
    <w:name w:val="Intense Reference"/>
    <w:basedOn w:val="DefaultParagraphFont"/>
    <w:uiPriority w:val="32"/>
    <w:qFormat/>
    <w:rsid w:val="00DE24FE"/>
    <w:rPr>
      <w:b/>
      <w:bCs/>
      <w:smallCaps/>
      <w:color w:val="auto"/>
      <w:spacing w:val="5"/>
      <w:u w:val="single"/>
    </w:rPr>
  </w:style>
  <w:style w:type="paragraph" w:customStyle="1" w:styleId="2ColumnHeading">
    <w:name w:val="2Column Heading"/>
    <w:basedOn w:val="BodyText"/>
    <w:qFormat/>
    <w:rsid w:val="00DE24FE"/>
    <w:pPr>
      <w:spacing w:after="60"/>
      <w:ind w:left="-2268"/>
    </w:pPr>
    <w:rPr>
      <w:b/>
    </w:rPr>
  </w:style>
  <w:style w:type="paragraph" w:customStyle="1" w:styleId="Heading1TOC">
    <w:name w:val="Heading1 TOC"/>
    <w:basedOn w:val="Normal"/>
    <w:qFormat/>
    <w:rsid w:val="00DE24FE"/>
    <w:pPr>
      <w:spacing w:before="240" w:after="120"/>
    </w:pPr>
    <w:rPr>
      <w:rFonts w:ascii="Times New Roman" w:hAnsi="Times New Roman"/>
      <w:b/>
      <w:sz w:val="32"/>
    </w:rPr>
  </w:style>
  <w:style w:type="paragraph" w:customStyle="1" w:styleId="Heading2TOC">
    <w:name w:val="Heading2 TOC"/>
    <w:basedOn w:val="Normal"/>
    <w:qFormat/>
    <w:rsid w:val="00DE24FE"/>
    <w:pPr>
      <w:spacing w:before="240" w:after="60"/>
    </w:pPr>
    <w:rPr>
      <w:rFonts w:ascii="Times New Roman" w:hAnsi="Times New Roman"/>
      <w:b/>
      <w:sz w:val="28"/>
    </w:rPr>
  </w:style>
  <w:style w:type="character" w:customStyle="1" w:styleId="Underline">
    <w:name w:val="Underline"/>
    <w:basedOn w:val="DefaultParagraphFont"/>
    <w:qFormat/>
    <w:rsid w:val="00DE24FE"/>
    <w:rPr>
      <w:u w:val="single"/>
    </w:rPr>
  </w:style>
  <w:style w:type="paragraph" w:styleId="BalloonText">
    <w:name w:val="Balloon Text"/>
    <w:basedOn w:val="Normal"/>
    <w:link w:val="BalloonTextChar"/>
    <w:rsid w:val="00DE24FE"/>
    <w:rPr>
      <w:rFonts w:ascii="Tahoma" w:hAnsi="Tahoma" w:cs="Tahoma"/>
      <w:sz w:val="16"/>
      <w:szCs w:val="16"/>
    </w:rPr>
  </w:style>
  <w:style w:type="character" w:customStyle="1" w:styleId="BalloonTextChar">
    <w:name w:val="Balloon Text Char"/>
    <w:basedOn w:val="DefaultParagraphFont"/>
    <w:link w:val="BalloonText"/>
    <w:rsid w:val="00DE24F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E24F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E24F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E24FE"/>
    <w:rPr>
      <w:b/>
      <w:color w:val="660033"/>
      <w:spacing w:val="0"/>
    </w:rPr>
  </w:style>
  <w:style w:type="paragraph" w:customStyle="1" w:styleId="Nameditemlist">
    <w:name w:val="Named item list"/>
    <w:basedOn w:val="BodyText"/>
    <w:qFormat/>
    <w:rsid w:val="00DE24F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1067</Words>
  <Characters>6512</Characters>
  <Application>Microsoft Office Word</Application>
  <DocSecurity>0</DocSecurity>
  <Lines>252</Lines>
  <Paragraphs>128</Paragraphs>
  <ScaleCrop>false</ScaleCrop>
  <Company>Author-it Software Corporation Ltd.</Company>
  <LinksUpToDate>false</LinksUpToDate>
  <CharactersWithSpaces>7509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CUETGE15B Handle physical elements during bump in/bump out</dc:title>
  <dc:subject>Approved</dc:subject>
  <dc:creator>Innovation and Business Skills Australia</dc:creator>
  <cp:keywords>Revision Number: 1</cp:keywords>
  <dc:description>Review Date: 12 April 2008</dc:description>
  <cp:lastModifiedBy>TPCMS</cp:lastModifiedBy>
  <cp:revision>3</cp:revision>
  <dcterms:created xsi:type="dcterms:W3CDTF">2013-10-25T06:27:00Z</dcterms:created>
  <dcterms:modified xsi:type="dcterms:W3CDTF">2013-10-25T06:27:00Z</dcterms:modified>
</cp:coreProperties>
</file>