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D26" w:rsidP="007E6D26">
      <w:pPr>
        <w:pStyle w:val="Title"/>
      </w:pPr>
      <w:r>
        <w:fldChar w:fldCharType="begin"/>
      </w:r>
      <w:r>
        <w:instrText xml:space="preserve"> TITLE   \* MERGEFORMAT </w:instrText>
      </w:r>
      <w:r>
        <w:fldChar w:fldCharType="separate"/>
      </w:r>
      <w:r>
        <w:t>CUESTA06B Apply a general knowledge of theatrical rigging</w:t>
      </w:r>
      <w:r>
        <w:fldChar w:fldCharType="end"/>
      </w:r>
    </w:p>
    <w:p w:rsidR="007E6D26" w:rsidP="007E6D26">
      <w:pPr>
        <w:pStyle w:val="Version"/>
        <w:sectPr w:rsidSect="001A7B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7B20" w:rsidP="001A7B20">
      <w:pPr>
        <w:pStyle w:val="SuperHeading"/>
      </w:pPr>
      <w:r w:rsidRPr="001A7B20">
        <w:t>CUESTA06B Apply a general knowledge of theatrical rigging</w:t>
      </w:r>
    </w:p>
    <w:p w:rsidR="00000000" w:rsidRPr="001A7B20" w:rsidP="001A7B20">
      <w:pPr>
        <w:pStyle w:val="SuperHeading"/>
      </w:pPr>
    </w:p>
    <w:p w:rsidR="00000000" w:rsidRPr="001A7B20" w:rsidP="001A7B20">
      <w:pPr>
        <w:pStyle w:val="Heading1"/>
      </w:pPr>
      <w:bookmarkStart w:id="1" w:name="O_70467"/>
      <w:bookmarkEnd w:id="1"/>
      <w:r w:rsidRPr="001A7B20">
        <w:t>Modification History</w:t>
      </w:r>
    </w:p>
    <w:p w:rsidR="00000000" w:rsidRPr="001A7B20" w:rsidP="001A7B20">
      <w:pPr>
        <w:pStyle w:val="BodyText"/>
      </w:pPr>
      <w:r w:rsidRPr="001A7B20">
        <w:t>Not applicable.</w:t>
      </w:r>
    </w:p>
    <w:p w:rsidR="00000000" w:rsidRPr="001A7B20" w:rsidP="001A7B20">
      <w:pPr>
        <w:pStyle w:val="AllowPageBreak"/>
      </w:pPr>
    </w:p>
    <w:p w:rsidR="00000000" w:rsidRPr="001A7B20" w:rsidP="001A7B20">
      <w:pPr>
        <w:pStyle w:val="Heading1"/>
      </w:pPr>
      <w:bookmarkStart w:id="2" w:name="O_70468"/>
      <w:bookmarkEnd w:id="2"/>
      <w:r w:rsidRPr="001A7B20">
        <w:t>Unit Descriptor</w:t>
      </w:r>
    </w:p>
    <w:tbl>
      <w:tblPr>
        <w:tblW w:w="0" w:type="auto"/>
        <w:tblLayout w:type="fixed"/>
        <w:tblCellMar>
          <w:left w:w="62" w:type="dxa"/>
          <w:right w:w="62" w:type="dxa"/>
        </w:tblCellMar>
        <w:tblLook w:val="0000"/>
      </w:tblPr>
      <w:tblGrid>
        <w:gridCol w:w="2637"/>
        <w:gridCol w:w="5885"/>
      </w:tblGrid>
      <w:tr w:rsidTr="007E6D26">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 xml:space="preserve">This unit describes the skills and knowledge required to apply a broad knowledge of theatrical </w:t>
            </w:r>
            <w:r w:rsidRPr="001A7B20">
              <w:t xml:space="preserve">rigging to the live entertainment workplace. It does not cover the installation of rigs. </w:t>
            </w:r>
          </w:p>
          <w:p w:rsidR="00000000" w:rsidRPr="001A7B20" w:rsidP="001A7B20">
            <w:pPr>
              <w:pStyle w:val="BodyText"/>
            </w:pPr>
          </w:p>
          <w:p w:rsidR="00000000" w:rsidRPr="001A7B20" w:rsidP="001A7B20">
            <w:pPr>
              <w:pStyle w:val="BodyText"/>
            </w:pPr>
            <w:r w:rsidRPr="001A7B20">
              <w:t>The National Standard for Licensing Persons Performing High Risk Work applies to persons performing dogging and rigging work. Completion of the following units is re</w:t>
            </w:r>
            <w:r w:rsidRPr="001A7B20">
              <w:t>quired for certification at either basic, intermediate or advanced levels.</w:t>
            </w:r>
          </w:p>
          <w:p w:rsidR="00000000" w:rsidRPr="001A7B20" w:rsidP="001A7B20">
            <w:pPr>
              <w:pStyle w:val="BodyText"/>
            </w:pPr>
            <w:r w:rsidRPr="001A7B20">
              <w:t>CPCCLDG3001A Licence to perform dogging</w:t>
            </w:r>
          </w:p>
          <w:p w:rsidR="00000000" w:rsidRPr="001A7B20" w:rsidP="001A7B20">
            <w:pPr>
              <w:pStyle w:val="BodyText"/>
            </w:pPr>
            <w:r w:rsidRPr="001A7B20">
              <w:t>CPCCLRG3001A Licence to perform rigging basic level</w:t>
            </w:r>
          </w:p>
          <w:p w:rsidR="00000000" w:rsidRPr="001A7B20" w:rsidP="001A7B20">
            <w:pPr>
              <w:pStyle w:val="BodyText"/>
            </w:pPr>
            <w:r w:rsidRPr="001A7B20">
              <w:t>CPCCLRG3002A Licence to perform rigging intermediate level</w:t>
            </w:r>
          </w:p>
          <w:p w:rsidR="00000000" w:rsidRPr="001A7B20" w:rsidP="001A7B20">
            <w:pPr>
              <w:pStyle w:val="BodyText"/>
            </w:pPr>
            <w:r w:rsidRPr="001A7B20">
              <w:t>CPCCLRG4001A Licence to perform rigging advanced level.</w:t>
            </w:r>
          </w:p>
          <w:p w:rsidR="00000000" w:rsidRPr="001A7B20" w:rsidP="001A7B20">
            <w:pPr>
              <w:pStyle w:val="BodyText"/>
            </w:pPr>
          </w:p>
          <w:p w:rsidR="00000000" w:rsidRPr="001A7B20" w:rsidP="001A7B20">
            <w:pPr>
              <w:pStyle w:val="BodyText"/>
            </w:pPr>
            <w:r w:rsidRPr="001A7B20">
              <w:t>Sets and staging for some performances or events may fall within the definition of construction work. If so, people entering a construction site are required to complete the general induction trainin</w:t>
            </w:r>
            <w:r w:rsidRPr="001A7B20">
              <w:t>g program specified by the National Code of Practice for Induction Training for Construction Work (Australian Safety Compensation Council, May 2007).</w:t>
            </w:r>
          </w:p>
          <w:p w:rsidR="00000000" w:rsidRPr="001A7B20" w:rsidP="001A7B20">
            <w:pPr>
              <w:pStyle w:val="BodyText"/>
            </w:pPr>
          </w:p>
          <w:p w:rsidR="00000000" w:rsidRPr="001A7B20" w:rsidP="001A7B20">
            <w:pPr>
              <w:pStyle w:val="BodyText"/>
            </w:pPr>
            <w:r w:rsidRPr="001A7B20">
              <w:t>Achievement of the unit 'CPCCOHS1001A Work safely in the construction industry' fulfils this requirement.</w:t>
            </w:r>
            <w:r w:rsidRPr="001A7B20">
              <w:t xml:space="preserve"> </w:t>
            </w: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3" w:name="O_70469"/>
      <w:bookmarkEnd w:id="3"/>
      <w:r w:rsidRPr="001A7B20">
        <w:t>Application of the Unit</w:t>
      </w:r>
    </w:p>
    <w:tbl>
      <w:tblPr>
        <w:tblW w:w="0" w:type="auto"/>
        <w:tblLayout w:type="fixed"/>
        <w:tblCellMar>
          <w:left w:w="62" w:type="dxa"/>
          <w:right w:w="62" w:type="dxa"/>
        </w:tblCellMar>
        <w:tblLook w:val="0000"/>
      </w:tblPr>
      <w:tblGrid>
        <w:gridCol w:w="2753"/>
        <w:gridCol w:w="5769"/>
      </w:tblGrid>
      <w:tr w:rsidTr="007E6D2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A range of technical production personnel involved in live entertainment events and productions apply the skills and knowledge outlined in this unit. Those who work in lighting, staging, so</w:t>
            </w:r>
            <w:r w:rsidRPr="001A7B20">
              <w:t>und or vision systems need a general understanding of rigging.</w:t>
            </w:r>
          </w:p>
          <w:p w:rsidR="00000000" w:rsidRPr="001A7B20" w:rsidP="001A7B20">
            <w:pPr>
              <w:pStyle w:val="BodyText"/>
            </w:pPr>
          </w:p>
          <w:p w:rsidR="00000000" w:rsidRPr="001A7B20" w:rsidP="001A7B20">
            <w:pPr>
              <w:pStyle w:val="BodyText"/>
            </w:pPr>
            <w:r w:rsidRPr="001A7B20">
              <w:t>This unit may also be useful for licensed riggers who have limited knowledge of the theatrical work context.</w:t>
            </w:r>
          </w:p>
          <w:p w:rsidR="00000000" w:rsidRPr="001A7B20" w:rsidP="001A7B20">
            <w:pPr>
              <w:pStyle w:val="BodyText"/>
            </w:pPr>
          </w:p>
          <w:p w:rsidR="00000000" w:rsidRPr="001A7B20" w:rsidP="001A7B20">
            <w:pPr>
              <w:pStyle w:val="BodyText"/>
            </w:pPr>
            <w:r w:rsidRPr="001A7B20">
              <w:t>This unit has linkages to a range of other technical production units and combined</w:t>
            </w:r>
            <w:r w:rsidRPr="001A7B20">
              <w:t xml:space="preserve"> assessment and/or training may be appropriate.</w:t>
            </w: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4" w:name="O_70470"/>
      <w:bookmarkEnd w:id="4"/>
      <w:r w:rsidRPr="001A7B20">
        <w:t>Licensing/Regulatory Information</w:t>
      </w:r>
    </w:p>
    <w:p w:rsidR="00000000" w:rsidRPr="001A7B20" w:rsidP="001A7B20">
      <w:pPr>
        <w:pStyle w:val="BodyText"/>
      </w:pPr>
      <w:r w:rsidRPr="001A7B20">
        <w:t>Not applicable.</w:t>
      </w:r>
    </w:p>
    <w:p w:rsidR="00000000" w:rsidRPr="001A7B20" w:rsidP="001A7B20">
      <w:pPr>
        <w:pStyle w:val="AllowPageBreak"/>
      </w:pPr>
    </w:p>
    <w:p w:rsidR="00000000" w:rsidRPr="001A7B20" w:rsidP="001A7B20">
      <w:pPr>
        <w:pStyle w:val="Heading1"/>
      </w:pPr>
      <w:bookmarkStart w:id="5" w:name="O_70471"/>
      <w:bookmarkEnd w:id="5"/>
      <w:r w:rsidRPr="001A7B20">
        <w:t>Pre-Requisites</w:t>
      </w:r>
    </w:p>
    <w:tbl>
      <w:tblPr>
        <w:tblW w:w="0" w:type="auto"/>
        <w:tblLayout w:type="fixed"/>
        <w:tblCellMar>
          <w:left w:w="62" w:type="dxa"/>
          <w:right w:w="62" w:type="dxa"/>
        </w:tblCellMar>
        <w:tblLook w:val="0000"/>
      </w:tblPr>
      <w:tblGrid>
        <w:gridCol w:w="2775"/>
        <w:gridCol w:w="1295"/>
        <w:gridCol w:w="4452"/>
      </w:tblGrid>
      <w:tr w:rsidTr="007E6D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p>
        </w:tc>
      </w:tr>
      <w:tr w:rsidTr="007E6D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p>
        </w:tc>
      </w:tr>
      <w:tr w:rsidTr="007E6D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6" w:name="O_70472"/>
      <w:bookmarkEnd w:id="6"/>
      <w:r w:rsidRPr="001A7B20">
        <w:t>Employability Skills Information</w:t>
      </w:r>
    </w:p>
    <w:tbl>
      <w:tblPr>
        <w:tblW w:w="0" w:type="auto"/>
        <w:tblLayout w:type="fixed"/>
        <w:tblCellMar>
          <w:left w:w="62" w:type="dxa"/>
          <w:right w:w="62" w:type="dxa"/>
        </w:tblCellMar>
        <w:tblLook w:val="0000"/>
      </w:tblPr>
      <w:tblGrid>
        <w:gridCol w:w="2802"/>
        <w:gridCol w:w="5720"/>
      </w:tblGrid>
      <w:tr w:rsidTr="007E6D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This unit contains employability skills.</w:t>
            </w: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7" w:name="O_70473"/>
      <w:bookmarkEnd w:id="7"/>
      <w:r w:rsidRPr="001A7B20">
        <w:t>Elements and Performance Criteria Pre-Content</w:t>
      </w:r>
    </w:p>
    <w:tbl>
      <w:tblPr>
        <w:tblW w:w="0" w:type="auto"/>
        <w:tblLayout w:type="fixed"/>
        <w:tblCellMar>
          <w:left w:w="62" w:type="dxa"/>
          <w:right w:w="62" w:type="dxa"/>
        </w:tblCellMar>
        <w:tblLook w:val="0000"/>
      </w:tblPr>
      <w:tblGrid>
        <w:gridCol w:w="2583"/>
        <w:gridCol w:w="5939"/>
      </w:tblGrid>
      <w:tr w:rsidTr="007E6D2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Performance criteria describe the performance needed to demonstrate achievement of the</w:t>
            </w:r>
            <w:r w:rsidRPr="001A7B2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8" w:name="O_70474"/>
      <w:bookmarkEnd w:id="8"/>
      <w:r w:rsidRPr="001A7B20">
        <w:t>Elements and Performance Criteria</w:t>
      </w:r>
    </w:p>
    <w:tbl>
      <w:tblPr>
        <w:tblW w:w="0" w:type="auto"/>
        <w:tblLayout w:type="fixed"/>
        <w:tblCellMar>
          <w:left w:w="62" w:type="dxa"/>
          <w:right w:w="62" w:type="dxa"/>
        </w:tblCellMar>
        <w:tblLook w:val="0000"/>
      </w:tblPr>
      <w:tblGrid>
        <w:gridCol w:w="2583"/>
        <w:gridCol w:w="5939"/>
      </w:tblGrid>
      <w:tr w:rsidTr="007E6D26">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PERFORMANCE CRITERIA</w:t>
            </w:r>
          </w:p>
        </w:tc>
      </w:tr>
      <w:tr w:rsidTr="007E6D2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List"/>
              <w:rPr>
                <w:lang w:val="en-NZ"/>
              </w:rPr>
            </w:pPr>
            <w:r w:rsidRPr="001A7B20">
              <w:t>1.</w:t>
            </w:r>
            <w:r w:rsidRPr="001A7B20">
              <w:tab/>
              <w:t>Determine rigging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List2"/>
            </w:pPr>
            <w:r w:rsidRPr="001A7B20">
              <w:t>1.1.</w:t>
            </w:r>
            <w:r w:rsidRPr="001A7B20">
              <w:tab/>
              <w:t xml:space="preserve">Correctly interpret technical production requirements to determine </w:t>
            </w:r>
            <w:r w:rsidRPr="001A7B20">
              <w:rPr>
                <w:rStyle w:val="BoldandItalics"/>
              </w:rPr>
              <w:t>rigging requirements</w:t>
            </w:r>
            <w:r w:rsidRPr="001A7B20">
              <w:t xml:space="preserve"> and their impact on other aspects of work</w:t>
            </w:r>
          </w:p>
          <w:p w:rsidR="00000000" w:rsidRPr="001A7B20" w:rsidP="001A7B20">
            <w:pPr>
              <w:pStyle w:val="List2"/>
            </w:pPr>
            <w:r w:rsidRPr="001A7B20">
              <w:t>1.2.</w:t>
            </w:r>
            <w:r w:rsidRPr="001A7B20">
              <w:tab/>
              <w:t xml:space="preserve">Liaise with </w:t>
            </w:r>
            <w:r w:rsidRPr="001A7B20">
              <w:rPr>
                <w:rStyle w:val="BoldandItalics"/>
              </w:rPr>
              <w:t>licens</w:t>
            </w:r>
            <w:r w:rsidRPr="001A7B20">
              <w:rPr>
                <w:rStyle w:val="BoldandItalics"/>
              </w:rPr>
              <w:t>ed riggers</w:t>
            </w:r>
            <w:r w:rsidRPr="001A7B20">
              <w:t xml:space="preserve"> where required to confirm production requirements in relation to </w:t>
            </w:r>
            <w:r w:rsidRPr="001A7B20">
              <w:rPr>
                <w:rStyle w:val="BoldandItalics"/>
              </w:rPr>
              <w:t>rigging</w:t>
            </w:r>
          </w:p>
          <w:p w:rsidR="00000000" w:rsidRPr="001A7B20" w:rsidP="001A7B20">
            <w:pPr>
              <w:pStyle w:val="List2"/>
            </w:pPr>
            <w:r w:rsidRPr="001A7B20">
              <w:t>1.3.</w:t>
            </w:r>
            <w:r w:rsidRPr="001A7B20">
              <w:tab/>
              <w:t>Correctly identify rigging-related tasks that may be completed by unlicensed personnel and those who require specialist assistance</w:t>
            </w:r>
          </w:p>
          <w:p w:rsidR="00000000" w:rsidP="001A7B20">
            <w:pPr>
              <w:pStyle w:val="List2"/>
              <w:rPr>
                <w:lang w:val="en-NZ"/>
              </w:rPr>
            </w:pPr>
            <w:r w:rsidRPr="001A7B20">
              <w:t>1.4.</w:t>
            </w:r>
            <w:r w:rsidRPr="001A7B20">
              <w:tab/>
            </w:r>
            <w:r w:rsidRPr="001A7B20">
              <w:t>Plan work appropriately in consultation with riggers to ensure smooth flow of work and efficient set up</w:t>
            </w:r>
          </w:p>
        </w:tc>
      </w:tr>
      <w:tr w:rsidTr="007E6D26">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List"/>
              <w:rPr>
                <w:lang w:val="en-NZ"/>
              </w:rPr>
            </w:pPr>
            <w:r w:rsidRPr="001A7B20">
              <w:t>2.</w:t>
            </w:r>
            <w:r w:rsidRPr="001A7B20">
              <w:tab/>
              <w:t>Complete rigging related tasks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List2"/>
            </w:pPr>
            <w:r w:rsidRPr="001A7B20">
              <w:t>2.1.</w:t>
            </w:r>
            <w:r w:rsidRPr="001A7B20">
              <w:tab/>
              <w:t>Complete tasks associated with rigging under direction and supervision of a licensed rigger</w:t>
            </w:r>
          </w:p>
          <w:p w:rsidR="00000000" w:rsidRPr="001A7B20" w:rsidP="001A7B20">
            <w:pPr>
              <w:pStyle w:val="List2"/>
            </w:pPr>
            <w:r w:rsidRPr="001A7B20">
              <w:t>2.2.</w:t>
            </w:r>
            <w:r w:rsidRPr="001A7B20">
              <w:tab/>
              <w:t>Use correct tec</w:t>
            </w:r>
            <w:r w:rsidRPr="001A7B20">
              <w:t>hniques to complete rigging-related tasks</w:t>
            </w:r>
          </w:p>
          <w:p w:rsidR="00000000" w:rsidRPr="001A7B20" w:rsidP="001A7B20">
            <w:pPr>
              <w:pStyle w:val="List2"/>
            </w:pPr>
            <w:r w:rsidRPr="001A7B20">
              <w:t>2.3.</w:t>
            </w:r>
            <w:r w:rsidRPr="001A7B20">
              <w:tab/>
              <w:t>Ensure that work is inspected by licensed rigger in accordance with safety and licensing regulations</w:t>
            </w: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9" w:name="O_70475"/>
      <w:bookmarkEnd w:id="9"/>
      <w:r w:rsidRPr="001A7B20">
        <w:t>Required Skills and Knowledge</w:t>
      </w:r>
    </w:p>
    <w:tbl>
      <w:tblPr>
        <w:tblW w:w="0" w:type="auto"/>
        <w:tblLayout w:type="fixed"/>
        <w:tblCellMar>
          <w:left w:w="62" w:type="dxa"/>
          <w:right w:w="62" w:type="dxa"/>
        </w:tblCellMar>
        <w:tblLook w:val="0000"/>
      </w:tblPr>
      <w:tblGrid>
        <w:gridCol w:w="8522"/>
      </w:tblGrid>
      <w:tr w:rsidTr="007E6D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REQUIRED SKILLS AND KNOWLEDGE</w:t>
            </w:r>
          </w:p>
        </w:tc>
      </w:tr>
      <w:tr w:rsidTr="007E6D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t>This section describes the skills and knowledge required for this unit.</w:t>
            </w:r>
          </w:p>
        </w:tc>
      </w:tr>
      <w:tr w:rsidTr="007E6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Required skills</w:t>
            </w:r>
          </w:p>
        </w:tc>
      </w:tr>
      <w:tr w:rsidTr="007E6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ListBullet"/>
            </w:pPr>
            <w:r w:rsidRPr="001A7B20">
              <w:t>literacy skills sufficient to read instructions for safety equipment</w:t>
            </w:r>
          </w:p>
          <w:p w:rsidR="00000000" w:rsidP="001A7B20">
            <w:pPr>
              <w:pStyle w:val="ListBullet"/>
              <w:rPr>
                <w:lang w:val="en-NZ"/>
              </w:rPr>
            </w:pPr>
            <w:r w:rsidRPr="001A7B20">
              <w:t>numeracy skills sufficient to understand the equipment calculations associated with rigging</w:t>
            </w:r>
          </w:p>
        </w:tc>
      </w:tr>
      <w:tr w:rsidTr="007E6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Required knowledge</w:t>
            </w:r>
          </w:p>
        </w:tc>
      </w:tr>
      <w:tr w:rsidTr="007E6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ListBullet"/>
            </w:pPr>
            <w:r w:rsidRPr="001A7B20">
              <w:t>the definition of rigging, different levels of rigging and its use in the entertainment industry</w:t>
            </w:r>
          </w:p>
          <w:p w:rsidR="00000000" w:rsidRPr="001A7B20" w:rsidP="001A7B20">
            <w:pPr>
              <w:pStyle w:val="ListBullet"/>
            </w:pPr>
            <w:r w:rsidRPr="001A7B20">
              <w:t>safety equipment and how this is used, including harnesses and fall arresters</w:t>
            </w:r>
          </w:p>
          <w:p w:rsidR="00000000" w:rsidRPr="001A7B20" w:rsidP="001A7B20">
            <w:pPr>
              <w:pStyle w:val="ListBullet"/>
            </w:pPr>
            <w:r w:rsidRPr="001A7B20">
              <w:t>hoists (different types) and why and how they are used in an</w:t>
            </w:r>
            <w:r w:rsidRPr="001A7B20">
              <w:t xml:space="preserve"> entertainment context</w:t>
            </w:r>
          </w:p>
          <w:p w:rsidR="00000000" w:rsidRPr="001A7B20" w:rsidP="001A7B20">
            <w:pPr>
              <w:pStyle w:val="ListBullet"/>
            </w:pPr>
            <w:r w:rsidRPr="001A7B20">
              <w:t>the features of spansets and their uses in an entertainment context</w:t>
            </w:r>
          </w:p>
          <w:p w:rsidR="00000000" w:rsidRPr="001A7B20" w:rsidP="001A7B20">
            <w:pPr>
              <w:pStyle w:val="ListBullet"/>
            </w:pPr>
            <w:r w:rsidRPr="001A7B20">
              <w:t>trusses and correct and safe ways of using them</w:t>
            </w:r>
          </w:p>
          <w:p w:rsidR="00000000" w:rsidRPr="001A7B20" w:rsidP="001A7B20">
            <w:pPr>
              <w:pStyle w:val="ListBullet"/>
            </w:pPr>
            <w:r w:rsidRPr="001A7B20">
              <w:t>the importance of weights, loads and counterweights, and how these are calculated</w:t>
            </w:r>
          </w:p>
          <w:p w:rsidR="00000000" w:rsidRPr="001A7B20" w:rsidP="001A7B20">
            <w:pPr>
              <w:pStyle w:val="ListBullet"/>
            </w:pPr>
            <w:r w:rsidRPr="001A7B20">
              <w:t>shackles and other fittings and the</w:t>
            </w:r>
            <w:r w:rsidRPr="001A7B20">
              <w:t>ir uses in theatrical rigging</w:t>
            </w:r>
          </w:p>
          <w:p w:rsidR="00000000" w:rsidRPr="001A7B20" w:rsidP="001A7B20">
            <w:pPr>
              <w:pStyle w:val="ListBullet"/>
            </w:pPr>
            <w:r w:rsidRPr="001A7B20">
              <w:t>the regulatory limitations on the role of technical production personnel in relation to rigging, and the types of tasks which must be undertaken by a licensed rigger</w:t>
            </w: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10" w:name="O_70476"/>
      <w:bookmarkEnd w:id="10"/>
      <w:r w:rsidRPr="001A7B20">
        <w:t>Evidence Guide</w:t>
      </w:r>
    </w:p>
    <w:tbl>
      <w:tblPr>
        <w:tblW w:w="9570" w:type="dxa"/>
        <w:tblLayout w:type="fixed"/>
        <w:tblCellMar>
          <w:left w:w="62" w:type="dxa"/>
          <w:right w:w="62" w:type="dxa"/>
        </w:tblCellMar>
        <w:tblLook w:val="0000"/>
      </w:tblPr>
      <w:tblGrid>
        <w:gridCol w:w="3908"/>
        <w:gridCol w:w="5662"/>
      </w:tblGrid>
      <w:tr w:rsidTr="007E6D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EVIDENCE GUIDE</w:t>
            </w:r>
          </w:p>
        </w:tc>
      </w:tr>
      <w:tr w:rsidTr="007E6D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t>The Evidence Guide provides advice on assessment and must be read in conjunction with the performance criteria, required skills and knowledge, range statement and the Assessment Guidelines for the Training Package.</w:t>
            </w:r>
          </w:p>
        </w:tc>
      </w:tr>
      <w:tr w:rsidTr="007E6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p>
        </w:tc>
      </w:tr>
      <w:tr w:rsidTr="007E6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The following evidence is critical to the judgement of competence in this unit:</w:t>
            </w:r>
          </w:p>
          <w:p w:rsidR="00000000" w:rsidRPr="001A7B20" w:rsidP="001A7B20">
            <w:pPr>
              <w:pStyle w:val="ListBullet"/>
            </w:pPr>
            <w:r w:rsidRPr="001A7B20">
              <w:t>knowledge of rigging in an entertainment context</w:t>
            </w:r>
          </w:p>
          <w:p w:rsidR="00000000" w:rsidP="001A7B20">
            <w:pPr>
              <w:pStyle w:val="ListBullet"/>
              <w:rPr>
                <w:lang w:val="en-NZ"/>
              </w:rPr>
            </w:pPr>
            <w:r w:rsidRPr="001A7B20">
              <w:t>knowledge of regulations in relat</w:t>
            </w:r>
            <w:r w:rsidRPr="001A7B20">
              <w:t>ion to the licensing of riggers and the limitations on the type of work that can be undertaken by unlicensed personnel.</w:t>
            </w:r>
          </w:p>
        </w:tc>
      </w:tr>
      <w:tr w:rsidTr="007E6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The assessment context must ensure:</w:t>
            </w:r>
          </w:p>
          <w:p w:rsidR="00000000" w:rsidP="001A7B20">
            <w:pPr>
              <w:pStyle w:val="ListBullet"/>
              <w:rPr>
                <w:lang w:val="en-NZ"/>
              </w:rPr>
            </w:pPr>
            <w:r w:rsidRPr="001A7B20">
              <w:t>application of knowledge to specific technical pr</w:t>
            </w:r>
            <w:r w:rsidRPr="001A7B20">
              <w:t>oduction situations.</w:t>
            </w:r>
          </w:p>
        </w:tc>
      </w:tr>
      <w:tr w:rsidTr="007E6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Assessment may incorporate a range of methods to assess performance and the application of essential underpinning knowledge, and might include:</w:t>
            </w:r>
          </w:p>
          <w:p w:rsidR="00000000" w:rsidRPr="001A7B20" w:rsidP="001A7B20">
            <w:pPr>
              <w:pStyle w:val="ListBullet"/>
            </w:pPr>
            <w:r w:rsidRPr="001A7B20">
              <w:t xml:space="preserve">case studies and problem solving to assess application of knowledge </w:t>
            </w:r>
            <w:r w:rsidRPr="001A7B20">
              <w:t>to different technical situations</w:t>
            </w:r>
          </w:p>
          <w:p w:rsidR="00000000" w:rsidRPr="001A7B20" w:rsidP="001A7B20">
            <w:pPr>
              <w:pStyle w:val="ListBullet"/>
            </w:pPr>
            <w:r w:rsidRPr="001A7B20">
              <w:t>oral or written questioning to assess knowledge of rigging techniques and safety issues</w:t>
            </w:r>
          </w:p>
          <w:p w:rsidR="00000000" w:rsidRPr="001A7B20" w:rsidP="001A7B20">
            <w:pPr>
              <w:pStyle w:val="ListBullet"/>
            </w:pPr>
            <w:r w:rsidRPr="001A7B20">
              <w:t>review of portfolios of evidence and third party workplace reports of on-the-job performance by the candidate.</w:t>
            </w:r>
          </w:p>
          <w:p w:rsidR="00000000" w:rsidRPr="001A7B20" w:rsidP="001A7B20">
            <w:pPr>
              <w:pStyle w:val="BodyText"/>
            </w:pPr>
          </w:p>
          <w:p w:rsidR="00000000" w:rsidP="001A7B20">
            <w:pPr>
              <w:pStyle w:val="BodyText"/>
              <w:rPr>
                <w:lang w:val="en-NZ"/>
              </w:rPr>
            </w:pPr>
            <w:r w:rsidRPr="001A7B20">
              <w:t>Assessment methods should closely reflect workplace demands and the needs of particular groups (e.g. people with disabilities, and people who may have literacy or numeracy difficulties such as speakers of languages other than English, remote communities an</w:t>
            </w:r>
            <w:r w:rsidRPr="001A7B20">
              <w:t>d those with interrupted schooling).</w:t>
            </w:r>
          </w:p>
        </w:tc>
      </w:tr>
      <w:tr w:rsidTr="007E6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Assessment of this unit requires access to:</w:t>
            </w:r>
          </w:p>
          <w:p w:rsidR="00000000" w:rsidRPr="001A7B20" w:rsidP="001A7B20">
            <w:pPr>
              <w:pStyle w:val="ListBullet"/>
            </w:pPr>
            <w:r w:rsidRPr="001A7B20">
              <w:t>Australian standards regarding rigging and scaffolding certification</w:t>
            </w:r>
          </w:p>
          <w:p w:rsidR="00000000" w:rsidRPr="001A7B20" w:rsidP="001A7B20">
            <w:pPr>
              <w:pStyle w:val="ListBullet"/>
            </w:pPr>
            <w:r w:rsidRPr="001A7B20">
              <w:t>rigging equipment and materials</w:t>
            </w:r>
          </w:p>
          <w:p w:rsidR="00000000" w:rsidRPr="001A7B20" w:rsidP="001A7B20">
            <w:pPr>
              <w:pStyle w:val="ListBullet"/>
            </w:pPr>
            <w:r w:rsidRPr="001A7B20">
              <w:t>venue where rigging is constructed.</w:t>
            </w: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11" w:name="O_70477"/>
      <w:bookmarkEnd w:id="11"/>
      <w:r w:rsidRPr="001A7B20">
        <w:t>Range Statement</w:t>
      </w:r>
    </w:p>
    <w:tbl>
      <w:tblPr>
        <w:tblW w:w="0" w:type="auto"/>
        <w:tblLayout w:type="fixed"/>
        <w:tblCellMar>
          <w:left w:w="62" w:type="dxa"/>
          <w:right w:w="62" w:type="dxa"/>
        </w:tblCellMar>
        <w:tblLook w:val="0000"/>
      </w:tblPr>
      <w:tblGrid>
        <w:gridCol w:w="3500"/>
        <w:gridCol w:w="5022"/>
      </w:tblGrid>
      <w:tr w:rsidTr="007E6D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RANGE STATEMENT</w:t>
            </w:r>
          </w:p>
        </w:tc>
      </w:tr>
      <w:tr w:rsidTr="007E6D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t xml:space="preserve">The range statement relates to the unit of competency as a whole. It allows for different work environments and situations that may affect </w:t>
            </w:r>
            <w:r w:rsidRPr="001A7B20">
              <w:t>performance. Bold italicised wording, if used in the performance criteria, is detailed below. Essential operating conditions that may be present with training and assessment (depending on the work situation, needs of the candidate, accessibility of the ite</w:t>
            </w:r>
            <w:r w:rsidRPr="001A7B20">
              <w:t>m, and local industry and regional contexts) may also be included.</w:t>
            </w:r>
          </w:p>
        </w:tc>
      </w:tr>
      <w:tr w:rsidTr="007E6D2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BoldandItalics"/>
              </w:rPr>
              <w:t>Rigging requirements</w:t>
            </w:r>
            <w:r w:rsidRPr="001A7B20">
              <w:t xml:space="preserve"> may relate to one or more of the following:</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ListBullet"/>
            </w:pPr>
            <w:r w:rsidRPr="001A7B20">
              <w:t xml:space="preserve">audio </w:t>
            </w:r>
          </w:p>
          <w:p w:rsidR="00000000" w:rsidRPr="001A7B20" w:rsidP="001A7B20">
            <w:pPr>
              <w:pStyle w:val="ListBullet"/>
            </w:pPr>
            <w:r w:rsidRPr="001A7B20">
              <w:t>lighting</w:t>
            </w:r>
          </w:p>
          <w:p w:rsidR="00000000" w:rsidRPr="001A7B20" w:rsidP="001A7B20">
            <w:pPr>
              <w:pStyle w:val="ListBullet"/>
            </w:pPr>
            <w:r w:rsidRPr="001A7B20">
              <w:t>set construction</w:t>
            </w:r>
          </w:p>
          <w:p w:rsidR="00000000" w:rsidRPr="001A7B20" w:rsidP="001A7B20">
            <w:pPr>
              <w:pStyle w:val="ListBullet"/>
            </w:pPr>
            <w:r w:rsidRPr="001A7B20">
              <w:t xml:space="preserve">staging </w:t>
            </w:r>
          </w:p>
          <w:p w:rsidR="00000000" w:rsidP="001A7B20">
            <w:pPr>
              <w:pStyle w:val="ListBullet"/>
              <w:rPr>
                <w:lang w:val="en-NZ"/>
              </w:rPr>
            </w:pPr>
            <w:r w:rsidRPr="001A7B20">
              <w:t>vision systems</w:t>
            </w:r>
          </w:p>
        </w:tc>
      </w:tr>
      <w:tr w:rsidTr="007E6D2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BoldandItalics"/>
              </w:rPr>
              <w:t>Licensed riggers</w:t>
            </w:r>
            <w:r w:rsidRPr="001A7B20">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ListBullet"/>
            </w:pPr>
            <w:r w:rsidRPr="001A7B20">
              <w:t>contract labour</w:t>
            </w:r>
          </w:p>
          <w:p w:rsidR="00000000" w:rsidP="001A7B20">
            <w:pPr>
              <w:pStyle w:val="ListBullet"/>
              <w:rPr>
                <w:lang w:val="en-NZ"/>
              </w:rPr>
            </w:pPr>
            <w:r w:rsidRPr="001A7B20">
              <w:t>fellow employees</w:t>
            </w:r>
          </w:p>
        </w:tc>
      </w:tr>
      <w:tr w:rsidTr="007E6D26">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BoldandItalics"/>
              </w:rPr>
              <w:t>Rigging</w:t>
            </w:r>
            <w:r w:rsidRPr="001A7B20">
              <w:t xml:space="preserve"> related tasks that may be undertaken by unlicensed personnel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ListBullet"/>
            </w:pPr>
            <w:r w:rsidRPr="001A7B20">
              <w:t>application of fibre and wire rope</w:t>
            </w:r>
          </w:p>
          <w:p w:rsidR="00000000" w:rsidRPr="001A7B20" w:rsidP="001A7B20">
            <w:pPr>
              <w:pStyle w:val="ListBullet"/>
            </w:pPr>
            <w:r w:rsidRPr="001A7B20">
              <w:t>assembling flying units</w:t>
            </w:r>
          </w:p>
          <w:p w:rsidR="00000000" w:rsidRPr="001A7B20" w:rsidP="001A7B20">
            <w:pPr>
              <w:pStyle w:val="ListBullet"/>
            </w:pPr>
            <w:r w:rsidRPr="001A7B20">
              <w:t>assembling truss</w:t>
            </w:r>
          </w:p>
          <w:p w:rsidR="00000000" w:rsidRPr="001A7B20" w:rsidP="001A7B20">
            <w:pPr>
              <w:pStyle w:val="ListBullet"/>
            </w:pPr>
            <w:r w:rsidRPr="001A7B20">
              <w:t>attachment of soft fittings</w:t>
            </w:r>
          </w:p>
          <w:p w:rsidR="00000000" w:rsidRPr="001A7B20" w:rsidP="001A7B20">
            <w:pPr>
              <w:pStyle w:val="ListBullet"/>
            </w:pPr>
            <w:r w:rsidRPr="001A7B20">
              <w:t xml:space="preserve">communication as applicable to flying operation </w:t>
            </w:r>
          </w:p>
          <w:p w:rsidR="00000000" w:rsidRPr="001A7B20" w:rsidP="001A7B20">
            <w:pPr>
              <w:pStyle w:val="ListBullet"/>
            </w:pPr>
            <w:r w:rsidRPr="001A7B20">
              <w:t>tying knots</w:t>
            </w:r>
          </w:p>
          <w:p w:rsidR="00000000" w:rsidRPr="001A7B20" w:rsidP="001A7B20">
            <w:pPr>
              <w:pStyle w:val="ListBullet"/>
            </w:pPr>
            <w:r w:rsidRPr="001A7B20">
              <w:t>use of s</w:t>
            </w:r>
            <w:r w:rsidRPr="001A7B20">
              <w:t>hackles, trim chains, turnbuckles, screweyes</w:t>
            </w:r>
          </w:p>
          <w:p w:rsidR="00000000" w:rsidRPr="001A7B20" w:rsidP="001A7B20">
            <w:pPr>
              <w:pStyle w:val="BodyText"/>
            </w:pPr>
          </w:p>
          <w:p w:rsidR="00000000" w:rsidRPr="001A7B20" w:rsidP="001A7B20">
            <w:pPr>
              <w:pStyle w:val="BodyText"/>
            </w:pPr>
            <w:r w:rsidRPr="001A7B20">
              <w:t>Rigging related tasks that may be undertaken by unlicensed personnel do not include work that involves hanging hoists, using of lifting equipment or slinging of spansets.</w:t>
            </w:r>
          </w:p>
        </w:tc>
      </w:tr>
    </w:tbl>
    <w:p w:rsidR="007E6D26" w:rsidP="001A7B20">
      <w:pPr>
        <w:pStyle w:val="BodyText"/>
      </w:pPr>
    </w:p>
    <w:p w:rsidR="007E6D26" w:rsidP="001A7B20">
      <w:pPr>
        <w:pStyle w:val="BodyText"/>
      </w:pPr>
    </w:p>
    <w:p w:rsidR="00000000" w:rsidRPr="001A7B20" w:rsidP="001A7B20">
      <w:pPr>
        <w:pStyle w:val="Heading1"/>
      </w:pPr>
      <w:bookmarkStart w:id="12" w:name="O_70478"/>
      <w:bookmarkEnd w:id="12"/>
      <w:r w:rsidRPr="001A7B20">
        <w:t>Unit Sector(s)</w:t>
      </w:r>
    </w:p>
    <w:tbl>
      <w:tblPr>
        <w:tblW w:w="0" w:type="auto"/>
        <w:tblLayout w:type="fixed"/>
        <w:tblCellMar>
          <w:left w:w="62" w:type="dxa"/>
          <w:right w:w="62" w:type="dxa"/>
        </w:tblCellMar>
        <w:tblLook w:val="0000"/>
      </w:tblPr>
      <w:tblGrid>
        <w:gridCol w:w="2654"/>
        <w:gridCol w:w="5868"/>
      </w:tblGrid>
      <w:tr w:rsidTr="007E6D2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13" w:name="O_155037"/>
      <w:bookmarkEnd w:id="13"/>
      <w:r w:rsidRPr="001A7B20">
        <w:t>Competency field</w:t>
      </w:r>
    </w:p>
    <w:tbl>
      <w:tblPr>
        <w:tblW w:w="0" w:type="auto"/>
        <w:tblLayout w:type="fixed"/>
        <w:tblCellMar>
          <w:left w:w="62" w:type="dxa"/>
          <w:right w:w="62" w:type="dxa"/>
        </w:tblCellMar>
        <w:tblLook w:val="0000"/>
      </w:tblPr>
      <w:tblGrid>
        <w:gridCol w:w="2778"/>
        <w:gridCol w:w="5744"/>
      </w:tblGrid>
      <w:tr w:rsidTr="007E6D2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r w:rsidRPr="001A7B20">
              <w:t>Media and entertainment production - staging</w:t>
            </w:r>
          </w:p>
        </w:tc>
      </w:tr>
    </w:tbl>
    <w:p w:rsidR="00000000" w:rsidRPr="001A7B20" w:rsidP="001A7B20">
      <w:pPr>
        <w:pStyle w:val="BodyText"/>
      </w:pPr>
    </w:p>
    <w:p w:rsidR="00000000" w:rsidRPr="001A7B20" w:rsidP="001A7B20">
      <w:pPr>
        <w:pStyle w:val="AllowPageBreak"/>
      </w:pPr>
    </w:p>
    <w:p w:rsidR="00000000" w:rsidRPr="001A7B20" w:rsidP="001A7B20">
      <w:pPr>
        <w:pStyle w:val="Heading1"/>
      </w:pPr>
      <w:bookmarkStart w:id="14" w:name="O_155036"/>
      <w:bookmarkEnd w:id="14"/>
      <w:r w:rsidRPr="001A7B20">
        <w:t>Co-requisite units</w:t>
      </w:r>
    </w:p>
    <w:tbl>
      <w:tblPr>
        <w:tblW w:w="0" w:type="auto"/>
        <w:tblLayout w:type="fixed"/>
        <w:tblCellMar>
          <w:left w:w="62" w:type="dxa"/>
          <w:right w:w="62" w:type="dxa"/>
        </w:tblCellMar>
        <w:tblLook w:val="0000"/>
      </w:tblPr>
      <w:tblGrid>
        <w:gridCol w:w="2641"/>
        <w:gridCol w:w="1322"/>
        <w:gridCol w:w="4559"/>
      </w:tblGrid>
      <w:tr w:rsidTr="007E6D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r w:rsidRPr="001A7B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p>
        </w:tc>
      </w:tr>
      <w:tr w:rsidTr="007E6D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7B20">
            <w:pPr>
              <w:pStyle w:val="BodyText"/>
              <w:rPr>
                <w:lang w:val="en-NZ"/>
              </w:rPr>
            </w:pPr>
          </w:p>
        </w:tc>
      </w:tr>
      <w:tr w:rsidTr="007E6D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7B20" w:rsidP="001A7B20">
            <w:pPr>
              <w:pStyle w:val="BodyText"/>
            </w:pPr>
          </w:p>
        </w:tc>
      </w:tr>
    </w:tbl>
    <w:p w:rsidR="00000000" w:rsidRPr="001A7B20" w:rsidP="001A7B20">
      <w:pPr>
        <w:pStyle w:val="BodyText"/>
      </w:pPr>
    </w:p>
    <w:p w:rsidR="00000000" w:rsidRPr="001A7B20" w:rsidP="001A7B20"/>
    <w:sectPr w:rsidSect="001A7B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D26" w:rsidP="007E6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26" w:rsidP="001A7B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6D26" w:rsidP="001A7B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6D26" w:rsidP="001A7B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6D26" w:rsidP="007E6D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D26" w:rsidP="001A7B20">
    <w:pPr>
      <w:pStyle w:val="Header"/>
      <w:framePr w:wrap="around"/>
    </w:pPr>
    <w:r>
      <w:fldChar w:fldCharType="begin"/>
    </w:r>
    <w:r>
      <w:instrText xml:space="preserve"> TITLE   \* MERGEFORMAT </w:instrText>
    </w:r>
    <w:r>
      <w:fldChar w:fldCharType="separate"/>
    </w:r>
    <w:r>
      <w:t>CUESTA06B Apply a general knowledge of theatrical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6D26" w:rsidP="001A7B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FE5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32F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B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7B20"/>
    <w:pPr>
      <w:spacing w:before="360" w:after="60"/>
      <w:outlineLvl w:val="0"/>
    </w:pPr>
    <w:rPr>
      <w:sz w:val="32"/>
    </w:rPr>
  </w:style>
  <w:style w:type="paragraph" w:styleId="Heading2">
    <w:name w:val="heading 2"/>
    <w:basedOn w:val="HeadingBase"/>
    <w:next w:val="BodyText"/>
    <w:link w:val="Heading2Char"/>
    <w:qFormat/>
    <w:rsid w:val="001A7B20"/>
    <w:pPr>
      <w:keepLines/>
      <w:spacing w:before="240" w:after="120"/>
      <w:outlineLvl w:val="1"/>
    </w:pPr>
    <w:rPr>
      <w:sz w:val="28"/>
      <w:szCs w:val="40"/>
    </w:rPr>
  </w:style>
  <w:style w:type="paragraph" w:styleId="Heading3">
    <w:name w:val="heading 3"/>
    <w:basedOn w:val="HeadingBase"/>
    <w:next w:val="BodyText"/>
    <w:link w:val="Heading3Char"/>
    <w:qFormat/>
    <w:rsid w:val="001A7B20"/>
    <w:pPr>
      <w:spacing w:before="180" w:after="120"/>
      <w:outlineLvl w:val="2"/>
    </w:pPr>
    <w:rPr>
      <w:spacing w:val="-10"/>
      <w:kern w:val="32"/>
    </w:rPr>
  </w:style>
  <w:style w:type="paragraph" w:styleId="Heading4">
    <w:name w:val="heading 4"/>
    <w:basedOn w:val="HeadingBase"/>
    <w:next w:val="BodyText"/>
    <w:link w:val="Heading4Char"/>
    <w:qFormat/>
    <w:rsid w:val="001A7B20"/>
    <w:pPr>
      <w:spacing w:before="160" w:after="120"/>
      <w:outlineLvl w:val="3"/>
    </w:pPr>
    <w:rPr>
      <w:sz w:val="22"/>
    </w:rPr>
  </w:style>
  <w:style w:type="paragraph" w:styleId="Heading5">
    <w:name w:val="heading 5"/>
    <w:basedOn w:val="HeadingBase"/>
    <w:next w:val="Normal"/>
    <w:link w:val="Heading5Char"/>
    <w:qFormat/>
    <w:rsid w:val="001A7B20"/>
    <w:pPr>
      <w:spacing w:before="80"/>
      <w:outlineLvl w:val="4"/>
    </w:pPr>
    <w:rPr>
      <w:color w:val="918585"/>
      <w:sz w:val="20"/>
    </w:rPr>
  </w:style>
  <w:style w:type="paragraph" w:styleId="Heading6">
    <w:name w:val="heading 6"/>
    <w:basedOn w:val="HeadingBase"/>
    <w:next w:val="Normal"/>
    <w:link w:val="Heading6Char"/>
    <w:qFormat/>
    <w:rsid w:val="001A7B20"/>
    <w:pPr>
      <w:spacing w:before="60"/>
      <w:outlineLvl w:val="5"/>
    </w:pPr>
    <w:rPr>
      <w:color w:val="918585"/>
      <w:sz w:val="20"/>
    </w:rPr>
  </w:style>
  <w:style w:type="paragraph" w:styleId="Heading7">
    <w:name w:val="heading 7"/>
    <w:basedOn w:val="Normal"/>
    <w:next w:val="Normal"/>
    <w:link w:val="Heading7Char"/>
    <w:qFormat/>
    <w:rsid w:val="001A7B20"/>
    <w:pPr>
      <w:ind w:left="720"/>
      <w:outlineLvl w:val="6"/>
    </w:pPr>
    <w:rPr>
      <w:i/>
    </w:rPr>
  </w:style>
  <w:style w:type="paragraph" w:styleId="Heading8">
    <w:name w:val="heading 8"/>
    <w:basedOn w:val="Normal"/>
    <w:next w:val="Normal"/>
    <w:link w:val="Heading8Char"/>
    <w:qFormat/>
    <w:rsid w:val="001A7B20"/>
    <w:pPr>
      <w:ind w:left="720"/>
      <w:outlineLvl w:val="7"/>
    </w:pPr>
    <w:rPr>
      <w:i/>
    </w:rPr>
  </w:style>
  <w:style w:type="paragraph" w:styleId="Heading9">
    <w:name w:val="heading 9"/>
    <w:basedOn w:val="Normal"/>
    <w:next w:val="Normal"/>
    <w:link w:val="Heading9Char"/>
    <w:qFormat/>
    <w:rsid w:val="001A7B20"/>
    <w:pPr>
      <w:ind w:left="720"/>
      <w:outlineLvl w:val="8"/>
    </w:pPr>
    <w:rPr>
      <w:i/>
    </w:rPr>
  </w:style>
  <w:style w:type="character" w:default="1" w:styleId="DefaultParagraphFont">
    <w:name w:val="Default Paragraph Font"/>
    <w:uiPriority w:val="1"/>
    <w:unhideWhenUsed/>
    <w:rsid w:val="001A7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B20"/>
  </w:style>
  <w:style w:type="character" w:customStyle="1" w:styleId="Heading1Char">
    <w:name w:val="Heading 1 Char"/>
    <w:basedOn w:val="DefaultParagraphFont"/>
    <w:link w:val="Heading1"/>
    <w:rsid w:val="001A7B20"/>
    <w:rPr>
      <w:rFonts w:ascii="Times New Roman" w:eastAsia="Times New Roman" w:hAnsi="Times New Roman" w:cs="Times New Roman"/>
      <w:b/>
      <w:sz w:val="32"/>
      <w:szCs w:val="20"/>
      <w:lang w:eastAsia="en-US"/>
    </w:rPr>
  </w:style>
  <w:style w:type="paragraph" w:styleId="BodyText">
    <w:name w:val="Body Text"/>
    <w:basedOn w:val="Normal"/>
    <w:link w:val="BodyTextChar"/>
    <w:rsid w:val="001A7B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B20"/>
    <w:rPr>
      <w:rFonts w:ascii="Times New Roman" w:eastAsia="Times New Roman" w:hAnsi="Times New Roman" w:cs="Times New Roman"/>
      <w:sz w:val="24"/>
      <w:lang w:val="en-US" w:eastAsia="en-US"/>
    </w:rPr>
  </w:style>
  <w:style w:type="paragraph" w:styleId="Footer">
    <w:name w:val="footer"/>
    <w:basedOn w:val="Normal"/>
    <w:link w:val="FooterChar"/>
    <w:rsid w:val="001A7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B20"/>
    <w:rPr>
      <w:rFonts w:ascii="Times New Roman" w:eastAsia="Times New Roman" w:hAnsi="Times New Roman" w:cs="Times New Roman"/>
      <w:sz w:val="16"/>
      <w:lang w:val="en-US" w:eastAsia="en-US"/>
    </w:rPr>
  </w:style>
  <w:style w:type="paragraph" w:styleId="List">
    <w:name w:val="List"/>
    <w:basedOn w:val="BodyText"/>
    <w:next w:val="BodyText"/>
    <w:rsid w:val="001A7B20"/>
    <w:pPr>
      <w:tabs>
        <w:tab w:val="left" w:pos="340"/>
      </w:tabs>
      <w:spacing w:before="60" w:after="60"/>
      <w:ind w:left="340" w:hanging="340"/>
    </w:pPr>
  </w:style>
  <w:style w:type="paragraph" w:styleId="ListBullet">
    <w:name w:val="List Bullet"/>
    <w:basedOn w:val="List"/>
    <w:rsid w:val="001A7B20"/>
    <w:pPr>
      <w:numPr>
        <w:numId w:val="12"/>
      </w:numPr>
      <w:tabs>
        <w:tab w:val="clear" w:pos="340"/>
      </w:tabs>
      <w:spacing w:before="40" w:after="40"/>
    </w:pPr>
  </w:style>
  <w:style w:type="character" w:customStyle="1" w:styleId="SpecialBold">
    <w:name w:val="Special Bold"/>
    <w:basedOn w:val="DefaultParagraphFont"/>
    <w:rsid w:val="001A7B20"/>
    <w:rPr>
      <w:b/>
      <w:spacing w:val="0"/>
    </w:rPr>
  </w:style>
  <w:style w:type="paragraph" w:styleId="Header">
    <w:name w:val="header"/>
    <w:basedOn w:val="Normal"/>
    <w:link w:val="HeaderChar"/>
    <w:rsid w:val="001A7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B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7B20"/>
    <w:pPr>
      <w:spacing w:before="240" w:after="120"/>
      <w:outlineLvl w:val="0"/>
    </w:pPr>
    <w:rPr>
      <w:rFonts w:ascii="Times New Roman" w:hAnsi="Times New Roman"/>
      <w:b/>
      <w:sz w:val="28"/>
    </w:rPr>
  </w:style>
  <w:style w:type="paragraph" w:customStyle="1" w:styleId="AllowPageBreak">
    <w:name w:val="AllowPageBreak"/>
    <w:rsid w:val="001A7B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7B20"/>
    <w:pPr>
      <w:tabs>
        <w:tab w:val="left" w:pos="680"/>
      </w:tabs>
      <w:spacing w:before="60" w:after="60"/>
      <w:ind w:left="680" w:hanging="340"/>
    </w:pPr>
  </w:style>
  <w:style w:type="character" w:customStyle="1" w:styleId="BoldandItalics">
    <w:name w:val="Bold and Italics"/>
    <w:qFormat/>
    <w:rsid w:val="001A7B20"/>
    <w:rPr>
      <w:b/>
      <w:i/>
      <w:u w:val="none"/>
    </w:rPr>
  </w:style>
  <w:style w:type="character" w:customStyle="1" w:styleId="Heading2Char">
    <w:name w:val="Heading 2 Char"/>
    <w:basedOn w:val="DefaultParagraphFont"/>
    <w:link w:val="Heading2"/>
    <w:rsid w:val="001A7B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B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B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B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B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7B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7B20"/>
    <w:rPr>
      <w:rFonts w:ascii="Courier New" w:eastAsia="Times New Roman" w:hAnsi="Courier New" w:cs="Times New Roman"/>
      <w:i/>
      <w:szCs w:val="20"/>
      <w:lang w:val="en-US" w:eastAsia="en-US"/>
    </w:rPr>
  </w:style>
  <w:style w:type="paragraph" w:customStyle="1" w:styleId="HeadingBase">
    <w:name w:val="Heading Base"/>
    <w:rsid w:val="001A7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B20"/>
    <w:pPr>
      <w:tabs>
        <w:tab w:val="right" w:leader="dot" w:pos="9072"/>
      </w:tabs>
      <w:ind w:left="567"/>
    </w:pPr>
    <w:rPr>
      <w:szCs w:val="22"/>
    </w:rPr>
  </w:style>
  <w:style w:type="paragraph" w:customStyle="1" w:styleId="TOCBase">
    <w:name w:val="TOC Base"/>
    <w:rsid w:val="001A7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B20"/>
    <w:pPr>
      <w:tabs>
        <w:tab w:val="right" w:leader="dot" w:pos="9072"/>
      </w:tabs>
      <w:spacing w:before="40" w:after="40"/>
      <w:ind w:left="284"/>
    </w:pPr>
    <w:rPr>
      <w:rFonts w:ascii="Times New Roman" w:hAnsi="Times New Roman"/>
    </w:rPr>
  </w:style>
  <w:style w:type="paragraph" w:styleId="TOC1">
    <w:name w:val="toc 1"/>
    <w:basedOn w:val="TOCBase"/>
    <w:next w:val="Normal"/>
    <w:rsid w:val="001A7B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7B20"/>
    <w:pPr>
      <w:spacing w:before="5040"/>
      <w:jc w:val="center"/>
    </w:pPr>
    <w:rPr>
      <w:sz w:val="48"/>
      <w:szCs w:val="72"/>
      <w:lang w:val="en-US"/>
    </w:rPr>
  </w:style>
  <w:style w:type="character" w:customStyle="1" w:styleId="TitleChar">
    <w:name w:val="Title Char"/>
    <w:basedOn w:val="DefaultParagraphFont"/>
    <w:link w:val="Title"/>
    <w:rsid w:val="001A7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B20"/>
    <w:pPr>
      <w:tabs>
        <w:tab w:val="left" w:pos="3600"/>
        <w:tab w:val="left" w:pos="3958"/>
      </w:tabs>
    </w:pPr>
  </w:style>
  <w:style w:type="paragraph" w:customStyle="1" w:styleId="Note">
    <w:name w:val="Note"/>
    <w:basedOn w:val="BodyText"/>
    <w:rsid w:val="001A7B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B20"/>
    <w:pPr>
      <w:framePr w:wrap="auto" w:hAnchor="text" w:y="6049"/>
    </w:pPr>
    <w:rPr>
      <w:color w:val="000000"/>
      <w:sz w:val="40"/>
    </w:rPr>
  </w:style>
  <w:style w:type="paragraph" w:customStyle="1" w:styleId="TOCTitle">
    <w:name w:val="TOCTitle"/>
    <w:basedOn w:val="Heading1"/>
    <w:rsid w:val="001A7B20"/>
    <w:pPr>
      <w:spacing w:after="240"/>
      <w:jc w:val="center"/>
      <w:outlineLvl w:val="9"/>
    </w:pPr>
    <w:rPr>
      <w:caps/>
    </w:rPr>
  </w:style>
  <w:style w:type="paragraph" w:customStyle="1" w:styleId="Version">
    <w:name w:val="Version"/>
    <w:rsid w:val="001A7B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B20"/>
    <w:pPr>
      <w:numPr>
        <w:numId w:val="13"/>
      </w:numPr>
      <w:tabs>
        <w:tab w:val="clear" w:pos="680"/>
      </w:tabs>
    </w:pPr>
  </w:style>
  <w:style w:type="paragraph" w:styleId="Index1">
    <w:name w:val="index 1"/>
    <w:basedOn w:val="Normal"/>
    <w:next w:val="Normal"/>
    <w:semiHidden/>
    <w:rsid w:val="001A7B20"/>
    <w:pPr>
      <w:keepNext w:val="0"/>
      <w:tabs>
        <w:tab w:val="right" w:pos="4176"/>
      </w:tabs>
      <w:ind w:left="198" w:hanging="198"/>
    </w:pPr>
    <w:rPr>
      <w:rFonts w:ascii="Garamond" w:hAnsi="Garamond"/>
    </w:rPr>
  </w:style>
  <w:style w:type="paragraph" w:styleId="IndexHeading">
    <w:name w:val="index heading"/>
    <w:basedOn w:val="Normal"/>
    <w:next w:val="Index1"/>
    <w:semiHidden/>
    <w:rsid w:val="001A7B20"/>
    <w:pPr>
      <w:spacing w:before="120" w:after="120"/>
    </w:pPr>
    <w:rPr>
      <w:rFonts w:ascii="Arial" w:hAnsi="Arial"/>
      <w:b/>
      <w:color w:val="918585"/>
      <w:sz w:val="24"/>
    </w:rPr>
  </w:style>
  <w:style w:type="paragraph" w:customStyle="1" w:styleId="Chapter">
    <w:name w:val="Chapter"/>
    <w:basedOn w:val="Normal"/>
    <w:rsid w:val="001A7B20"/>
    <w:pPr>
      <w:spacing w:before="240"/>
    </w:pPr>
    <w:rPr>
      <w:rFonts w:ascii="Times New Roman" w:hAnsi="Times New Roman"/>
      <w:smallCaps/>
      <w:spacing w:val="80"/>
      <w:sz w:val="28"/>
    </w:rPr>
  </w:style>
  <w:style w:type="paragraph" w:customStyle="1" w:styleId="InChapter">
    <w:name w:val="InChapter"/>
    <w:basedOn w:val="Heading3"/>
    <w:rsid w:val="001A7B20"/>
    <w:pPr>
      <w:spacing w:after="240"/>
      <w:outlineLvl w:val="9"/>
    </w:pPr>
    <w:rPr>
      <w:noProof/>
    </w:rPr>
  </w:style>
  <w:style w:type="paragraph" w:styleId="Index2">
    <w:name w:val="index 2"/>
    <w:basedOn w:val="Normal"/>
    <w:next w:val="Normal"/>
    <w:semiHidden/>
    <w:rsid w:val="001A7B20"/>
    <w:pPr>
      <w:tabs>
        <w:tab w:val="right" w:pos="4176"/>
      </w:tabs>
      <w:ind w:left="568" w:hanging="284"/>
    </w:pPr>
    <w:rPr>
      <w:rFonts w:ascii="Garamond" w:hAnsi="Garamond"/>
    </w:rPr>
  </w:style>
  <w:style w:type="paragraph" w:customStyle="1" w:styleId="Byline">
    <w:name w:val="Byline"/>
    <w:rsid w:val="001A7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B20"/>
    <w:pPr>
      <w:tabs>
        <w:tab w:val="clear" w:pos="3600"/>
        <w:tab w:val="clear" w:pos="3958"/>
      </w:tabs>
      <w:jc w:val="right"/>
    </w:pPr>
  </w:style>
  <w:style w:type="character" w:styleId="Emphasis">
    <w:name w:val="Emphasis"/>
    <w:basedOn w:val="DefaultParagraphFont"/>
    <w:qFormat/>
    <w:rsid w:val="001A7B20"/>
    <w:rPr>
      <w:i/>
    </w:rPr>
  </w:style>
  <w:style w:type="paragraph" w:styleId="Caption">
    <w:name w:val="caption"/>
    <w:basedOn w:val="BodyText"/>
    <w:next w:val="Normal"/>
    <w:qFormat/>
    <w:rsid w:val="001A7B20"/>
    <w:pPr>
      <w:framePr w:w="2268" w:hSpace="181" w:vSpace="181" w:wrap="around" w:vAnchor="text" w:hAnchor="page" w:x="1135" w:y="285" w:anchorLock="1"/>
    </w:pPr>
    <w:rPr>
      <w:i/>
    </w:rPr>
  </w:style>
  <w:style w:type="paragraph" w:customStyle="1" w:styleId="MiniTOCTitle">
    <w:name w:val="MiniTOCTitle"/>
    <w:basedOn w:val="Heading4"/>
    <w:rsid w:val="001A7B20"/>
    <w:pPr>
      <w:spacing w:before="240"/>
      <w:outlineLvl w:val="9"/>
    </w:pPr>
    <w:rPr>
      <w:noProof/>
      <w:sz w:val="24"/>
    </w:rPr>
  </w:style>
  <w:style w:type="paragraph" w:customStyle="1" w:styleId="MiniTOCItem">
    <w:name w:val="MiniTOCItem"/>
    <w:basedOn w:val="ListBullet"/>
    <w:rsid w:val="001A7B20"/>
    <w:pPr>
      <w:numPr>
        <w:numId w:val="0"/>
      </w:numPr>
      <w:tabs>
        <w:tab w:val="right" w:leader="dot" w:pos="6521"/>
      </w:tabs>
      <w:spacing w:before="0" w:after="0"/>
    </w:pPr>
  </w:style>
  <w:style w:type="paragraph" w:customStyle="1" w:styleId="TOFTitle">
    <w:name w:val="TOFTitle"/>
    <w:basedOn w:val="TOCTitle"/>
    <w:rsid w:val="001A7B20"/>
  </w:style>
  <w:style w:type="paragraph" w:styleId="TableofFigures">
    <w:name w:val="table of figures"/>
    <w:basedOn w:val="Normal"/>
    <w:next w:val="Normal"/>
    <w:semiHidden/>
    <w:rsid w:val="001A7B20"/>
    <w:pPr>
      <w:tabs>
        <w:tab w:val="right" w:leader="dot" w:pos="9072"/>
      </w:tabs>
      <w:ind w:left="970" w:hanging="403"/>
    </w:pPr>
    <w:rPr>
      <w:rFonts w:ascii="Times New Roman" w:hAnsi="Times New Roman"/>
      <w:b/>
    </w:rPr>
  </w:style>
  <w:style w:type="paragraph" w:styleId="ListNumber">
    <w:name w:val="List Number"/>
    <w:basedOn w:val="List"/>
    <w:rsid w:val="001A7B20"/>
    <w:pPr>
      <w:numPr>
        <w:numId w:val="10"/>
      </w:numPr>
    </w:pPr>
  </w:style>
  <w:style w:type="character" w:customStyle="1" w:styleId="WingdingSymbols">
    <w:name w:val="Wingding Symbols"/>
    <w:rsid w:val="001A7B20"/>
    <w:rPr>
      <w:rFonts w:ascii="Wingdings" w:hAnsi="Wingdings"/>
    </w:rPr>
  </w:style>
  <w:style w:type="paragraph" w:customStyle="1" w:styleId="TableHeading">
    <w:name w:val="Table Heading"/>
    <w:basedOn w:val="HeadingBase"/>
    <w:rsid w:val="001A7B20"/>
    <w:pPr>
      <w:keepLines/>
      <w:pBdr>
        <w:bottom w:val="single" w:sz="6" w:space="1" w:color="918585"/>
      </w:pBdr>
      <w:spacing w:before="240"/>
    </w:pPr>
  </w:style>
  <w:style w:type="character" w:customStyle="1" w:styleId="HotSpot">
    <w:name w:val="HotSpot"/>
    <w:rsid w:val="001A7B20"/>
    <w:rPr>
      <w:color w:val="0033CC"/>
      <w:u w:val="none"/>
    </w:rPr>
  </w:style>
  <w:style w:type="paragraph" w:customStyle="1" w:styleId="BodyTextRight">
    <w:name w:val="Body Text Right"/>
    <w:basedOn w:val="BodyText"/>
    <w:rsid w:val="001A7B20"/>
    <w:pPr>
      <w:spacing w:before="0" w:after="0"/>
      <w:jc w:val="right"/>
    </w:pPr>
  </w:style>
  <w:style w:type="paragraph" w:styleId="Index3">
    <w:name w:val="index 3"/>
    <w:basedOn w:val="ListNumber2"/>
    <w:next w:val="Normal"/>
    <w:semiHidden/>
    <w:rsid w:val="001A7B20"/>
    <w:pPr>
      <w:numPr>
        <w:numId w:val="0"/>
      </w:numPr>
      <w:tabs>
        <w:tab w:val="right" w:leader="dot" w:pos="4176"/>
      </w:tabs>
    </w:pPr>
  </w:style>
  <w:style w:type="paragraph" w:styleId="ListNumber2">
    <w:name w:val="List Number 2"/>
    <w:basedOn w:val="List2"/>
    <w:rsid w:val="001A7B20"/>
    <w:pPr>
      <w:numPr>
        <w:numId w:val="9"/>
      </w:numPr>
      <w:tabs>
        <w:tab w:val="clear" w:pos="1060"/>
      </w:tabs>
    </w:pPr>
  </w:style>
  <w:style w:type="paragraph" w:customStyle="1" w:styleId="MarginNote">
    <w:name w:val="Margin Note"/>
    <w:basedOn w:val="BodyText"/>
    <w:rsid w:val="001A7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B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7B20"/>
    <w:rPr>
      <w:sz w:val="32"/>
    </w:rPr>
  </w:style>
  <w:style w:type="paragraph" w:customStyle="1" w:styleId="HeadingProcedure">
    <w:name w:val="Heading Procedure"/>
    <w:basedOn w:val="HeadingBase"/>
    <w:next w:val="Normal"/>
    <w:rsid w:val="001A7B20"/>
    <w:pPr>
      <w:tabs>
        <w:tab w:val="left" w:pos="0"/>
      </w:tabs>
      <w:spacing w:before="120" w:after="60"/>
    </w:pPr>
    <w:rPr>
      <w:i/>
      <w:color w:val="918585"/>
      <w:sz w:val="22"/>
    </w:rPr>
  </w:style>
  <w:style w:type="paragraph" w:customStyle="1" w:styleId="TableBodyText">
    <w:name w:val="Table Body Text"/>
    <w:basedOn w:val="BodyText"/>
    <w:rsid w:val="001A7B20"/>
    <w:pPr>
      <w:spacing w:before="60" w:after="60"/>
    </w:pPr>
  </w:style>
  <w:style w:type="paragraph" w:styleId="ListContinue">
    <w:name w:val="List Continue"/>
    <w:basedOn w:val="List"/>
    <w:rsid w:val="001A7B20"/>
    <w:pPr>
      <w:ind w:firstLine="0"/>
    </w:pPr>
  </w:style>
  <w:style w:type="paragraph" w:customStyle="1" w:styleId="ListNote">
    <w:name w:val="List Note"/>
    <w:basedOn w:val="List"/>
    <w:rsid w:val="001A7B20"/>
    <w:pPr>
      <w:pBdr>
        <w:top w:val="single" w:sz="6" w:space="2" w:color="918585"/>
        <w:bottom w:val="single" w:sz="6" w:space="2" w:color="918585"/>
      </w:pBdr>
      <w:tabs>
        <w:tab w:val="left" w:pos="1021"/>
      </w:tabs>
      <w:ind w:firstLine="0"/>
    </w:pPr>
  </w:style>
  <w:style w:type="paragraph" w:customStyle="1" w:styleId="Warning">
    <w:name w:val="Warning"/>
    <w:basedOn w:val="BodyText"/>
    <w:rsid w:val="001A7B20"/>
    <w:pPr>
      <w:shd w:val="clear" w:color="auto" w:fill="D9D9D9"/>
      <w:tabs>
        <w:tab w:val="left" w:pos="992"/>
      </w:tabs>
      <w:ind w:left="119" w:right="119"/>
    </w:pPr>
    <w:rPr>
      <w:sz w:val="20"/>
    </w:rPr>
  </w:style>
  <w:style w:type="paragraph" w:customStyle="1" w:styleId="MarginIcons">
    <w:name w:val="Margin Icons"/>
    <w:basedOn w:val="BodyText"/>
    <w:rsid w:val="001A7B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B20"/>
    <w:rPr>
      <w:rFonts w:ascii="Courier New" w:hAnsi="Courier New"/>
    </w:rPr>
  </w:style>
  <w:style w:type="paragraph" w:customStyle="1" w:styleId="NoteBullet">
    <w:name w:val="Note Bullet"/>
    <w:basedOn w:val="Note"/>
    <w:rsid w:val="001A7B20"/>
    <w:pPr>
      <w:tabs>
        <w:tab w:val="clear" w:pos="680"/>
      </w:tabs>
      <w:spacing w:before="60" w:after="60"/>
    </w:pPr>
  </w:style>
  <w:style w:type="paragraph" w:customStyle="1" w:styleId="SubHeading2">
    <w:name w:val="SubHeading2"/>
    <w:basedOn w:val="HeadingBase"/>
    <w:rsid w:val="001A7B20"/>
    <w:pPr>
      <w:spacing w:before="240" w:after="60"/>
    </w:pPr>
    <w:rPr>
      <w:sz w:val="20"/>
    </w:rPr>
  </w:style>
  <w:style w:type="paragraph" w:customStyle="1" w:styleId="SubHeading1">
    <w:name w:val="SubHeading1"/>
    <w:basedOn w:val="HeadingBase"/>
    <w:rsid w:val="001A7B20"/>
    <w:pPr>
      <w:spacing w:before="240" w:after="60"/>
    </w:pPr>
    <w:rPr>
      <w:color w:val="918585"/>
      <w:sz w:val="22"/>
    </w:rPr>
  </w:style>
  <w:style w:type="paragraph" w:customStyle="1" w:styleId="SideHeading">
    <w:name w:val="Side Heading"/>
    <w:basedOn w:val="HeadingBase"/>
    <w:rsid w:val="001A7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B20"/>
    <w:pPr>
      <w:tabs>
        <w:tab w:val="num" w:pos="360"/>
      </w:tabs>
    </w:pPr>
  </w:style>
  <w:style w:type="paragraph" w:styleId="PlainText">
    <w:name w:val="Plain Text"/>
    <w:basedOn w:val="Normal"/>
    <w:link w:val="PlainTextChar"/>
    <w:rsid w:val="001A7B20"/>
    <w:rPr>
      <w:sz w:val="20"/>
    </w:rPr>
  </w:style>
  <w:style w:type="character" w:customStyle="1" w:styleId="PlainTextChar">
    <w:name w:val="Plain Text Char"/>
    <w:basedOn w:val="DefaultParagraphFont"/>
    <w:link w:val="PlainText"/>
    <w:rsid w:val="001A7B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7B20"/>
    <w:rPr>
      <w:b/>
      <w:smallCaps/>
    </w:rPr>
  </w:style>
  <w:style w:type="paragraph" w:customStyle="1" w:styleId="TableListNumber">
    <w:name w:val="Table List Number"/>
    <w:basedOn w:val="ListNumber"/>
    <w:rsid w:val="001A7B20"/>
    <w:pPr>
      <w:numPr>
        <w:numId w:val="0"/>
      </w:numPr>
    </w:pPr>
  </w:style>
  <w:style w:type="paragraph" w:styleId="TOC4">
    <w:name w:val="toc 4"/>
    <w:basedOn w:val="TOCBase"/>
    <w:next w:val="Normal"/>
    <w:semiHidden/>
    <w:rsid w:val="001A7B20"/>
    <w:pPr>
      <w:tabs>
        <w:tab w:val="right" w:leader="dot" w:pos="9071"/>
      </w:tabs>
      <w:ind w:left="1701"/>
    </w:pPr>
  </w:style>
  <w:style w:type="paragraph" w:customStyle="1" w:styleId="ListAlpha">
    <w:name w:val="List Alpha"/>
    <w:basedOn w:val="List"/>
    <w:rsid w:val="001A7B20"/>
    <w:pPr>
      <w:numPr>
        <w:numId w:val="8"/>
      </w:numPr>
    </w:pPr>
  </w:style>
  <w:style w:type="paragraph" w:customStyle="1" w:styleId="ListAlpha2">
    <w:name w:val="List Alpha 2"/>
    <w:basedOn w:val="List2"/>
    <w:rsid w:val="001A7B20"/>
    <w:pPr>
      <w:numPr>
        <w:numId w:val="7"/>
      </w:numPr>
    </w:pPr>
  </w:style>
  <w:style w:type="paragraph" w:styleId="List3">
    <w:name w:val="List 3"/>
    <w:basedOn w:val="BodyText"/>
    <w:rsid w:val="001A7B20"/>
    <w:pPr>
      <w:tabs>
        <w:tab w:val="left" w:pos="1021"/>
      </w:tabs>
      <w:spacing w:before="60" w:after="60"/>
      <w:ind w:left="1020" w:hanging="340"/>
    </w:pPr>
  </w:style>
  <w:style w:type="paragraph" w:styleId="List4">
    <w:name w:val="List 4"/>
    <w:basedOn w:val="BodyText"/>
    <w:rsid w:val="001A7B20"/>
    <w:pPr>
      <w:tabs>
        <w:tab w:val="left" w:pos="1361"/>
      </w:tabs>
      <w:spacing w:before="60" w:after="60"/>
      <w:ind w:left="1361" w:hanging="340"/>
    </w:pPr>
  </w:style>
  <w:style w:type="paragraph" w:styleId="List5">
    <w:name w:val="List 5"/>
    <w:basedOn w:val="BodyText"/>
    <w:rsid w:val="001A7B20"/>
    <w:pPr>
      <w:tabs>
        <w:tab w:val="left" w:pos="1701"/>
      </w:tabs>
      <w:spacing w:before="60" w:after="60"/>
      <w:ind w:left="1701" w:hanging="340"/>
    </w:pPr>
  </w:style>
  <w:style w:type="paragraph" w:styleId="ListBullet3">
    <w:name w:val="List Bullet 3"/>
    <w:basedOn w:val="List3"/>
    <w:rsid w:val="001A7B20"/>
    <w:pPr>
      <w:numPr>
        <w:numId w:val="14"/>
      </w:numPr>
      <w:tabs>
        <w:tab w:val="clear" w:pos="1021"/>
      </w:tabs>
      <w:ind w:left="1037" w:hanging="357"/>
    </w:pPr>
  </w:style>
  <w:style w:type="paragraph" w:styleId="ListBullet4">
    <w:name w:val="List Bullet 4"/>
    <w:basedOn w:val="List4"/>
    <w:rsid w:val="001A7B20"/>
    <w:pPr>
      <w:numPr>
        <w:numId w:val="2"/>
      </w:numPr>
    </w:pPr>
  </w:style>
  <w:style w:type="paragraph" w:styleId="ListBullet5">
    <w:name w:val="List Bullet 5"/>
    <w:basedOn w:val="List5"/>
    <w:rsid w:val="001A7B20"/>
    <w:pPr>
      <w:numPr>
        <w:numId w:val="3"/>
      </w:numPr>
    </w:pPr>
  </w:style>
  <w:style w:type="paragraph" w:styleId="ListContinue2">
    <w:name w:val="List Continue 2"/>
    <w:basedOn w:val="List2"/>
    <w:rsid w:val="001A7B20"/>
    <w:pPr>
      <w:ind w:firstLine="0"/>
    </w:pPr>
  </w:style>
  <w:style w:type="paragraph" w:styleId="ListContinue3">
    <w:name w:val="List Continue 3"/>
    <w:basedOn w:val="List3"/>
    <w:rsid w:val="001A7B20"/>
    <w:pPr>
      <w:ind w:left="1021" w:firstLine="0"/>
    </w:pPr>
  </w:style>
  <w:style w:type="paragraph" w:styleId="ListContinue4">
    <w:name w:val="List Continue 4"/>
    <w:basedOn w:val="List4"/>
    <w:rsid w:val="001A7B20"/>
    <w:pPr>
      <w:ind w:firstLine="0"/>
    </w:pPr>
  </w:style>
  <w:style w:type="paragraph" w:styleId="ListContinue5">
    <w:name w:val="List Continue 5"/>
    <w:basedOn w:val="List5"/>
    <w:rsid w:val="001A7B20"/>
    <w:pPr>
      <w:ind w:firstLine="0"/>
    </w:pPr>
  </w:style>
  <w:style w:type="paragraph" w:styleId="ListNumber3">
    <w:name w:val="List Number 3"/>
    <w:basedOn w:val="List3"/>
    <w:rsid w:val="001A7B20"/>
    <w:pPr>
      <w:numPr>
        <w:numId w:val="4"/>
      </w:numPr>
    </w:pPr>
  </w:style>
  <w:style w:type="paragraph" w:styleId="ListNumber4">
    <w:name w:val="List Number 4"/>
    <w:basedOn w:val="List4"/>
    <w:rsid w:val="001A7B20"/>
    <w:pPr>
      <w:numPr>
        <w:numId w:val="5"/>
      </w:numPr>
    </w:pPr>
  </w:style>
  <w:style w:type="paragraph" w:styleId="ListNumber5">
    <w:name w:val="List Number 5"/>
    <w:basedOn w:val="List5"/>
    <w:rsid w:val="001A7B20"/>
    <w:pPr>
      <w:numPr>
        <w:numId w:val="6"/>
      </w:numPr>
    </w:pPr>
  </w:style>
  <w:style w:type="paragraph" w:styleId="BlockText">
    <w:name w:val="Block Text"/>
    <w:basedOn w:val="Normal"/>
    <w:rsid w:val="001A7B20"/>
    <w:pPr>
      <w:spacing w:after="120"/>
      <w:ind w:left="1440" w:right="1440"/>
    </w:pPr>
  </w:style>
  <w:style w:type="character" w:customStyle="1" w:styleId="Subscript">
    <w:name w:val="Subscript"/>
    <w:basedOn w:val="DefaultParagraphFont"/>
    <w:rsid w:val="001A7B20"/>
    <w:rPr>
      <w:sz w:val="16"/>
      <w:vertAlign w:val="subscript"/>
    </w:rPr>
  </w:style>
  <w:style w:type="character" w:customStyle="1" w:styleId="Superscript">
    <w:name w:val="Superscript"/>
    <w:basedOn w:val="DefaultParagraphFont"/>
    <w:rsid w:val="001A7B20"/>
    <w:rPr>
      <w:sz w:val="16"/>
      <w:vertAlign w:val="superscript"/>
    </w:rPr>
  </w:style>
  <w:style w:type="character" w:customStyle="1" w:styleId="Symbols">
    <w:name w:val="Symbols"/>
    <w:basedOn w:val="DefaultParagraphFont"/>
    <w:rsid w:val="001A7B20"/>
    <w:rPr>
      <w:rFonts w:ascii="Symbol" w:hAnsi="Symbol"/>
    </w:rPr>
  </w:style>
  <w:style w:type="character" w:customStyle="1" w:styleId="MenuOptions">
    <w:name w:val="Menu Options"/>
    <w:basedOn w:val="DefaultParagraphFont"/>
    <w:rsid w:val="001A7B20"/>
    <w:rPr>
      <w:rFonts w:ascii="Arial Narrow" w:hAnsi="Arial Narrow"/>
      <w:smallCaps/>
    </w:rPr>
  </w:style>
  <w:style w:type="character" w:customStyle="1" w:styleId="Buttons">
    <w:name w:val="Buttons"/>
    <w:basedOn w:val="DefaultParagraphFont"/>
    <w:rsid w:val="001A7B20"/>
    <w:rPr>
      <w:b/>
    </w:rPr>
  </w:style>
  <w:style w:type="character" w:customStyle="1" w:styleId="Underlined">
    <w:name w:val="Underlined"/>
    <w:basedOn w:val="DefaultParagraphFont"/>
    <w:rsid w:val="001A7B20"/>
    <w:rPr>
      <w:u w:val="single"/>
    </w:rPr>
  </w:style>
  <w:style w:type="paragraph" w:customStyle="1" w:styleId="TableBodyTextRight">
    <w:name w:val="Table Body Text Right"/>
    <w:basedOn w:val="TableBodyText"/>
    <w:rsid w:val="001A7B20"/>
    <w:pPr>
      <w:widowControl w:val="0"/>
      <w:autoSpaceDE w:val="0"/>
      <w:autoSpaceDN w:val="0"/>
      <w:adjustRightInd w:val="0"/>
      <w:jc w:val="right"/>
    </w:pPr>
    <w:rPr>
      <w:rFonts w:cs="Arial"/>
      <w:szCs w:val="18"/>
    </w:rPr>
  </w:style>
  <w:style w:type="paragraph" w:customStyle="1" w:styleId="CopyrightText">
    <w:name w:val="Copyright Text"/>
    <w:basedOn w:val="BodyText"/>
    <w:rsid w:val="001A7B20"/>
    <w:rPr>
      <w:sz w:val="18"/>
    </w:rPr>
  </w:style>
  <w:style w:type="paragraph" w:customStyle="1" w:styleId="BodySmallRight">
    <w:name w:val="Body Small Right"/>
    <w:basedOn w:val="BodyTextRight"/>
    <w:rsid w:val="001A7B20"/>
    <w:rPr>
      <w:sz w:val="18"/>
      <w:szCs w:val="18"/>
    </w:rPr>
  </w:style>
  <w:style w:type="paragraph" w:customStyle="1" w:styleId="MarginEdition">
    <w:name w:val="Margin Edition"/>
    <w:basedOn w:val="MarginNote"/>
    <w:rsid w:val="001A7B20"/>
    <w:pPr>
      <w:spacing w:before="0" w:after="0"/>
    </w:pPr>
    <w:rPr>
      <w:rFonts w:ascii="Times New Roman" w:hAnsi="Times New Roman"/>
      <w:color w:val="999999"/>
    </w:rPr>
  </w:style>
  <w:style w:type="paragraph" w:customStyle="1" w:styleId="Spacer">
    <w:name w:val="Spacer"/>
    <w:basedOn w:val="Normal"/>
    <w:rsid w:val="001A7B20"/>
    <w:rPr>
      <w:sz w:val="2"/>
      <w:szCs w:val="2"/>
    </w:rPr>
  </w:style>
  <w:style w:type="character" w:customStyle="1" w:styleId="Small">
    <w:name w:val="Small"/>
    <w:basedOn w:val="DefaultParagraphFont"/>
    <w:rsid w:val="001A7B20"/>
    <w:rPr>
      <w:sz w:val="16"/>
    </w:rPr>
  </w:style>
  <w:style w:type="paragraph" w:customStyle="1" w:styleId="WideTable">
    <w:name w:val="Wide Table"/>
    <w:basedOn w:val="Normal"/>
    <w:rsid w:val="001A7B20"/>
    <w:pPr>
      <w:ind w:left="-1418"/>
    </w:pPr>
    <w:rPr>
      <w:sz w:val="2"/>
      <w:szCs w:val="2"/>
    </w:rPr>
  </w:style>
  <w:style w:type="character" w:styleId="PageNumber">
    <w:name w:val="page number"/>
    <w:basedOn w:val="DefaultParagraphFont"/>
    <w:rsid w:val="001A7B20"/>
  </w:style>
  <w:style w:type="paragraph" w:styleId="Quote">
    <w:name w:val="Quote"/>
    <w:basedOn w:val="Heading1"/>
    <w:link w:val="QuoteChar"/>
    <w:qFormat/>
    <w:rsid w:val="001A7B20"/>
    <w:rPr>
      <w:b w:val="0"/>
      <w:sz w:val="72"/>
      <w:szCs w:val="72"/>
      <w:lang w:val="en-NZ"/>
    </w:rPr>
  </w:style>
  <w:style w:type="character" w:customStyle="1" w:styleId="QuoteChar">
    <w:name w:val="Quote Char"/>
    <w:basedOn w:val="DefaultParagraphFont"/>
    <w:link w:val="Quote"/>
    <w:rsid w:val="001A7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B20"/>
    <w:pPr>
      <w:pageBreakBefore/>
    </w:pPr>
  </w:style>
  <w:style w:type="paragraph" w:customStyle="1" w:styleId="Border">
    <w:name w:val="Border"/>
    <w:basedOn w:val="Normal"/>
    <w:qFormat/>
    <w:rsid w:val="001A7B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B20"/>
    <w:rPr>
      <w:b/>
      <w:bCs/>
      <w:i/>
      <w:iCs/>
      <w:color w:val="auto"/>
    </w:rPr>
  </w:style>
  <w:style w:type="paragraph" w:styleId="IntenseQuote">
    <w:name w:val="Intense Quote"/>
    <w:basedOn w:val="Normal"/>
    <w:next w:val="Normal"/>
    <w:link w:val="IntenseQuoteChar"/>
    <w:uiPriority w:val="30"/>
    <w:qFormat/>
    <w:rsid w:val="001A7B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B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7B20"/>
    <w:rPr>
      <w:smallCaps/>
      <w:color w:val="auto"/>
      <w:u w:val="single"/>
    </w:rPr>
  </w:style>
  <w:style w:type="character" w:styleId="IntenseReference">
    <w:name w:val="Intense Reference"/>
    <w:basedOn w:val="DefaultParagraphFont"/>
    <w:uiPriority w:val="32"/>
    <w:qFormat/>
    <w:rsid w:val="001A7B20"/>
    <w:rPr>
      <w:b/>
      <w:bCs/>
      <w:smallCaps/>
      <w:color w:val="auto"/>
      <w:spacing w:val="5"/>
      <w:u w:val="single"/>
    </w:rPr>
  </w:style>
  <w:style w:type="paragraph" w:customStyle="1" w:styleId="2ColumnHeading">
    <w:name w:val="2Column Heading"/>
    <w:basedOn w:val="BodyText"/>
    <w:qFormat/>
    <w:rsid w:val="001A7B20"/>
    <w:pPr>
      <w:spacing w:after="60"/>
      <w:ind w:left="-2268"/>
    </w:pPr>
    <w:rPr>
      <w:b/>
    </w:rPr>
  </w:style>
  <w:style w:type="paragraph" w:customStyle="1" w:styleId="Heading1TOC">
    <w:name w:val="Heading1 TOC"/>
    <w:basedOn w:val="Normal"/>
    <w:qFormat/>
    <w:rsid w:val="001A7B20"/>
    <w:pPr>
      <w:spacing w:before="240" w:after="120"/>
    </w:pPr>
    <w:rPr>
      <w:rFonts w:ascii="Times New Roman" w:hAnsi="Times New Roman"/>
      <w:b/>
      <w:sz w:val="32"/>
    </w:rPr>
  </w:style>
  <w:style w:type="paragraph" w:customStyle="1" w:styleId="Heading2TOC">
    <w:name w:val="Heading2 TOC"/>
    <w:basedOn w:val="Normal"/>
    <w:qFormat/>
    <w:rsid w:val="001A7B20"/>
    <w:pPr>
      <w:spacing w:before="240" w:after="60"/>
    </w:pPr>
    <w:rPr>
      <w:rFonts w:ascii="Times New Roman" w:hAnsi="Times New Roman"/>
      <w:b/>
      <w:sz w:val="28"/>
    </w:rPr>
  </w:style>
  <w:style w:type="character" w:customStyle="1" w:styleId="Underline">
    <w:name w:val="Underline"/>
    <w:basedOn w:val="DefaultParagraphFont"/>
    <w:qFormat/>
    <w:rsid w:val="001A7B20"/>
    <w:rPr>
      <w:u w:val="single"/>
    </w:rPr>
  </w:style>
  <w:style w:type="paragraph" w:styleId="BalloonText">
    <w:name w:val="Balloon Text"/>
    <w:basedOn w:val="Normal"/>
    <w:link w:val="BalloonTextChar"/>
    <w:rsid w:val="001A7B20"/>
    <w:rPr>
      <w:rFonts w:ascii="Tahoma" w:hAnsi="Tahoma" w:cs="Tahoma"/>
      <w:sz w:val="16"/>
      <w:szCs w:val="16"/>
    </w:rPr>
  </w:style>
  <w:style w:type="character" w:customStyle="1" w:styleId="BalloonTextChar">
    <w:name w:val="Balloon Text Char"/>
    <w:basedOn w:val="DefaultParagraphFont"/>
    <w:link w:val="BalloonText"/>
    <w:rsid w:val="001A7B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7B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B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1053</Words>
  <Characters>6362</Characters>
  <Application>Microsoft Office Word</Application>
  <DocSecurity>0</DocSecurity>
  <Lines>239</Lines>
  <Paragraphs>107</Paragraphs>
  <ScaleCrop>false</ScaleCrop>
  <Company>Author-it Software Corporation Ltd.</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CUESTA06B Apply a general knowledge of theatrical rigging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2012-05-26T23:20:00Z</dcterms:created>
  <dcterms:modified xsi:type="dcterms:W3CDTF">2012-05-26T23:20:00Z</dcterms:modified>
</cp:coreProperties>
</file>