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3D1" w:rsidP="002133D1">
      <w:pPr>
        <w:pStyle w:val="Title"/>
      </w:pPr>
      <w:r>
        <w:fldChar w:fldCharType="begin"/>
      </w:r>
      <w:r>
        <w:instrText xml:space="preserve"> TITLE   \* MERGEFORMAT </w:instrText>
      </w:r>
      <w:r>
        <w:fldChar w:fldCharType="separate"/>
      </w:r>
      <w:r>
        <w:t>CUESTA05C Apply a general knowledge of staging to work activities</w:t>
      </w:r>
      <w:r>
        <w:fldChar w:fldCharType="end"/>
      </w:r>
    </w:p>
    <w:p w:rsidR="002133D1" w:rsidP="002133D1">
      <w:pPr>
        <w:pStyle w:val="Version"/>
        <w:sectPr w:rsidSect="00A15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5951" w:rsidP="00A15951">
      <w:pPr>
        <w:pStyle w:val="SuperHeading"/>
      </w:pPr>
      <w:r w:rsidRPr="00A15951">
        <w:t>CUESTA05C Apply a general knowledge of staging to work activities</w:t>
      </w:r>
    </w:p>
    <w:p w:rsidR="00000000" w:rsidRPr="00A15951" w:rsidP="00A15951">
      <w:pPr>
        <w:pStyle w:val="SuperHeading"/>
      </w:pPr>
    </w:p>
    <w:p w:rsidR="00000000" w:rsidRPr="00A15951" w:rsidP="00A15951">
      <w:pPr>
        <w:pStyle w:val="Heading1"/>
      </w:pPr>
      <w:bookmarkStart w:id="1" w:name="O_70455"/>
      <w:bookmarkEnd w:id="1"/>
      <w:r w:rsidRPr="00A15951">
        <w:t>Modification History</w:t>
      </w:r>
    </w:p>
    <w:p w:rsidR="00000000" w:rsidRPr="00A15951" w:rsidP="00A15951">
      <w:pPr>
        <w:pStyle w:val="BodyText"/>
      </w:pPr>
      <w:r w:rsidRPr="00A15951">
        <w:t>Not applicable.</w:t>
      </w:r>
    </w:p>
    <w:p w:rsidR="00000000" w:rsidRPr="00A15951" w:rsidP="00A15951">
      <w:pPr>
        <w:pStyle w:val="AllowPageBreak"/>
      </w:pPr>
    </w:p>
    <w:p w:rsidR="00000000" w:rsidRPr="00A15951" w:rsidP="00A15951">
      <w:pPr>
        <w:pStyle w:val="Heading1"/>
      </w:pPr>
      <w:bookmarkStart w:id="2" w:name="O_70456"/>
      <w:bookmarkEnd w:id="2"/>
      <w:r w:rsidRPr="00A15951">
        <w:t>Unit Descriptor</w:t>
      </w:r>
    </w:p>
    <w:tbl>
      <w:tblPr>
        <w:tblW w:w="0" w:type="auto"/>
        <w:tblLayout w:type="fixed"/>
        <w:tblCellMar>
          <w:left w:w="62" w:type="dxa"/>
          <w:right w:w="62" w:type="dxa"/>
        </w:tblCellMar>
        <w:tblLook w:val="0000"/>
      </w:tblPr>
      <w:tblGrid>
        <w:gridCol w:w="2668"/>
        <w:gridCol w:w="5854"/>
      </w:tblGrid>
      <w:tr w:rsidTr="002133D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This unit describes the skills and knowledge required to provide assistance with the in</w:t>
            </w:r>
            <w:r w:rsidRPr="00A15951">
              <w:t xml:space="preserve">stallation of staging under direct supervision. </w:t>
            </w:r>
          </w:p>
          <w:p w:rsidR="00000000" w:rsidRPr="00A15951" w:rsidP="00A15951">
            <w:pPr>
              <w:pStyle w:val="BodyText"/>
            </w:pPr>
          </w:p>
          <w:p w:rsidR="00000000" w:rsidRPr="00A15951" w:rsidP="00A15951">
            <w:pPr>
              <w:pStyle w:val="BodyText"/>
            </w:pPr>
            <w:r w:rsidRPr="00A15951">
              <w:t>No licensing, legislative, regulatory or certification requirements apply to this unit at the time of endorsement.</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3" w:name="O_70457"/>
      <w:bookmarkEnd w:id="3"/>
      <w:r w:rsidRPr="00A15951">
        <w:t>Application of the Unit</w:t>
      </w:r>
    </w:p>
    <w:tbl>
      <w:tblPr>
        <w:tblW w:w="0" w:type="auto"/>
        <w:tblLayout w:type="fixed"/>
        <w:tblCellMar>
          <w:left w:w="62" w:type="dxa"/>
          <w:right w:w="62" w:type="dxa"/>
        </w:tblCellMar>
        <w:tblLook w:val="0000"/>
      </w:tblPr>
      <w:tblGrid>
        <w:gridCol w:w="2740"/>
        <w:gridCol w:w="5782"/>
      </w:tblGrid>
      <w:tr w:rsidTr="002133D1">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People assisting with staging for live entertainment events and productions apply the skills and knowledge outlined in this unit. At this level their work would be closely supervised. The role includes the need for an understanding of stage geography, stag</w:t>
            </w:r>
            <w:r w:rsidRPr="00A15951">
              <w:t>ing equipment and staging terminology plus basic stage preparation and set positioning.</w:t>
            </w:r>
          </w:p>
          <w:p w:rsidR="00000000" w:rsidRPr="00A15951" w:rsidP="00A15951">
            <w:pPr>
              <w:pStyle w:val="BodyText"/>
            </w:pPr>
          </w:p>
          <w:p w:rsidR="00000000" w:rsidRPr="00A15951" w:rsidP="00A15951">
            <w:pPr>
              <w:pStyle w:val="BodyText"/>
            </w:pPr>
            <w:r w:rsidRPr="00A15951">
              <w:t>This unit has linkages to a range of other technical units and combined assessment and/or training with those units is recommended, e.g.:</w:t>
            </w:r>
          </w:p>
          <w:p w:rsidR="00000000" w:rsidRPr="00A15951" w:rsidP="00A15951">
            <w:pPr>
              <w:pStyle w:val="ListBullet"/>
            </w:pPr>
            <w:r w:rsidRPr="00A15951">
              <w:t>CPCCCM1005A Carry out measur</w:t>
            </w:r>
            <w:r w:rsidRPr="00A15951">
              <w:t>ements and calculations</w:t>
            </w:r>
          </w:p>
          <w:p w:rsidR="00000000" w:rsidRPr="00A15951" w:rsidP="00A15951">
            <w:pPr>
              <w:pStyle w:val="ListBullet"/>
            </w:pPr>
            <w:r w:rsidRPr="00A15951">
              <w:t>MEM18001C Use hand tools.</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4" w:name="O_70458"/>
      <w:bookmarkEnd w:id="4"/>
      <w:r w:rsidRPr="00A15951">
        <w:t>Licensing/Regulatory Information</w:t>
      </w:r>
    </w:p>
    <w:p w:rsidR="00000000" w:rsidRPr="00A15951" w:rsidP="00A15951">
      <w:pPr>
        <w:pStyle w:val="BodyText"/>
      </w:pPr>
      <w:r w:rsidRPr="00A15951">
        <w:t>Not applicable.</w:t>
      </w:r>
    </w:p>
    <w:p w:rsidR="00000000" w:rsidRPr="00A15951" w:rsidP="00A15951">
      <w:pPr>
        <w:pStyle w:val="AllowPageBreak"/>
      </w:pPr>
    </w:p>
    <w:p w:rsidR="00000000" w:rsidRPr="00A15951" w:rsidP="00A15951">
      <w:pPr>
        <w:pStyle w:val="Heading1"/>
      </w:pPr>
      <w:bookmarkStart w:id="5" w:name="O_70459"/>
      <w:bookmarkEnd w:id="5"/>
      <w:r w:rsidRPr="00A15951">
        <w:t>Pre-Requisites</w:t>
      </w:r>
    </w:p>
    <w:tbl>
      <w:tblPr>
        <w:tblW w:w="0" w:type="auto"/>
        <w:tblLayout w:type="fixed"/>
        <w:tblCellMar>
          <w:left w:w="62" w:type="dxa"/>
          <w:right w:w="62" w:type="dxa"/>
        </w:tblCellMar>
        <w:tblLook w:val="0000"/>
      </w:tblPr>
      <w:tblGrid>
        <w:gridCol w:w="2775"/>
        <w:gridCol w:w="1295"/>
        <w:gridCol w:w="4452"/>
      </w:tblGrid>
      <w:tr w:rsidTr="002133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p>
        </w:tc>
      </w:tr>
      <w:tr w:rsidTr="002133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p>
        </w:tc>
      </w:tr>
      <w:tr w:rsidTr="002133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6" w:name="O_70460"/>
      <w:bookmarkEnd w:id="6"/>
      <w:r w:rsidRPr="00A15951">
        <w:t>Employability Skills Information</w:t>
      </w:r>
    </w:p>
    <w:tbl>
      <w:tblPr>
        <w:tblW w:w="0" w:type="auto"/>
        <w:tblLayout w:type="fixed"/>
        <w:tblCellMar>
          <w:left w:w="62" w:type="dxa"/>
          <w:right w:w="62" w:type="dxa"/>
        </w:tblCellMar>
        <w:tblLook w:val="0000"/>
      </w:tblPr>
      <w:tblGrid>
        <w:gridCol w:w="2802"/>
        <w:gridCol w:w="5720"/>
      </w:tblGrid>
      <w:tr w:rsidTr="002133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This unit contains employability skills.</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7" w:name="O_70461"/>
      <w:bookmarkEnd w:id="7"/>
      <w:r w:rsidRPr="00A15951">
        <w:t>Elements and Performance Criteria Pre-Content</w:t>
      </w:r>
    </w:p>
    <w:tbl>
      <w:tblPr>
        <w:tblW w:w="0" w:type="auto"/>
        <w:tblLayout w:type="fixed"/>
        <w:tblCellMar>
          <w:left w:w="62" w:type="dxa"/>
          <w:right w:w="62" w:type="dxa"/>
        </w:tblCellMar>
        <w:tblLook w:val="0000"/>
      </w:tblPr>
      <w:tblGrid>
        <w:gridCol w:w="2560"/>
        <w:gridCol w:w="5962"/>
      </w:tblGrid>
      <w:tr w:rsidTr="002133D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Performance criteria describe the performance needed to demonstrate achievement of the</w:t>
            </w:r>
            <w:r w:rsidRPr="00A1595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8" w:name="O_70462"/>
      <w:bookmarkEnd w:id="8"/>
      <w:r w:rsidRPr="00A15951">
        <w:t>Elements and Performance Criteria</w:t>
      </w:r>
    </w:p>
    <w:tbl>
      <w:tblPr>
        <w:tblW w:w="0" w:type="auto"/>
        <w:tblLayout w:type="fixed"/>
        <w:tblCellMar>
          <w:left w:w="62" w:type="dxa"/>
          <w:right w:w="62" w:type="dxa"/>
        </w:tblCellMar>
        <w:tblLook w:val="0000"/>
      </w:tblPr>
      <w:tblGrid>
        <w:gridCol w:w="2560"/>
        <w:gridCol w:w="5962"/>
      </w:tblGrid>
      <w:tr w:rsidTr="002133D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PERFORMANCE CRITERIA</w:t>
            </w:r>
          </w:p>
        </w:tc>
      </w:tr>
      <w:tr w:rsidTr="002133D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List"/>
              <w:rPr>
                <w:lang w:val="en-NZ"/>
              </w:rPr>
            </w:pPr>
            <w:r w:rsidRPr="00A15951">
              <w:t>1.</w:t>
            </w:r>
            <w:r w:rsidRPr="00A15951">
              <w:tab/>
              <w:t>Prepare stage area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2"/>
            </w:pPr>
            <w:r w:rsidRPr="00A15951">
              <w:t>1.1.</w:t>
            </w:r>
            <w:r w:rsidRPr="00A15951">
              <w:tab/>
              <w:t>Refer to stage plan and consult with supervisor to obtain details of work requirements</w:t>
            </w:r>
          </w:p>
          <w:p w:rsidR="00000000" w:rsidRPr="00A15951" w:rsidP="00A15951">
            <w:pPr>
              <w:pStyle w:val="List2"/>
            </w:pPr>
            <w:r w:rsidRPr="00A15951">
              <w:t>1.2.</w:t>
            </w:r>
            <w:r w:rsidRPr="00A15951">
              <w:tab/>
              <w:t>Identify the need for general clearing and cleaning of stage area and tak</w:t>
            </w:r>
            <w:r w:rsidRPr="00A15951">
              <w:t>e appropriate action</w:t>
            </w:r>
          </w:p>
          <w:p w:rsidR="00000000" w:rsidRPr="00A15951" w:rsidP="00A15951">
            <w:pPr>
              <w:pStyle w:val="List2"/>
            </w:pPr>
            <w:r w:rsidRPr="00A15951">
              <w:t>1.3.</w:t>
            </w:r>
            <w:r w:rsidRPr="00A15951">
              <w:tab/>
              <w:t>Mark out stage accurately in accordance with stage plan and directions from supervisor</w:t>
            </w:r>
          </w:p>
          <w:p w:rsidR="00000000" w:rsidP="00A15951">
            <w:pPr>
              <w:pStyle w:val="List2"/>
              <w:rPr>
                <w:lang w:val="en-NZ"/>
              </w:rPr>
            </w:pPr>
            <w:r w:rsidRPr="00A15951">
              <w:t>1.4.</w:t>
            </w:r>
            <w:r w:rsidRPr="00A15951">
              <w:tab/>
              <w:t xml:space="preserve">Liaise with </w:t>
            </w:r>
            <w:r w:rsidRPr="00A15951">
              <w:rPr>
                <w:rStyle w:val="BoldandItalics"/>
              </w:rPr>
              <w:t>other production personnel</w:t>
            </w:r>
            <w:r w:rsidRPr="00A15951">
              <w:t xml:space="preserve"> to ensure timing of staging installation is appropriate in relation to other production requirements</w:t>
            </w:r>
          </w:p>
        </w:tc>
      </w:tr>
      <w:tr w:rsidTr="002133D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List"/>
              <w:rPr>
                <w:lang w:val="en-NZ"/>
              </w:rPr>
            </w:pPr>
            <w:r w:rsidRPr="00A15951">
              <w:t>2.</w:t>
            </w:r>
            <w:r w:rsidRPr="00A15951">
              <w:tab/>
              <w:t>Lay up floor and position set 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2"/>
            </w:pPr>
            <w:r w:rsidRPr="00A15951">
              <w:t>2.1.</w:t>
            </w:r>
            <w:r w:rsidRPr="00A15951">
              <w:tab/>
              <w:t xml:space="preserve">Lay up </w:t>
            </w:r>
            <w:r w:rsidRPr="00A15951">
              <w:rPr>
                <w:rStyle w:val="BoldandItalics"/>
              </w:rPr>
              <w:t>floor</w:t>
            </w:r>
            <w:r w:rsidRPr="00A15951">
              <w:t xml:space="preserve"> in accordance with stage plan and directions from supervisor</w:t>
            </w:r>
          </w:p>
          <w:p w:rsidR="00000000" w:rsidRPr="00A15951" w:rsidP="00A15951">
            <w:pPr>
              <w:pStyle w:val="List2"/>
            </w:pPr>
            <w:r w:rsidRPr="00A15951">
              <w:t>2.2.</w:t>
            </w:r>
            <w:r w:rsidRPr="00A15951">
              <w:tab/>
              <w:t xml:space="preserve">Move and assemble </w:t>
            </w:r>
            <w:r w:rsidRPr="00A15951">
              <w:rPr>
                <w:rStyle w:val="BoldandItalics"/>
              </w:rPr>
              <w:t>set pieces</w:t>
            </w:r>
            <w:r w:rsidRPr="00A15951">
              <w:t xml:space="preserve"> </w:t>
            </w:r>
            <w:r w:rsidRPr="00A15951">
              <w:t>in accordance with stage plan and directions from supervisor</w:t>
            </w:r>
          </w:p>
          <w:p w:rsidR="00000000" w:rsidRPr="00A15951" w:rsidP="00A15951">
            <w:pPr>
              <w:pStyle w:val="List2"/>
            </w:pPr>
            <w:r w:rsidRPr="00A15951">
              <w:t>2.3.</w:t>
            </w:r>
            <w:r w:rsidRPr="00A15951">
              <w:tab/>
              <w:t>Follow appropriate safety procedures when laying floor and positioning set pieces</w:t>
            </w:r>
          </w:p>
          <w:p w:rsidR="00000000" w:rsidRPr="00A15951" w:rsidP="00A15951">
            <w:pPr>
              <w:pStyle w:val="List2"/>
            </w:pPr>
            <w:r w:rsidRPr="00A15951">
              <w:t>2.4.</w:t>
            </w:r>
            <w:r w:rsidRPr="00A15951">
              <w:tab/>
              <w:t>Identify any adjustments required in consultation with supervisor and other personnel and take appropri</w:t>
            </w:r>
            <w:r w:rsidRPr="00A15951">
              <w:t>ate action</w:t>
            </w:r>
          </w:p>
          <w:p w:rsidR="00000000" w:rsidRPr="00A15951" w:rsidP="00A15951">
            <w:pPr>
              <w:pStyle w:val="List2"/>
            </w:pPr>
            <w:r w:rsidRPr="00A15951">
              <w:t>2.5.</w:t>
            </w:r>
            <w:r w:rsidRPr="00A15951">
              <w:tab/>
              <w:t>Clean up and clean surrounding areas to ensure safe work space for all personnel</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9" w:name="O_70463"/>
      <w:bookmarkEnd w:id="9"/>
      <w:r w:rsidRPr="00A15951">
        <w:t>Required Skills and Knowledge</w:t>
      </w:r>
    </w:p>
    <w:tbl>
      <w:tblPr>
        <w:tblW w:w="0" w:type="auto"/>
        <w:tblLayout w:type="fixed"/>
        <w:tblCellMar>
          <w:left w:w="62" w:type="dxa"/>
          <w:right w:w="62" w:type="dxa"/>
        </w:tblCellMar>
        <w:tblLook w:val="0000"/>
      </w:tblPr>
      <w:tblGrid>
        <w:gridCol w:w="8522"/>
      </w:tblGrid>
      <w:tr w:rsidTr="002133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REQUIRED SKILLS AND KNOWLEDGE</w:t>
            </w:r>
          </w:p>
        </w:tc>
      </w:tr>
      <w:tr w:rsidTr="002133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t>This section describes the skills and knowledge required for this unit.</w:t>
            </w:r>
          </w:p>
        </w:tc>
      </w:tr>
      <w:tr w:rsidTr="00213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ListBullet"/>
              <w:rPr>
                <w:lang w:val="en-NZ"/>
              </w:rPr>
            </w:pPr>
            <w:r w:rsidRPr="00A15951">
              <w:t>Required skills</w:t>
            </w:r>
          </w:p>
        </w:tc>
      </w:tr>
      <w:tr w:rsidTr="00213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Bullet"/>
            </w:pPr>
            <w:r w:rsidRPr="00A15951">
              <w:t>literacy skills sufficient to interpret a stage plan</w:t>
            </w:r>
          </w:p>
          <w:p w:rsidR="00000000" w:rsidP="00A15951">
            <w:pPr>
              <w:pStyle w:val="ListBullet"/>
              <w:rPr>
                <w:lang w:val="en-NZ"/>
              </w:rPr>
            </w:pPr>
            <w:r w:rsidRPr="00A15951">
              <w:t>numeracy skills sufficient to take basic stage and staging measurements</w:t>
            </w:r>
          </w:p>
        </w:tc>
      </w:tr>
      <w:tr w:rsidTr="00213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Required knowledge</w:t>
            </w:r>
          </w:p>
        </w:tc>
      </w:tr>
      <w:tr w:rsidTr="00213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Bullet"/>
            </w:pPr>
            <w:r w:rsidRPr="00A15951">
              <w:t xml:space="preserve">role of staging personnel within the overall production and interrelationship with </w:t>
            </w:r>
            <w:r w:rsidRPr="00A15951">
              <w:t>other production personnel</w:t>
            </w:r>
          </w:p>
          <w:p w:rsidR="00000000" w:rsidRPr="00A15951" w:rsidP="00A15951">
            <w:pPr>
              <w:pStyle w:val="ListBullet"/>
            </w:pPr>
            <w:r w:rsidRPr="00A15951">
              <w:t>stage geography and terminology, including upstage, downstage, on/offstage, stage right/left, scenery dock, PS, OP, cameral left, camera right (for film and TV)</w:t>
            </w:r>
          </w:p>
          <w:p w:rsidR="00000000" w:rsidRPr="00A15951" w:rsidP="00A15951">
            <w:pPr>
              <w:pStyle w:val="ListBullet"/>
            </w:pPr>
            <w:r w:rsidRPr="00A15951">
              <w:t>different types of common stage machinery and equipment and the main</w:t>
            </w:r>
            <w:r w:rsidRPr="00A15951">
              <w:t xml:space="preserve"> safety issues associated with their use </w:t>
            </w:r>
          </w:p>
          <w:p w:rsidR="00000000" w:rsidRPr="00A15951" w:rsidP="00A15951">
            <w:pPr>
              <w:pStyle w:val="ListBullet"/>
            </w:pPr>
            <w:r w:rsidRPr="00A15951">
              <w:t>basic set assembly, including the correct way to run and float a flat, to lash/toggle and pinhinge flats together and to use tech screws and bolts for assembling set pieces</w:t>
            </w:r>
          </w:p>
          <w:p w:rsidR="00000000" w:rsidRPr="00A15951" w:rsidP="00A15951">
            <w:pPr>
              <w:pStyle w:val="ListBullet"/>
            </w:pPr>
            <w:r w:rsidRPr="00A15951">
              <w:t>methods of tying cloths, drapes, tabs, et</w:t>
            </w:r>
            <w:r w:rsidRPr="00A15951">
              <w:t>c to a barrel, including legs, borders, scrims, gauzes, cycloramas</w:t>
            </w:r>
          </w:p>
          <w:p w:rsidR="00000000" w:rsidRPr="00A15951" w:rsidP="00A15951">
            <w:pPr>
              <w:pStyle w:val="ListBullet"/>
            </w:pPr>
            <w:r w:rsidRPr="00A15951">
              <w:t>a variety of knots, including bowline, clove, hitch, half-hitch, reef knot, rolling hitch, truckies hitch, overhand knot, figure of eight knot (single and double), whippings and rope seizin</w:t>
            </w:r>
            <w:r w:rsidRPr="00A15951">
              <w:t>g</w:t>
            </w:r>
          </w:p>
          <w:p w:rsidR="00000000" w:rsidRPr="00A15951" w:rsidP="00A15951">
            <w:pPr>
              <w:pStyle w:val="ListBullet"/>
            </w:pPr>
            <w:r w:rsidRPr="00A15951">
              <w:t>occupational health and safety requirements and their application to stage mechanics,, including the handling of hazardous substances</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10" w:name="O_70464"/>
      <w:bookmarkEnd w:id="10"/>
      <w:r w:rsidRPr="00A15951">
        <w:t>Evidence Guide</w:t>
      </w:r>
    </w:p>
    <w:tbl>
      <w:tblPr>
        <w:tblW w:w="9570" w:type="dxa"/>
        <w:tblLayout w:type="fixed"/>
        <w:tblCellMar>
          <w:left w:w="62" w:type="dxa"/>
          <w:right w:w="62" w:type="dxa"/>
        </w:tblCellMar>
        <w:tblLook w:val="0000"/>
      </w:tblPr>
      <w:tblGrid>
        <w:gridCol w:w="3908"/>
        <w:gridCol w:w="5662"/>
      </w:tblGrid>
      <w:tr w:rsidTr="002133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EVIDENCE GUIDE</w:t>
            </w:r>
          </w:p>
        </w:tc>
      </w:tr>
      <w:tr w:rsidTr="002133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t>The Evidence Guide provides advice on assessment and must be read in conjunction with the performance criteria, required skills and knowledge, range statement and the Assessment Guidelines for the Training Package.</w:t>
            </w:r>
          </w:p>
        </w:tc>
      </w:tr>
      <w:tr w:rsidTr="00213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p>
        </w:tc>
      </w:tr>
      <w:tr w:rsidTr="00213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The following evidence is critical to the judgement of competence in this unit:</w:t>
            </w:r>
          </w:p>
          <w:p w:rsidR="00000000" w:rsidRPr="00A15951" w:rsidP="00A15951">
            <w:pPr>
              <w:pStyle w:val="ListBullet"/>
            </w:pPr>
            <w:r w:rsidRPr="00A15951">
              <w:t xml:space="preserve">knowledge of the roles and functions of staging departments and staging personnel </w:t>
            </w:r>
          </w:p>
          <w:p w:rsidR="00000000" w:rsidRPr="00A15951" w:rsidP="00A15951">
            <w:pPr>
              <w:pStyle w:val="ListBullet"/>
            </w:pPr>
            <w:r w:rsidRPr="00A15951">
              <w:t xml:space="preserve">knowledge of entertainment industry terminology in relation to staging </w:t>
            </w:r>
          </w:p>
          <w:p w:rsidR="00000000" w:rsidP="00A15951">
            <w:pPr>
              <w:pStyle w:val="ListBullet"/>
              <w:rPr>
                <w:lang w:val="en-NZ"/>
              </w:rPr>
            </w:pPr>
            <w:r w:rsidRPr="00A15951">
              <w:t>ability to follow instructions and safety procedures.</w:t>
            </w:r>
          </w:p>
        </w:tc>
      </w:tr>
      <w:tr w:rsidTr="00213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The assessment context must ensure:</w:t>
            </w:r>
          </w:p>
          <w:p w:rsidR="00000000" w:rsidRPr="00A15951" w:rsidP="00A15951">
            <w:pPr>
              <w:pStyle w:val="ListBullet"/>
            </w:pPr>
            <w:r w:rsidRPr="00A15951">
              <w:t>demonstration of skills through the instal</w:t>
            </w:r>
            <w:r w:rsidRPr="00A15951">
              <w:t>lation of staging that includes as a minimum the installation of flooring and basic set pieces</w:t>
            </w:r>
          </w:p>
          <w:p w:rsidR="00000000" w:rsidP="00A15951">
            <w:pPr>
              <w:pStyle w:val="ListBullet"/>
              <w:rPr>
                <w:lang w:val="en-NZ"/>
              </w:rPr>
            </w:pPr>
            <w:r w:rsidRPr="00A15951">
              <w:t>involvement of and interaction with a team with whom the candidate can work and which is able to provide the overall direction for staging set-up.</w:t>
            </w:r>
          </w:p>
        </w:tc>
      </w:tr>
      <w:tr w:rsidTr="00213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Method of ass</w:t>
            </w:r>
            <w:r w:rsidRPr="00A15951">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Assessment may incorporate a range of methods to assess performance and the application of essential underpinning knowledge, and might include:</w:t>
            </w:r>
          </w:p>
          <w:p w:rsidR="00000000" w:rsidRPr="00A15951" w:rsidP="00A15951">
            <w:pPr>
              <w:pStyle w:val="ListBullet"/>
            </w:pPr>
            <w:r w:rsidRPr="00A15951">
              <w:t>direct observation of the candidate using appropriate and safe techniques to install staging</w:t>
            </w:r>
          </w:p>
          <w:p w:rsidR="00000000" w:rsidRPr="00A15951" w:rsidP="00A15951">
            <w:pPr>
              <w:pStyle w:val="ListBullet"/>
            </w:pPr>
            <w:r w:rsidRPr="00A15951">
              <w:t>inspection</w:t>
            </w:r>
            <w:r w:rsidRPr="00A15951">
              <w:t>/evaluation of staging elements positioned by the candidate</w:t>
            </w:r>
          </w:p>
          <w:p w:rsidR="00000000" w:rsidRPr="00A15951" w:rsidP="00A15951">
            <w:pPr>
              <w:pStyle w:val="ListBullet"/>
            </w:pPr>
            <w:r w:rsidRPr="00A15951">
              <w:t>oral or written questioning to assess knowledge of staging terminology, features and uses of different types of equipment and stage geography</w:t>
            </w:r>
          </w:p>
          <w:p w:rsidR="00000000" w:rsidRPr="00A15951" w:rsidP="00A15951">
            <w:pPr>
              <w:pStyle w:val="ListBullet"/>
            </w:pPr>
            <w:r w:rsidRPr="00A15951">
              <w:t>review of portfolios of evide</w:t>
            </w:r>
            <w:r w:rsidRPr="00A15951">
              <w:t>nce and third party workplace reports of on-the-job performance by the candidate.</w:t>
            </w:r>
          </w:p>
          <w:p w:rsidR="00000000" w:rsidRPr="00A15951" w:rsidP="00A15951">
            <w:pPr>
              <w:pStyle w:val="BodyText"/>
            </w:pPr>
          </w:p>
          <w:p w:rsidR="00000000" w:rsidP="00A15951">
            <w:pPr>
              <w:pStyle w:val="BodyText"/>
              <w:rPr>
                <w:lang w:val="en-NZ"/>
              </w:rPr>
            </w:pPr>
            <w:r w:rsidRPr="00A15951">
              <w:t>Assessment methods should closely reflect workplace demands and the needs of particular groups (e.g. people with disabilities, and people who may have literacy or numeracy d</w:t>
            </w:r>
            <w:r w:rsidRPr="00A15951">
              <w:t>ifficulties such as speakers of languages other than English, remote communities and those with interrupted schooling).</w:t>
            </w:r>
          </w:p>
        </w:tc>
      </w:tr>
      <w:tr w:rsidTr="00213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Assessment of this unit requires access to:</w:t>
            </w:r>
          </w:p>
          <w:p w:rsidR="00000000" w:rsidRPr="00A15951" w:rsidP="00A15951">
            <w:pPr>
              <w:pStyle w:val="ListBullet"/>
            </w:pPr>
            <w:r w:rsidRPr="00A15951">
              <w:t>staging machinery, equipment and tools</w:t>
            </w:r>
          </w:p>
          <w:p w:rsidR="00000000" w:rsidRPr="00A15951" w:rsidP="00A15951">
            <w:pPr>
              <w:pStyle w:val="ListBullet"/>
            </w:pPr>
            <w:r w:rsidRPr="00A15951">
              <w:t xml:space="preserve">venue at which </w:t>
            </w:r>
            <w:r w:rsidRPr="00A15951">
              <w:t>a production is being staged.</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11" w:name="O_70465"/>
      <w:bookmarkEnd w:id="11"/>
      <w:r w:rsidRPr="00A15951">
        <w:t>Range Statement</w:t>
      </w:r>
    </w:p>
    <w:tbl>
      <w:tblPr>
        <w:tblW w:w="0" w:type="auto"/>
        <w:tblLayout w:type="fixed"/>
        <w:tblCellMar>
          <w:left w:w="62" w:type="dxa"/>
          <w:right w:w="62" w:type="dxa"/>
        </w:tblCellMar>
        <w:tblLook w:val="0000"/>
      </w:tblPr>
      <w:tblGrid>
        <w:gridCol w:w="3500"/>
        <w:gridCol w:w="5022"/>
      </w:tblGrid>
      <w:tr w:rsidTr="002133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RANGE STATEMENT</w:t>
            </w:r>
          </w:p>
        </w:tc>
      </w:tr>
      <w:tr w:rsidTr="002133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t xml:space="preserve">The range statement relates to the unit of competency as a whole. It allows for different work environments and situations that may affect </w:t>
            </w:r>
            <w:r w:rsidRPr="00A15951">
              <w:t>performance. Bold italicised wording, if used in the performance criteria, is detailed below. Essential operating conditions that may be present with training and assessment (depending on the work situation, needs of the candidate, accessibility of the ite</w:t>
            </w:r>
            <w:r w:rsidRPr="00A15951">
              <w:t>m, and local industry and regional contexts) may also be included.</w:t>
            </w:r>
          </w:p>
        </w:tc>
      </w:tr>
      <w:tr w:rsidTr="002133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BoldandItalics"/>
              </w:rPr>
              <w:t>Other production personnel</w:t>
            </w:r>
            <w:r w:rsidRPr="00A1595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Bullet"/>
            </w:pPr>
            <w:r w:rsidRPr="00A15951">
              <w:t>designers</w:t>
            </w:r>
          </w:p>
          <w:p w:rsidR="00000000" w:rsidRPr="00A15951" w:rsidP="00A15951">
            <w:pPr>
              <w:pStyle w:val="ListBullet"/>
            </w:pPr>
            <w:r w:rsidRPr="00A15951">
              <w:t>directors</w:t>
            </w:r>
          </w:p>
          <w:p w:rsidR="00000000" w:rsidRPr="00A15951" w:rsidP="00A15951">
            <w:pPr>
              <w:pStyle w:val="ListBullet"/>
            </w:pPr>
            <w:r w:rsidRPr="00A15951">
              <w:t>production managers</w:t>
            </w:r>
          </w:p>
          <w:p w:rsidR="00000000" w:rsidRPr="00A15951" w:rsidP="00A15951">
            <w:pPr>
              <w:pStyle w:val="ListBullet"/>
            </w:pPr>
            <w:r w:rsidRPr="00A15951">
              <w:t>stage managers</w:t>
            </w:r>
          </w:p>
          <w:p w:rsidR="00000000" w:rsidRPr="00A15951" w:rsidP="00A15951">
            <w:pPr>
              <w:pStyle w:val="ListBullet"/>
            </w:pPr>
            <w:r w:rsidRPr="00A15951">
              <w:t>technical specialists</w:t>
            </w:r>
          </w:p>
          <w:p w:rsidR="00000000" w:rsidP="00A15951">
            <w:pPr>
              <w:pStyle w:val="ListBullet"/>
              <w:rPr>
                <w:lang w:val="en-NZ"/>
              </w:rPr>
            </w:pPr>
            <w:r w:rsidRPr="00A15951">
              <w:t>venue management</w:t>
            </w:r>
          </w:p>
        </w:tc>
      </w:tr>
      <w:tr w:rsidTr="002133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BoldandItalics"/>
              </w:rPr>
              <w:t>Floor</w:t>
            </w:r>
            <w:r w:rsidRPr="00A15951">
              <w:t xml:space="preserve"> may be laid up using:</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Bullet"/>
            </w:pPr>
            <w:r w:rsidRPr="00A15951">
              <w:t>carpet</w:t>
            </w:r>
          </w:p>
          <w:p w:rsidR="00000000" w:rsidRPr="00A15951" w:rsidP="00A15951">
            <w:pPr>
              <w:pStyle w:val="ListBullet"/>
            </w:pPr>
            <w:r w:rsidRPr="00A15951">
              <w:t>dance floors, e.g. tarkett</w:t>
            </w:r>
          </w:p>
          <w:p w:rsidR="00000000" w:rsidRPr="00A15951" w:rsidP="00A15951">
            <w:pPr>
              <w:pStyle w:val="ListBullet"/>
            </w:pPr>
            <w:r w:rsidRPr="00A15951">
              <w:t>floor cloths/cladding</w:t>
            </w:r>
          </w:p>
          <w:p w:rsidR="00000000" w:rsidRPr="00A15951" w:rsidP="00A15951">
            <w:pPr>
              <w:pStyle w:val="ListBullet"/>
            </w:pPr>
            <w:r w:rsidRPr="00A15951">
              <w:t>masonite</w:t>
            </w:r>
          </w:p>
          <w:p w:rsidR="00000000" w:rsidP="00A15951">
            <w:pPr>
              <w:pStyle w:val="ListBullet"/>
              <w:rPr>
                <w:lang w:val="en-NZ"/>
              </w:rPr>
            </w:pPr>
            <w:r w:rsidRPr="00A15951">
              <w:t>vinyl</w:t>
            </w:r>
          </w:p>
        </w:tc>
      </w:tr>
      <w:tr w:rsidTr="002133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BoldandItalics"/>
              </w:rPr>
              <w:t>Set pieces</w:t>
            </w:r>
            <w:r w:rsidRPr="00A1595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ListBullet"/>
            </w:pPr>
            <w:r w:rsidRPr="00A15951">
              <w:t>framed scenery, e.g.: flats, profiles, doors, windows</w:t>
            </w:r>
          </w:p>
          <w:p w:rsidR="00000000" w:rsidRPr="00A15951" w:rsidP="00A15951">
            <w:pPr>
              <w:pStyle w:val="ListBullet"/>
            </w:pPr>
            <w:r w:rsidRPr="00A15951">
              <w:t>furniture and other set props</w:t>
            </w:r>
          </w:p>
          <w:p w:rsidR="00000000" w:rsidRPr="00A15951" w:rsidP="00A15951">
            <w:pPr>
              <w:pStyle w:val="ListBullet"/>
            </w:pPr>
            <w:r w:rsidRPr="00A15951">
              <w:t>non-weight bearing scenery, eg: columns, trees</w:t>
            </w:r>
          </w:p>
          <w:p w:rsidR="00000000" w:rsidRPr="00A15951" w:rsidP="00A15951">
            <w:pPr>
              <w:pStyle w:val="ListBullet"/>
            </w:pPr>
            <w:r w:rsidRPr="00A15951">
              <w:t>revolves</w:t>
            </w:r>
          </w:p>
          <w:p w:rsidR="00000000" w:rsidRPr="00A15951" w:rsidP="00A15951">
            <w:pPr>
              <w:pStyle w:val="ListBullet"/>
            </w:pPr>
            <w:r w:rsidRPr="00A15951">
              <w:t>soft scenery, e.g.: canvas legs, borders, cloths, gauzes, cycloramas</w:t>
            </w:r>
          </w:p>
          <w:p w:rsidR="00000000" w:rsidRPr="00A15951" w:rsidP="00A15951">
            <w:pPr>
              <w:pStyle w:val="ListBullet"/>
            </w:pPr>
            <w:r w:rsidRPr="00A15951">
              <w:t>trucks</w:t>
            </w:r>
          </w:p>
          <w:p w:rsidR="00000000" w:rsidRPr="00A15951" w:rsidP="00A15951">
            <w:pPr>
              <w:pStyle w:val="ListBullet"/>
            </w:pPr>
            <w:r w:rsidRPr="00A15951">
              <w:t>weight bearing scenery, e.g.: rostra, ramps, steps</w:t>
            </w:r>
          </w:p>
        </w:tc>
      </w:tr>
    </w:tbl>
    <w:p w:rsidR="002133D1" w:rsidP="00A15951">
      <w:pPr>
        <w:pStyle w:val="BodyText"/>
      </w:pPr>
    </w:p>
    <w:p w:rsidR="002133D1" w:rsidP="00A15951">
      <w:pPr>
        <w:pStyle w:val="BodyText"/>
      </w:pPr>
    </w:p>
    <w:p w:rsidR="00000000" w:rsidRPr="00A15951" w:rsidP="00A15951">
      <w:pPr>
        <w:pStyle w:val="Heading1"/>
      </w:pPr>
      <w:bookmarkStart w:id="12" w:name="O_70466"/>
      <w:bookmarkEnd w:id="12"/>
      <w:r w:rsidRPr="00A15951">
        <w:t>Unit Sector(s)</w:t>
      </w:r>
    </w:p>
    <w:tbl>
      <w:tblPr>
        <w:tblW w:w="0" w:type="auto"/>
        <w:tblLayout w:type="fixed"/>
        <w:tblCellMar>
          <w:left w:w="62" w:type="dxa"/>
          <w:right w:w="62" w:type="dxa"/>
        </w:tblCellMar>
        <w:tblLook w:val="0000"/>
      </w:tblPr>
      <w:tblGrid>
        <w:gridCol w:w="2654"/>
        <w:gridCol w:w="5868"/>
      </w:tblGrid>
      <w:tr w:rsidTr="002133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13" w:name="O_155035"/>
      <w:bookmarkEnd w:id="13"/>
      <w:r w:rsidRPr="00A15951">
        <w:t>Competency field</w:t>
      </w:r>
    </w:p>
    <w:tbl>
      <w:tblPr>
        <w:tblW w:w="0" w:type="auto"/>
        <w:tblLayout w:type="fixed"/>
        <w:tblCellMar>
          <w:left w:w="62" w:type="dxa"/>
          <w:right w:w="62" w:type="dxa"/>
        </w:tblCellMar>
        <w:tblLook w:val="0000"/>
      </w:tblPr>
      <w:tblGrid>
        <w:gridCol w:w="2778"/>
        <w:gridCol w:w="5744"/>
      </w:tblGrid>
      <w:tr w:rsidTr="002133D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r w:rsidRPr="00A15951">
              <w:t>Media and entertainment production - staging</w:t>
            </w:r>
          </w:p>
        </w:tc>
      </w:tr>
    </w:tbl>
    <w:p w:rsidR="00000000" w:rsidRPr="00A15951" w:rsidP="00A15951">
      <w:pPr>
        <w:pStyle w:val="BodyText"/>
      </w:pPr>
    </w:p>
    <w:p w:rsidR="00000000" w:rsidRPr="00A15951" w:rsidP="00A15951">
      <w:pPr>
        <w:pStyle w:val="AllowPageBreak"/>
      </w:pPr>
    </w:p>
    <w:p w:rsidR="00000000" w:rsidRPr="00A15951" w:rsidP="00A15951">
      <w:pPr>
        <w:pStyle w:val="Heading1"/>
      </w:pPr>
      <w:bookmarkStart w:id="14" w:name="O_155034"/>
      <w:bookmarkEnd w:id="14"/>
      <w:r w:rsidRPr="00A15951">
        <w:t>Co-requisite units</w:t>
      </w:r>
    </w:p>
    <w:tbl>
      <w:tblPr>
        <w:tblW w:w="0" w:type="auto"/>
        <w:tblLayout w:type="fixed"/>
        <w:tblCellMar>
          <w:left w:w="62" w:type="dxa"/>
          <w:right w:w="62" w:type="dxa"/>
        </w:tblCellMar>
        <w:tblLook w:val="0000"/>
      </w:tblPr>
      <w:tblGrid>
        <w:gridCol w:w="2641"/>
        <w:gridCol w:w="1322"/>
        <w:gridCol w:w="4559"/>
      </w:tblGrid>
      <w:tr w:rsidTr="002133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r w:rsidRPr="00A159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p>
        </w:tc>
      </w:tr>
      <w:tr w:rsidTr="002133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951">
            <w:pPr>
              <w:pStyle w:val="BodyText"/>
              <w:rPr>
                <w:lang w:val="en-NZ"/>
              </w:rPr>
            </w:pPr>
          </w:p>
        </w:tc>
      </w:tr>
      <w:tr w:rsidTr="002133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951" w:rsidP="00A15951">
            <w:pPr>
              <w:pStyle w:val="BodyText"/>
            </w:pPr>
          </w:p>
        </w:tc>
      </w:tr>
    </w:tbl>
    <w:p w:rsidR="00000000" w:rsidRPr="00A15951" w:rsidP="00A15951">
      <w:pPr>
        <w:pStyle w:val="BodyText"/>
      </w:pPr>
    </w:p>
    <w:p w:rsidR="00000000" w:rsidRPr="00A15951" w:rsidP="00A15951"/>
    <w:sectPr w:rsidSect="00A15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3D1" w:rsidP="00213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D1" w:rsidP="00A15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33D1" w:rsidP="00A159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33D1" w:rsidP="00A159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3D1" w:rsidP="002133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D1" w:rsidP="00A15951">
    <w:pPr>
      <w:pStyle w:val="Header"/>
      <w:framePr w:wrap="around"/>
    </w:pPr>
    <w:r>
      <w:fldChar w:fldCharType="begin"/>
    </w:r>
    <w:r>
      <w:instrText xml:space="preserve"> TITLE   \* MERGEFORMAT </w:instrText>
    </w:r>
    <w:r>
      <w:fldChar w:fldCharType="separate"/>
    </w:r>
    <w:r>
      <w:t>CUESTA05C Apply a general knowledge of staging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33D1" w:rsidP="00A159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D23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1CD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951"/>
    <w:pPr>
      <w:spacing w:before="360" w:after="60"/>
      <w:outlineLvl w:val="0"/>
    </w:pPr>
    <w:rPr>
      <w:sz w:val="32"/>
    </w:rPr>
  </w:style>
  <w:style w:type="paragraph" w:styleId="Heading2">
    <w:name w:val="heading 2"/>
    <w:basedOn w:val="HeadingBase"/>
    <w:next w:val="BodyText"/>
    <w:link w:val="Heading2Char"/>
    <w:qFormat/>
    <w:rsid w:val="00A15951"/>
    <w:pPr>
      <w:keepLines/>
      <w:spacing w:before="240" w:after="120"/>
      <w:outlineLvl w:val="1"/>
    </w:pPr>
    <w:rPr>
      <w:sz w:val="28"/>
      <w:szCs w:val="40"/>
    </w:rPr>
  </w:style>
  <w:style w:type="paragraph" w:styleId="Heading3">
    <w:name w:val="heading 3"/>
    <w:basedOn w:val="HeadingBase"/>
    <w:next w:val="BodyText"/>
    <w:link w:val="Heading3Char"/>
    <w:qFormat/>
    <w:rsid w:val="00A15951"/>
    <w:pPr>
      <w:spacing w:before="180" w:after="120"/>
      <w:outlineLvl w:val="2"/>
    </w:pPr>
    <w:rPr>
      <w:spacing w:val="-10"/>
      <w:kern w:val="32"/>
    </w:rPr>
  </w:style>
  <w:style w:type="paragraph" w:styleId="Heading4">
    <w:name w:val="heading 4"/>
    <w:basedOn w:val="HeadingBase"/>
    <w:next w:val="BodyText"/>
    <w:link w:val="Heading4Char"/>
    <w:qFormat/>
    <w:rsid w:val="00A15951"/>
    <w:pPr>
      <w:spacing w:before="160" w:after="120"/>
      <w:outlineLvl w:val="3"/>
    </w:pPr>
    <w:rPr>
      <w:sz w:val="22"/>
    </w:rPr>
  </w:style>
  <w:style w:type="paragraph" w:styleId="Heading5">
    <w:name w:val="heading 5"/>
    <w:basedOn w:val="HeadingBase"/>
    <w:next w:val="Normal"/>
    <w:link w:val="Heading5Char"/>
    <w:qFormat/>
    <w:rsid w:val="00A15951"/>
    <w:pPr>
      <w:spacing w:before="80"/>
      <w:outlineLvl w:val="4"/>
    </w:pPr>
    <w:rPr>
      <w:color w:val="918585"/>
      <w:sz w:val="20"/>
    </w:rPr>
  </w:style>
  <w:style w:type="paragraph" w:styleId="Heading6">
    <w:name w:val="heading 6"/>
    <w:basedOn w:val="HeadingBase"/>
    <w:next w:val="Normal"/>
    <w:link w:val="Heading6Char"/>
    <w:qFormat/>
    <w:rsid w:val="00A15951"/>
    <w:pPr>
      <w:spacing w:before="60"/>
      <w:outlineLvl w:val="5"/>
    </w:pPr>
    <w:rPr>
      <w:color w:val="918585"/>
      <w:sz w:val="20"/>
    </w:rPr>
  </w:style>
  <w:style w:type="paragraph" w:styleId="Heading7">
    <w:name w:val="heading 7"/>
    <w:basedOn w:val="Normal"/>
    <w:next w:val="Normal"/>
    <w:link w:val="Heading7Char"/>
    <w:qFormat/>
    <w:rsid w:val="00A15951"/>
    <w:pPr>
      <w:ind w:left="720"/>
      <w:outlineLvl w:val="6"/>
    </w:pPr>
    <w:rPr>
      <w:i/>
    </w:rPr>
  </w:style>
  <w:style w:type="paragraph" w:styleId="Heading8">
    <w:name w:val="heading 8"/>
    <w:basedOn w:val="Normal"/>
    <w:next w:val="Normal"/>
    <w:link w:val="Heading8Char"/>
    <w:qFormat/>
    <w:rsid w:val="00A15951"/>
    <w:pPr>
      <w:ind w:left="720"/>
      <w:outlineLvl w:val="7"/>
    </w:pPr>
    <w:rPr>
      <w:i/>
    </w:rPr>
  </w:style>
  <w:style w:type="paragraph" w:styleId="Heading9">
    <w:name w:val="heading 9"/>
    <w:basedOn w:val="Normal"/>
    <w:next w:val="Normal"/>
    <w:link w:val="Heading9Char"/>
    <w:qFormat/>
    <w:rsid w:val="00A15951"/>
    <w:pPr>
      <w:ind w:left="720"/>
      <w:outlineLvl w:val="8"/>
    </w:pPr>
    <w:rPr>
      <w:i/>
    </w:rPr>
  </w:style>
  <w:style w:type="character" w:default="1" w:styleId="DefaultParagraphFont">
    <w:name w:val="Default Paragraph Font"/>
    <w:uiPriority w:val="1"/>
    <w:unhideWhenUsed/>
    <w:rsid w:val="00A15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951"/>
  </w:style>
  <w:style w:type="character" w:customStyle="1" w:styleId="Heading1Char">
    <w:name w:val="Heading 1 Char"/>
    <w:basedOn w:val="DefaultParagraphFont"/>
    <w:link w:val="Heading1"/>
    <w:rsid w:val="00A15951"/>
    <w:rPr>
      <w:rFonts w:ascii="Times New Roman" w:eastAsia="Times New Roman" w:hAnsi="Times New Roman" w:cs="Times New Roman"/>
      <w:b/>
      <w:sz w:val="32"/>
      <w:szCs w:val="20"/>
      <w:lang w:eastAsia="en-US"/>
    </w:rPr>
  </w:style>
  <w:style w:type="paragraph" w:styleId="BodyText">
    <w:name w:val="Body Text"/>
    <w:basedOn w:val="Normal"/>
    <w:link w:val="BodyTextChar"/>
    <w:rsid w:val="00A15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951"/>
    <w:rPr>
      <w:rFonts w:ascii="Times New Roman" w:eastAsia="Times New Roman" w:hAnsi="Times New Roman" w:cs="Times New Roman"/>
      <w:sz w:val="24"/>
      <w:lang w:val="en-US" w:eastAsia="en-US"/>
    </w:rPr>
  </w:style>
  <w:style w:type="paragraph" w:styleId="Footer">
    <w:name w:val="footer"/>
    <w:basedOn w:val="Normal"/>
    <w:link w:val="FooterChar"/>
    <w:rsid w:val="00A15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951"/>
    <w:rPr>
      <w:rFonts w:ascii="Times New Roman" w:eastAsia="Times New Roman" w:hAnsi="Times New Roman" w:cs="Times New Roman"/>
      <w:sz w:val="16"/>
      <w:lang w:val="en-US" w:eastAsia="en-US"/>
    </w:rPr>
  </w:style>
  <w:style w:type="paragraph" w:styleId="List">
    <w:name w:val="List"/>
    <w:basedOn w:val="BodyText"/>
    <w:next w:val="BodyText"/>
    <w:rsid w:val="00A15951"/>
    <w:pPr>
      <w:tabs>
        <w:tab w:val="left" w:pos="340"/>
      </w:tabs>
      <w:spacing w:before="60" w:after="60"/>
      <w:ind w:left="340" w:hanging="340"/>
    </w:pPr>
  </w:style>
  <w:style w:type="paragraph" w:styleId="ListBullet">
    <w:name w:val="List Bullet"/>
    <w:basedOn w:val="List"/>
    <w:rsid w:val="00A15951"/>
    <w:pPr>
      <w:numPr>
        <w:numId w:val="12"/>
      </w:numPr>
      <w:tabs>
        <w:tab w:val="clear" w:pos="340"/>
      </w:tabs>
      <w:spacing w:before="40" w:after="40"/>
    </w:pPr>
  </w:style>
  <w:style w:type="character" w:customStyle="1" w:styleId="SpecialBold">
    <w:name w:val="Special Bold"/>
    <w:basedOn w:val="DefaultParagraphFont"/>
    <w:rsid w:val="00A15951"/>
    <w:rPr>
      <w:b/>
      <w:spacing w:val="0"/>
    </w:rPr>
  </w:style>
  <w:style w:type="paragraph" w:styleId="Header">
    <w:name w:val="header"/>
    <w:basedOn w:val="Normal"/>
    <w:link w:val="HeaderChar"/>
    <w:rsid w:val="00A15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9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5951"/>
    <w:pPr>
      <w:spacing w:before="240" w:after="120"/>
      <w:outlineLvl w:val="0"/>
    </w:pPr>
    <w:rPr>
      <w:rFonts w:ascii="Times New Roman" w:hAnsi="Times New Roman"/>
      <w:b/>
      <w:sz w:val="28"/>
    </w:rPr>
  </w:style>
  <w:style w:type="paragraph" w:customStyle="1" w:styleId="AllowPageBreak">
    <w:name w:val="AllowPageBreak"/>
    <w:rsid w:val="00A159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5951"/>
    <w:pPr>
      <w:tabs>
        <w:tab w:val="left" w:pos="680"/>
      </w:tabs>
      <w:spacing w:before="60" w:after="60"/>
      <w:ind w:left="680" w:hanging="340"/>
    </w:pPr>
  </w:style>
  <w:style w:type="character" w:customStyle="1" w:styleId="BoldandItalics">
    <w:name w:val="Bold and Italics"/>
    <w:qFormat/>
    <w:rsid w:val="00A15951"/>
    <w:rPr>
      <w:b/>
      <w:i/>
      <w:u w:val="none"/>
    </w:rPr>
  </w:style>
  <w:style w:type="character" w:customStyle="1" w:styleId="Heading2Char">
    <w:name w:val="Heading 2 Char"/>
    <w:basedOn w:val="DefaultParagraphFont"/>
    <w:link w:val="Heading2"/>
    <w:rsid w:val="00A15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9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9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951"/>
    <w:rPr>
      <w:rFonts w:ascii="Courier New" w:eastAsia="Times New Roman" w:hAnsi="Courier New" w:cs="Times New Roman"/>
      <w:i/>
      <w:szCs w:val="20"/>
      <w:lang w:val="en-US" w:eastAsia="en-US"/>
    </w:rPr>
  </w:style>
  <w:style w:type="paragraph" w:customStyle="1" w:styleId="HeadingBase">
    <w:name w:val="Heading Base"/>
    <w:rsid w:val="00A15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951"/>
    <w:pPr>
      <w:tabs>
        <w:tab w:val="right" w:leader="dot" w:pos="9072"/>
      </w:tabs>
      <w:ind w:left="567"/>
    </w:pPr>
    <w:rPr>
      <w:szCs w:val="22"/>
    </w:rPr>
  </w:style>
  <w:style w:type="paragraph" w:customStyle="1" w:styleId="TOCBase">
    <w:name w:val="TOC Base"/>
    <w:rsid w:val="00A15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951"/>
    <w:pPr>
      <w:tabs>
        <w:tab w:val="right" w:leader="dot" w:pos="9072"/>
      </w:tabs>
      <w:spacing w:before="40" w:after="40"/>
      <w:ind w:left="284"/>
    </w:pPr>
    <w:rPr>
      <w:rFonts w:ascii="Times New Roman" w:hAnsi="Times New Roman"/>
    </w:rPr>
  </w:style>
  <w:style w:type="paragraph" w:styleId="TOC1">
    <w:name w:val="toc 1"/>
    <w:basedOn w:val="TOCBase"/>
    <w:next w:val="Normal"/>
    <w:rsid w:val="00A159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951"/>
    <w:pPr>
      <w:spacing w:before="5040"/>
      <w:jc w:val="center"/>
    </w:pPr>
    <w:rPr>
      <w:sz w:val="48"/>
      <w:szCs w:val="72"/>
      <w:lang w:val="en-US"/>
    </w:rPr>
  </w:style>
  <w:style w:type="character" w:customStyle="1" w:styleId="TitleChar">
    <w:name w:val="Title Char"/>
    <w:basedOn w:val="DefaultParagraphFont"/>
    <w:link w:val="Title"/>
    <w:rsid w:val="00A15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951"/>
    <w:pPr>
      <w:tabs>
        <w:tab w:val="left" w:pos="3600"/>
        <w:tab w:val="left" w:pos="3958"/>
      </w:tabs>
    </w:pPr>
  </w:style>
  <w:style w:type="paragraph" w:customStyle="1" w:styleId="Note">
    <w:name w:val="Note"/>
    <w:basedOn w:val="BodyText"/>
    <w:rsid w:val="00A15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951"/>
    <w:pPr>
      <w:framePr w:wrap="auto" w:hAnchor="text" w:y="6049"/>
    </w:pPr>
    <w:rPr>
      <w:color w:val="000000"/>
      <w:sz w:val="40"/>
    </w:rPr>
  </w:style>
  <w:style w:type="paragraph" w:customStyle="1" w:styleId="TOCTitle">
    <w:name w:val="TOCTitle"/>
    <w:basedOn w:val="Heading1"/>
    <w:rsid w:val="00A15951"/>
    <w:pPr>
      <w:spacing w:after="240"/>
      <w:jc w:val="center"/>
      <w:outlineLvl w:val="9"/>
    </w:pPr>
    <w:rPr>
      <w:caps/>
    </w:rPr>
  </w:style>
  <w:style w:type="paragraph" w:customStyle="1" w:styleId="Version">
    <w:name w:val="Version"/>
    <w:rsid w:val="00A15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951"/>
    <w:pPr>
      <w:numPr>
        <w:numId w:val="13"/>
      </w:numPr>
      <w:tabs>
        <w:tab w:val="clear" w:pos="680"/>
      </w:tabs>
    </w:pPr>
  </w:style>
  <w:style w:type="paragraph" w:styleId="Index1">
    <w:name w:val="index 1"/>
    <w:basedOn w:val="Normal"/>
    <w:next w:val="Normal"/>
    <w:semiHidden/>
    <w:rsid w:val="00A15951"/>
    <w:pPr>
      <w:keepNext w:val="0"/>
      <w:tabs>
        <w:tab w:val="right" w:pos="4176"/>
      </w:tabs>
      <w:ind w:left="198" w:hanging="198"/>
    </w:pPr>
    <w:rPr>
      <w:rFonts w:ascii="Garamond" w:hAnsi="Garamond"/>
    </w:rPr>
  </w:style>
  <w:style w:type="paragraph" w:styleId="IndexHeading">
    <w:name w:val="index heading"/>
    <w:basedOn w:val="Normal"/>
    <w:next w:val="Index1"/>
    <w:semiHidden/>
    <w:rsid w:val="00A15951"/>
    <w:pPr>
      <w:spacing w:before="120" w:after="120"/>
    </w:pPr>
    <w:rPr>
      <w:rFonts w:ascii="Arial" w:hAnsi="Arial"/>
      <w:b/>
      <w:color w:val="918585"/>
      <w:sz w:val="24"/>
    </w:rPr>
  </w:style>
  <w:style w:type="paragraph" w:customStyle="1" w:styleId="Chapter">
    <w:name w:val="Chapter"/>
    <w:basedOn w:val="Normal"/>
    <w:rsid w:val="00A15951"/>
    <w:pPr>
      <w:spacing w:before="240"/>
    </w:pPr>
    <w:rPr>
      <w:rFonts w:ascii="Times New Roman" w:hAnsi="Times New Roman"/>
      <w:smallCaps/>
      <w:spacing w:val="80"/>
      <w:sz w:val="28"/>
    </w:rPr>
  </w:style>
  <w:style w:type="paragraph" w:customStyle="1" w:styleId="InChapter">
    <w:name w:val="InChapter"/>
    <w:basedOn w:val="Heading3"/>
    <w:rsid w:val="00A15951"/>
    <w:pPr>
      <w:spacing w:after="240"/>
      <w:outlineLvl w:val="9"/>
    </w:pPr>
    <w:rPr>
      <w:noProof/>
    </w:rPr>
  </w:style>
  <w:style w:type="paragraph" w:styleId="Index2">
    <w:name w:val="index 2"/>
    <w:basedOn w:val="Normal"/>
    <w:next w:val="Normal"/>
    <w:semiHidden/>
    <w:rsid w:val="00A15951"/>
    <w:pPr>
      <w:tabs>
        <w:tab w:val="right" w:pos="4176"/>
      </w:tabs>
      <w:ind w:left="568" w:hanging="284"/>
    </w:pPr>
    <w:rPr>
      <w:rFonts w:ascii="Garamond" w:hAnsi="Garamond"/>
    </w:rPr>
  </w:style>
  <w:style w:type="paragraph" w:customStyle="1" w:styleId="Byline">
    <w:name w:val="Byline"/>
    <w:rsid w:val="00A15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951"/>
    <w:pPr>
      <w:tabs>
        <w:tab w:val="clear" w:pos="3600"/>
        <w:tab w:val="clear" w:pos="3958"/>
      </w:tabs>
      <w:jc w:val="right"/>
    </w:pPr>
  </w:style>
  <w:style w:type="character" w:styleId="Emphasis">
    <w:name w:val="Emphasis"/>
    <w:basedOn w:val="DefaultParagraphFont"/>
    <w:qFormat/>
    <w:rsid w:val="00A15951"/>
    <w:rPr>
      <w:i/>
    </w:rPr>
  </w:style>
  <w:style w:type="paragraph" w:styleId="Caption">
    <w:name w:val="caption"/>
    <w:basedOn w:val="BodyText"/>
    <w:next w:val="Normal"/>
    <w:qFormat/>
    <w:rsid w:val="00A15951"/>
    <w:pPr>
      <w:framePr w:w="2268" w:hSpace="181" w:vSpace="181" w:wrap="around" w:vAnchor="text" w:hAnchor="page" w:x="1135" w:y="285" w:anchorLock="1"/>
    </w:pPr>
    <w:rPr>
      <w:i/>
    </w:rPr>
  </w:style>
  <w:style w:type="paragraph" w:customStyle="1" w:styleId="MiniTOCTitle">
    <w:name w:val="MiniTOCTitle"/>
    <w:basedOn w:val="Heading4"/>
    <w:rsid w:val="00A15951"/>
    <w:pPr>
      <w:spacing w:before="240"/>
      <w:outlineLvl w:val="9"/>
    </w:pPr>
    <w:rPr>
      <w:noProof/>
      <w:sz w:val="24"/>
    </w:rPr>
  </w:style>
  <w:style w:type="paragraph" w:customStyle="1" w:styleId="MiniTOCItem">
    <w:name w:val="MiniTOCItem"/>
    <w:basedOn w:val="ListBullet"/>
    <w:rsid w:val="00A15951"/>
    <w:pPr>
      <w:numPr>
        <w:numId w:val="0"/>
      </w:numPr>
      <w:tabs>
        <w:tab w:val="right" w:leader="dot" w:pos="6521"/>
      </w:tabs>
      <w:spacing w:before="0" w:after="0"/>
    </w:pPr>
  </w:style>
  <w:style w:type="paragraph" w:customStyle="1" w:styleId="TOFTitle">
    <w:name w:val="TOFTitle"/>
    <w:basedOn w:val="TOCTitle"/>
    <w:rsid w:val="00A15951"/>
  </w:style>
  <w:style w:type="paragraph" w:styleId="TableofFigures">
    <w:name w:val="table of figures"/>
    <w:basedOn w:val="Normal"/>
    <w:next w:val="Normal"/>
    <w:semiHidden/>
    <w:rsid w:val="00A15951"/>
    <w:pPr>
      <w:tabs>
        <w:tab w:val="right" w:leader="dot" w:pos="9072"/>
      </w:tabs>
      <w:ind w:left="970" w:hanging="403"/>
    </w:pPr>
    <w:rPr>
      <w:rFonts w:ascii="Times New Roman" w:hAnsi="Times New Roman"/>
      <w:b/>
    </w:rPr>
  </w:style>
  <w:style w:type="paragraph" w:styleId="ListNumber">
    <w:name w:val="List Number"/>
    <w:basedOn w:val="List"/>
    <w:rsid w:val="00A15951"/>
    <w:pPr>
      <w:numPr>
        <w:numId w:val="10"/>
      </w:numPr>
    </w:pPr>
  </w:style>
  <w:style w:type="character" w:customStyle="1" w:styleId="WingdingSymbols">
    <w:name w:val="Wingding Symbols"/>
    <w:rsid w:val="00A15951"/>
    <w:rPr>
      <w:rFonts w:ascii="Wingdings" w:hAnsi="Wingdings"/>
    </w:rPr>
  </w:style>
  <w:style w:type="paragraph" w:customStyle="1" w:styleId="TableHeading">
    <w:name w:val="Table Heading"/>
    <w:basedOn w:val="HeadingBase"/>
    <w:rsid w:val="00A15951"/>
    <w:pPr>
      <w:keepLines/>
      <w:pBdr>
        <w:bottom w:val="single" w:sz="6" w:space="1" w:color="918585"/>
      </w:pBdr>
      <w:spacing w:before="240"/>
    </w:pPr>
  </w:style>
  <w:style w:type="character" w:customStyle="1" w:styleId="HotSpot">
    <w:name w:val="HotSpot"/>
    <w:rsid w:val="00A15951"/>
    <w:rPr>
      <w:color w:val="0033CC"/>
      <w:u w:val="none"/>
    </w:rPr>
  </w:style>
  <w:style w:type="paragraph" w:customStyle="1" w:styleId="BodyTextRight">
    <w:name w:val="Body Text Right"/>
    <w:basedOn w:val="BodyText"/>
    <w:rsid w:val="00A15951"/>
    <w:pPr>
      <w:spacing w:before="0" w:after="0"/>
      <w:jc w:val="right"/>
    </w:pPr>
  </w:style>
  <w:style w:type="paragraph" w:styleId="Index3">
    <w:name w:val="index 3"/>
    <w:basedOn w:val="ListNumber2"/>
    <w:next w:val="Normal"/>
    <w:semiHidden/>
    <w:rsid w:val="00A15951"/>
    <w:pPr>
      <w:numPr>
        <w:numId w:val="0"/>
      </w:numPr>
      <w:tabs>
        <w:tab w:val="right" w:leader="dot" w:pos="4176"/>
      </w:tabs>
    </w:pPr>
  </w:style>
  <w:style w:type="paragraph" w:styleId="ListNumber2">
    <w:name w:val="List Number 2"/>
    <w:basedOn w:val="List2"/>
    <w:rsid w:val="00A15951"/>
    <w:pPr>
      <w:numPr>
        <w:numId w:val="9"/>
      </w:numPr>
      <w:tabs>
        <w:tab w:val="clear" w:pos="1060"/>
      </w:tabs>
    </w:pPr>
  </w:style>
  <w:style w:type="paragraph" w:customStyle="1" w:styleId="MarginNote">
    <w:name w:val="Margin Note"/>
    <w:basedOn w:val="BodyText"/>
    <w:rsid w:val="00A15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9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951"/>
    <w:rPr>
      <w:sz w:val="32"/>
    </w:rPr>
  </w:style>
  <w:style w:type="paragraph" w:customStyle="1" w:styleId="HeadingProcedure">
    <w:name w:val="Heading Procedure"/>
    <w:basedOn w:val="HeadingBase"/>
    <w:next w:val="Normal"/>
    <w:rsid w:val="00A15951"/>
    <w:pPr>
      <w:tabs>
        <w:tab w:val="left" w:pos="0"/>
      </w:tabs>
      <w:spacing w:before="120" w:after="60"/>
    </w:pPr>
    <w:rPr>
      <w:i/>
      <w:color w:val="918585"/>
      <w:sz w:val="22"/>
    </w:rPr>
  </w:style>
  <w:style w:type="paragraph" w:customStyle="1" w:styleId="TableBodyText">
    <w:name w:val="Table Body Text"/>
    <w:basedOn w:val="BodyText"/>
    <w:rsid w:val="00A15951"/>
    <w:pPr>
      <w:spacing w:before="60" w:after="60"/>
    </w:pPr>
  </w:style>
  <w:style w:type="paragraph" w:styleId="ListContinue">
    <w:name w:val="List Continue"/>
    <w:basedOn w:val="List"/>
    <w:rsid w:val="00A15951"/>
    <w:pPr>
      <w:ind w:firstLine="0"/>
    </w:pPr>
  </w:style>
  <w:style w:type="paragraph" w:customStyle="1" w:styleId="ListNote">
    <w:name w:val="List Note"/>
    <w:basedOn w:val="List"/>
    <w:rsid w:val="00A15951"/>
    <w:pPr>
      <w:pBdr>
        <w:top w:val="single" w:sz="6" w:space="2" w:color="918585"/>
        <w:bottom w:val="single" w:sz="6" w:space="2" w:color="918585"/>
      </w:pBdr>
      <w:tabs>
        <w:tab w:val="left" w:pos="1021"/>
      </w:tabs>
      <w:ind w:firstLine="0"/>
    </w:pPr>
  </w:style>
  <w:style w:type="paragraph" w:customStyle="1" w:styleId="Warning">
    <w:name w:val="Warning"/>
    <w:basedOn w:val="BodyText"/>
    <w:rsid w:val="00A15951"/>
    <w:pPr>
      <w:shd w:val="clear" w:color="auto" w:fill="D9D9D9"/>
      <w:tabs>
        <w:tab w:val="left" w:pos="992"/>
      </w:tabs>
      <w:ind w:left="119" w:right="119"/>
    </w:pPr>
    <w:rPr>
      <w:sz w:val="20"/>
    </w:rPr>
  </w:style>
  <w:style w:type="paragraph" w:customStyle="1" w:styleId="MarginIcons">
    <w:name w:val="Margin Icons"/>
    <w:basedOn w:val="BodyText"/>
    <w:rsid w:val="00A15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951"/>
    <w:rPr>
      <w:rFonts w:ascii="Courier New" w:hAnsi="Courier New"/>
    </w:rPr>
  </w:style>
  <w:style w:type="paragraph" w:customStyle="1" w:styleId="NoteBullet">
    <w:name w:val="Note Bullet"/>
    <w:basedOn w:val="Note"/>
    <w:rsid w:val="00A15951"/>
    <w:pPr>
      <w:tabs>
        <w:tab w:val="clear" w:pos="680"/>
      </w:tabs>
      <w:spacing w:before="60" w:after="60"/>
    </w:pPr>
  </w:style>
  <w:style w:type="paragraph" w:customStyle="1" w:styleId="SubHeading2">
    <w:name w:val="SubHeading2"/>
    <w:basedOn w:val="HeadingBase"/>
    <w:rsid w:val="00A15951"/>
    <w:pPr>
      <w:spacing w:before="240" w:after="60"/>
    </w:pPr>
    <w:rPr>
      <w:sz w:val="20"/>
    </w:rPr>
  </w:style>
  <w:style w:type="paragraph" w:customStyle="1" w:styleId="SubHeading1">
    <w:name w:val="SubHeading1"/>
    <w:basedOn w:val="HeadingBase"/>
    <w:rsid w:val="00A15951"/>
    <w:pPr>
      <w:spacing w:before="240" w:after="60"/>
    </w:pPr>
    <w:rPr>
      <w:color w:val="918585"/>
      <w:sz w:val="22"/>
    </w:rPr>
  </w:style>
  <w:style w:type="paragraph" w:customStyle="1" w:styleId="SideHeading">
    <w:name w:val="Side Heading"/>
    <w:basedOn w:val="HeadingBase"/>
    <w:rsid w:val="00A15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951"/>
    <w:pPr>
      <w:tabs>
        <w:tab w:val="num" w:pos="360"/>
      </w:tabs>
    </w:pPr>
  </w:style>
  <w:style w:type="paragraph" w:styleId="PlainText">
    <w:name w:val="Plain Text"/>
    <w:basedOn w:val="Normal"/>
    <w:link w:val="PlainTextChar"/>
    <w:rsid w:val="00A15951"/>
    <w:rPr>
      <w:sz w:val="20"/>
    </w:rPr>
  </w:style>
  <w:style w:type="character" w:customStyle="1" w:styleId="PlainTextChar">
    <w:name w:val="Plain Text Char"/>
    <w:basedOn w:val="DefaultParagraphFont"/>
    <w:link w:val="PlainText"/>
    <w:rsid w:val="00A159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951"/>
    <w:rPr>
      <w:b/>
      <w:smallCaps/>
    </w:rPr>
  </w:style>
  <w:style w:type="paragraph" w:customStyle="1" w:styleId="TableListNumber">
    <w:name w:val="Table List Number"/>
    <w:basedOn w:val="ListNumber"/>
    <w:rsid w:val="00A15951"/>
    <w:pPr>
      <w:numPr>
        <w:numId w:val="0"/>
      </w:numPr>
    </w:pPr>
  </w:style>
  <w:style w:type="paragraph" w:styleId="TOC4">
    <w:name w:val="toc 4"/>
    <w:basedOn w:val="TOCBase"/>
    <w:next w:val="Normal"/>
    <w:semiHidden/>
    <w:rsid w:val="00A15951"/>
    <w:pPr>
      <w:tabs>
        <w:tab w:val="right" w:leader="dot" w:pos="9071"/>
      </w:tabs>
      <w:ind w:left="1701"/>
    </w:pPr>
  </w:style>
  <w:style w:type="paragraph" w:customStyle="1" w:styleId="ListAlpha">
    <w:name w:val="List Alpha"/>
    <w:basedOn w:val="List"/>
    <w:rsid w:val="00A15951"/>
    <w:pPr>
      <w:numPr>
        <w:numId w:val="8"/>
      </w:numPr>
    </w:pPr>
  </w:style>
  <w:style w:type="paragraph" w:customStyle="1" w:styleId="ListAlpha2">
    <w:name w:val="List Alpha 2"/>
    <w:basedOn w:val="List2"/>
    <w:rsid w:val="00A15951"/>
    <w:pPr>
      <w:numPr>
        <w:numId w:val="7"/>
      </w:numPr>
    </w:pPr>
  </w:style>
  <w:style w:type="paragraph" w:styleId="List3">
    <w:name w:val="List 3"/>
    <w:basedOn w:val="BodyText"/>
    <w:rsid w:val="00A15951"/>
    <w:pPr>
      <w:tabs>
        <w:tab w:val="left" w:pos="1021"/>
      </w:tabs>
      <w:spacing w:before="60" w:after="60"/>
      <w:ind w:left="1020" w:hanging="340"/>
    </w:pPr>
  </w:style>
  <w:style w:type="paragraph" w:styleId="List4">
    <w:name w:val="List 4"/>
    <w:basedOn w:val="BodyText"/>
    <w:rsid w:val="00A15951"/>
    <w:pPr>
      <w:tabs>
        <w:tab w:val="left" w:pos="1361"/>
      </w:tabs>
      <w:spacing w:before="60" w:after="60"/>
      <w:ind w:left="1361" w:hanging="340"/>
    </w:pPr>
  </w:style>
  <w:style w:type="paragraph" w:styleId="List5">
    <w:name w:val="List 5"/>
    <w:basedOn w:val="BodyText"/>
    <w:rsid w:val="00A15951"/>
    <w:pPr>
      <w:tabs>
        <w:tab w:val="left" w:pos="1701"/>
      </w:tabs>
      <w:spacing w:before="60" w:after="60"/>
      <w:ind w:left="1701" w:hanging="340"/>
    </w:pPr>
  </w:style>
  <w:style w:type="paragraph" w:styleId="ListBullet3">
    <w:name w:val="List Bullet 3"/>
    <w:basedOn w:val="List3"/>
    <w:rsid w:val="00A15951"/>
    <w:pPr>
      <w:numPr>
        <w:numId w:val="14"/>
      </w:numPr>
      <w:tabs>
        <w:tab w:val="clear" w:pos="1021"/>
      </w:tabs>
      <w:ind w:left="1037" w:hanging="357"/>
    </w:pPr>
  </w:style>
  <w:style w:type="paragraph" w:styleId="ListBullet4">
    <w:name w:val="List Bullet 4"/>
    <w:basedOn w:val="List4"/>
    <w:rsid w:val="00A15951"/>
    <w:pPr>
      <w:numPr>
        <w:numId w:val="2"/>
      </w:numPr>
    </w:pPr>
  </w:style>
  <w:style w:type="paragraph" w:styleId="ListBullet5">
    <w:name w:val="List Bullet 5"/>
    <w:basedOn w:val="List5"/>
    <w:rsid w:val="00A15951"/>
    <w:pPr>
      <w:numPr>
        <w:numId w:val="3"/>
      </w:numPr>
    </w:pPr>
  </w:style>
  <w:style w:type="paragraph" w:styleId="ListContinue2">
    <w:name w:val="List Continue 2"/>
    <w:basedOn w:val="List2"/>
    <w:rsid w:val="00A15951"/>
    <w:pPr>
      <w:ind w:firstLine="0"/>
    </w:pPr>
  </w:style>
  <w:style w:type="paragraph" w:styleId="ListContinue3">
    <w:name w:val="List Continue 3"/>
    <w:basedOn w:val="List3"/>
    <w:rsid w:val="00A15951"/>
    <w:pPr>
      <w:ind w:left="1021" w:firstLine="0"/>
    </w:pPr>
  </w:style>
  <w:style w:type="paragraph" w:styleId="ListContinue4">
    <w:name w:val="List Continue 4"/>
    <w:basedOn w:val="List4"/>
    <w:rsid w:val="00A15951"/>
    <w:pPr>
      <w:ind w:firstLine="0"/>
    </w:pPr>
  </w:style>
  <w:style w:type="paragraph" w:styleId="ListContinue5">
    <w:name w:val="List Continue 5"/>
    <w:basedOn w:val="List5"/>
    <w:rsid w:val="00A15951"/>
    <w:pPr>
      <w:ind w:firstLine="0"/>
    </w:pPr>
  </w:style>
  <w:style w:type="paragraph" w:styleId="ListNumber3">
    <w:name w:val="List Number 3"/>
    <w:basedOn w:val="List3"/>
    <w:rsid w:val="00A15951"/>
    <w:pPr>
      <w:numPr>
        <w:numId w:val="4"/>
      </w:numPr>
    </w:pPr>
  </w:style>
  <w:style w:type="paragraph" w:styleId="ListNumber4">
    <w:name w:val="List Number 4"/>
    <w:basedOn w:val="List4"/>
    <w:rsid w:val="00A15951"/>
    <w:pPr>
      <w:numPr>
        <w:numId w:val="5"/>
      </w:numPr>
    </w:pPr>
  </w:style>
  <w:style w:type="paragraph" w:styleId="ListNumber5">
    <w:name w:val="List Number 5"/>
    <w:basedOn w:val="List5"/>
    <w:rsid w:val="00A15951"/>
    <w:pPr>
      <w:numPr>
        <w:numId w:val="6"/>
      </w:numPr>
    </w:pPr>
  </w:style>
  <w:style w:type="paragraph" w:styleId="BlockText">
    <w:name w:val="Block Text"/>
    <w:basedOn w:val="Normal"/>
    <w:rsid w:val="00A15951"/>
    <w:pPr>
      <w:spacing w:after="120"/>
      <w:ind w:left="1440" w:right="1440"/>
    </w:pPr>
  </w:style>
  <w:style w:type="character" w:customStyle="1" w:styleId="Subscript">
    <w:name w:val="Subscript"/>
    <w:basedOn w:val="DefaultParagraphFont"/>
    <w:rsid w:val="00A15951"/>
    <w:rPr>
      <w:sz w:val="16"/>
      <w:vertAlign w:val="subscript"/>
    </w:rPr>
  </w:style>
  <w:style w:type="character" w:customStyle="1" w:styleId="Superscript">
    <w:name w:val="Superscript"/>
    <w:basedOn w:val="DefaultParagraphFont"/>
    <w:rsid w:val="00A15951"/>
    <w:rPr>
      <w:sz w:val="16"/>
      <w:vertAlign w:val="superscript"/>
    </w:rPr>
  </w:style>
  <w:style w:type="character" w:customStyle="1" w:styleId="Symbols">
    <w:name w:val="Symbols"/>
    <w:basedOn w:val="DefaultParagraphFont"/>
    <w:rsid w:val="00A15951"/>
    <w:rPr>
      <w:rFonts w:ascii="Symbol" w:hAnsi="Symbol"/>
    </w:rPr>
  </w:style>
  <w:style w:type="character" w:customStyle="1" w:styleId="MenuOptions">
    <w:name w:val="Menu Options"/>
    <w:basedOn w:val="DefaultParagraphFont"/>
    <w:rsid w:val="00A15951"/>
    <w:rPr>
      <w:rFonts w:ascii="Arial Narrow" w:hAnsi="Arial Narrow"/>
      <w:smallCaps/>
    </w:rPr>
  </w:style>
  <w:style w:type="character" w:customStyle="1" w:styleId="Buttons">
    <w:name w:val="Buttons"/>
    <w:basedOn w:val="DefaultParagraphFont"/>
    <w:rsid w:val="00A15951"/>
    <w:rPr>
      <w:b/>
    </w:rPr>
  </w:style>
  <w:style w:type="character" w:customStyle="1" w:styleId="Underlined">
    <w:name w:val="Underlined"/>
    <w:basedOn w:val="DefaultParagraphFont"/>
    <w:rsid w:val="00A15951"/>
    <w:rPr>
      <w:u w:val="single"/>
    </w:rPr>
  </w:style>
  <w:style w:type="paragraph" w:customStyle="1" w:styleId="TableBodyTextRight">
    <w:name w:val="Table Body Text Right"/>
    <w:basedOn w:val="TableBodyText"/>
    <w:rsid w:val="00A15951"/>
    <w:pPr>
      <w:widowControl w:val="0"/>
      <w:autoSpaceDE w:val="0"/>
      <w:autoSpaceDN w:val="0"/>
      <w:adjustRightInd w:val="0"/>
      <w:jc w:val="right"/>
    </w:pPr>
    <w:rPr>
      <w:rFonts w:cs="Arial"/>
      <w:szCs w:val="18"/>
    </w:rPr>
  </w:style>
  <w:style w:type="paragraph" w:customStyle="1" w:styleId="CopyrightText">
    <w:name w:val="Copyright Text"/>
    <w:basedOn w:val="BodyText"/>
    <w:rsid w:val="00A15951"/>
    <w:rPr>
      <w:sz w:val="18"/>
    </w:rPr>
  </w:style>
  <w:style w:type="paragraph" w:customStyle="1" w:styleId="BodySmallRight">
    <w:name w:val="Body Small Right"/>
    <w:basedOn w:val="BodyTextRight"/>
    <w:rsid w:val="00A15951"/>
    <w:rPr>
      <w:sz w:val="18"/>
      <w:szCs w:val="18"/>
    </w:rPr>
  </w:style>
  <w:style w:type="paragraph" w:customStyle="1" w:styleId="MarginEdition">
    <w:name w:val="Margin Edition"/>
    <w:basedOn w:val="MarginNote"/>
    <w:rsid w:val="00A15951"/>
    <w:pPr>
      <w:spacing w:before="0" w:after="0"/>
    </w:pPr>
    <w:rPr>
      <w:rFonts w:ascii="Times New Roman" w:hAnsi="Times New Roman"/>
      <w:color w:val="999999"/>
    </w:rPr>
  </w:style>
  <w:style w:type="paragraph" w:customStyle="1" w:styleId="Spacer">
    <w:name w:val="Spacer"/>
    <w:basedOn w:val="Normal"/>
    <w:rsid w:val="00A15951"/>
    <w:rPr>
      <w:sz w:val="2"/>
      <w:szCs w:val="2"/>
    </w:rPr>
  </w:style>
  <w:style w:type="character" w:customStyle="1" w:styleId="Small">
    <w:name w:val="Small"/>
    <w:basedOn w:val="DefaultParagraphFont"/>
    <w:rsid w:val="00A15951"/>
    <w:rPr>
      <w:sz w:val="16"/>
    </w:rPr>
  </w:style>
  <w:style w:type="paragraph" w:customStyle="1" w:styleId="WideTable">
    <w:name w:val="Wide Table"/>
    <w:basedOn w:val="Normal"/>
    <w:rsid w:val="00A15951"/>
    <w:pPr>
      <w:ind w:left="-1418"/>
    </w:pPr>
    <w:rPr>
      <w:sz w:val="2"/>
      <w:szCs w:val="2"/>
    </w:rPr>
  </w:style>
  <w:style w:type="character" w:styleId="PageNumber">
    <w:name w:val="page number"/>
    <w:basedOn w:val="DefaultParagraphFont"/>
    <w:rsid w:val="00A15951"/>
  </w:style>
  <w:style w:type="paragraph" w:styleId="Quote">
    <w:name w:val="Quote"/>
    <w:basedOn w:val="Heading1"/>
    <w:link w:val="QuoteChar"/>
    <w:qFormat/>
    <w:rsid w:val="00A15951"/>
    <w:rPr>
      <w:b w:val="0"/>
      <w:sz w:val="72"/>
      <w:szCs w:val="72"/>
      <w:lang w:val="en-NZ"/>
    </w:rPr>
  </w:style>
  <w:style w:type="character" w:customStyle="1" w:styleId="QuoteChar">
    <w:name w:val="Quote Char"/>
    <w:basedOn w:val="DefaultParagraphFont"/>
    <w:link w:val="Quote"/>
    <w:rsid w:val="00A15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951"/>
    <w:pPr>
      <w:pageBreakBefore/>
    </w:pPr>
  </w:style>
  <w:style w:type="paragraph" w:customStyle="1" w:styleId="Border">
    <w:name w:val="Border"/>
    <w:basedOn w:val="Normal"/>
    <w:qFormat/>
    <w:rsid w:val="00A15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951"/>
    <w:rPr>
      <w:b/>
      <w:bCs/>
      <w:i/>
      <w:iCs/>
      <w:color w:val="auto"/>
    </w:rPr>
  </w:style>
  <w:style w:type="paragraph" w:styleId="IntenseQuote">
    <w:name w:val="Intense Quote"/>
    <w:basedOn w:val="Normal"/>
    <w:next w:val="Normal"/>
    <w:link w:val="IntenseQuoteChar"/>
    <w:uiPriority w:val="30"/>
    <w:qFormat/>
    <w:rsid w:val="00A15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9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951"/>
    <w:rPr>
      <w:smallCaps/>
      <w:color w:val="auto"/>
      <w:u w:val="single"/>
    </w:rPr>
  </w:style>
  <w:style w:type="character" w:styleId="IntenseReference">
    <w:name w:val="Intense Reference"/>
    <w:basedOn w:val="DefaultParagraphFont"/>
    <w:uiPriority w:val="32"/>
    <w:qFormat/>
    <w:rsid w:val="00A15951"/>
    <w:rPr>
      <w:b/>
      <w:bCs/>
      <w:smallCaps/>
      <w:color w:val="auto"/>
      <w:spacing w:val="5"/>
      <w:u w:val="single"/>
    </w:rPr>
  </w:style>
  <w:style w:type="paragraph" w:customStyle="1" w:styleId="2ColumnHeading">
    <w:name w:val="2Column Heading"/>
    <w:basedOn w:val="BodyText"/>
    <w:qFormat/>
    <w:rsid w:val="00A15951"/>
    <w:pPr>
      <w:spacing w:after="60"/>
      <w:ind w:left="-2268"/>
    </w:pPr>
    <w:rPr>
      <w:b/>
    </w:rPr>
  </w:style>
  <w:style w:type="paragraph" w:customStyle="1" w:styleId="Heading1TOC">
    <w:name w:val="Heading1 TOC"/>
    <w:basedOn w:val="Normal"/>
    <w:qFormat/>
    <w:rsid w:val="00A15951"/>
    <w:pPr>
      <w:spacing w:before="240" w:after="120"/>
    </w:pPr>
    <w:rPr>
      <w:rFonts w:ascii="Times New Roman" w:hAnsi="Times New Roman"/>
      <w:b/>
      <w:sz w:val="32"/>
    </w:rPr>
  </w:style>
  <w:style w:type="paragraph" w:customStyle="1" w:styleId="Heading2TOC">
    <w:name w:val="Heading2 TOC"/>
    <w:basedOn w:val="Normal"/>
    <w:qFormat/>
    <w:rsid w:val="00A15951"/>
    <w:pPr>
      <w:spacing w:before="240" w:after="60"/>
    </w:pPr>
    <w:rPr>
      <w:rFonts w:ascii="Times New Roman" w:hAnsi="Times New Roman"/>
      <w:b/>
      <w:sz w:val="28"/>
    </w:rPr>
  </w:style>
  <w:style w:type="character" w:customStyle="1" w:styleId="Underline">
    <w:name w:val="Underline"/>
    <w:basedOn w:val="DefaultParagraphFont"/>
    <w:qFormat/>
    <w:rsid w:val="00A15951"/>
    <w:rPr>
      <w:u w:val="single"/>
    </w:rPr>
  </w:style>
  <w:style w:type="paragraph" w:styleId="BalloonText">
    <w:name w:val="Balloon Text"/>
    <w:basedOn w:val="Normal"/>
    <w:link w:val="BalloonTextChar"/>
    <w:rsid w:val="00A15951"/>
    <w:rPr>
      <w:rFonts w:ascii="Tahoma" w:hAnsi="Tahoma" w:cs="Tahoma"/>
      <w:sz w:val="16"/>
      <w:szCs w:val="16"/>
    </w:rPr>
  </w:style>
  <w:style w:type="character" w:customStyle="1" w:styleId="BalloonTextChar">
    <w:name w:val="Balloon Text Char"/>
    <w:basedOn w:val="DefaultParagraphFont"/>
    <w:link w:val="BalloonText"/>
    <w:rsid w:val="00A159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9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6197</Characters>
  <Application>Microsoft Office Word</Application>
  <DocSecurity>0</DocSecurity>
  <Lines>230</Lines>
  <Paragraphs>108</Paragraphs>
  <ScaleCrop>false</ScaleCrop>
  <Company>Author-it Software Corporation Ltd.</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CUESTA05C Apply a general knowledge of staging to work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2012-05-26T23:20:00Z</dcterms:created>
  <dcterms:modified xsi:type="dcterms:W3CDTF">2012-05-26T23:20:00Z</dcterms:modified>
</cp:coreProperties>
</file>