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0FCE" w:rsidP="00930FCE">
      <w:pPr>
        <w:pStyle w:val="Title"/>
      </w:pPr>
      <w:r>
        <w:fldChar w:fldCharType="begin"/>
      </w:r>
      <w:r>
        <w:instrText xml:space="preserve"> TITLE   \* MERGEFORMAT </w:instrText>
      </w:r>
      <w:r>
        <w:fldChar w:fldCharType="separate"/>
      </w:r>
      <w:r>
        <w:t>CUESTA01C Install staging elements</w:t>
      </w:r>
      <w:r>
        <w:fldChar w:fldCharType="end"/>
      </w:r>
    </w:p>
    <w:p w:rsidR="00930FCE" w:rsidP="00930FCE">
      <w:pPr>
        <w:pStyle w:val="Version"/>
        <w:sectPr w:rsidSect="00C972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97212" w:rsidP="00C97212">
      <w:pPr>
        <w:pStyle w:val="SuperHeading"/>
      </w:pPr>
      <w:r w:rsidRPr="00C97212">
        <w:t>CUESTA01C Install staging elements</w:t>
      </w:r>
    </w:p>
    <w:p w:rsidR="00000000" w:rsidRPr="00C97212" w:rsidP="00C97212">
      <w:pPr>
        <w:pStyle w:val="SuperHeading"/>
      </w:pPr>
    </w:p>
    <w:p w:rsidR="00000000" w:rsidRPr="00C97212" w:rsidP="00C97212">
      <w:pPr>
        <w:pStyle w:val="Heading1"/>
      </w:pPr>
      <w:bookmarkStart w:id="1" w:name="O_70419"/>
      <w:bookmarkEnd w:id="1"/>
      <w:r w:rsidRPr="00C97212">
        <w:t>Modification History</w:t>
      </w:r>
    </w:p>
    <w:p w:rsidR="00000000" w:rsidRPr="00C97212" w:rsidP="00C97212">
      <w:pPr>
        <w:pStyle w:val="BodyText"/>
      </w:pPr>
      <w:r w:rsidRPr="00C97212">
        <w:t>Not applicable.</w:t>
      </w:r>
    </w:p>
    <w:p w:rsidR="00000000" w:rsidRPr="00C97212" w:rsidP="00C97212">
      <w:pPr>
        <w:pStyle w:val="AllowPageBreak"/>
      </w:pPr>
    </w:p>
    <w:p w:rsidR="00000000" w:rsidRPr="00C97212" w:rsidP="00C97212">
      <w:pPr>
        <w:pStyle w:val="Heading1"/>
      </w:pPr>
      <w:bookmarkStart w:id="2" w:name="O_70420"/>
      <w:bookmarkEnd w:id="2"/>
      <w:r w:rsidRPr="00C97212">
        <w:t>Unit Descriptor</w:t>
      </w:r>
    </w:p>
    <w:tbl>
      <w:tblPr>
        <w:tblW w:w="0" w:type="auto"/>
        <w:tblLayout w:type="fixed"/>
        <w:tblCellMar>
          <w:left w:w="62" w:type="dxa"/>
          <w:right w:w="62" w:type="dxa"/>
        </w:tblCellMar>
        <w:tblLook w:val="0000"/>
      </w:tblPr>
      <w:tblGrid>
        <w:gridCol w:w="2637"/>
        <w:gridCol w:w="5885"/>
      </w:tblGrid>
      <w:tr w:rsidTr="00930FCE">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rPr>
                <w:rStyle w:val="SpecialBold"/>
              </w:rPr>
              <w:t>Unit descriptor</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212" w:rsidP="00C97212">
            <w:pPr>
              <w:pStyle w:val="BodyText"/>
            </w:pPr>
            <w:r w:rsidRPr="00C97212">
              <w:t>This unit describes the performance outcomes, skills and knowledge required to install a range of staging elements for</w:t>
            </w:r>
            <w:r w:rsidRPr="00C97212">
              <w:t xml:space="preserve"> any production within the cultural industries. It builds on the skills found in the unit CUESTA05C Apply a general knowledge of staging to work activities. </w:t>
            </w:r>
          </w:p>
          <w:p w:rsidR="00000000" w:rsidRPr="00C97212" w:rsidP="00C97212">
            <w:pPr>
              <w:pStyle w:val="BodyText"/>
            </w:pPr>
          </w:p>
          <w:p w:rsidR="00000000" w:rsidRPr="00C97212" w:rsidP="00C97212">
            <w:pPr>
              <w:pStyle w:val="BodyText"/>
            </w:pPr>
            <w:r w:rsidRPr="00C97212">
              <w:t>The National Standard for Licensing Persons Performing High Risk Work applies to persons performi</w:t>
            </w:r>
            <w:r w:rsidRPr="00C97212">
              <w:t>ng dogging and rigging work. Completion of the following units is required for certification at either basic, intermediate or advanced levels.</w:t>
            </w:r>
          </w:p>
          <w:p w:rsidR="00000000" w:rsidRPr="00C97212" w:rsidP="00C97212">
            <w:pPr>
              <w:pStyle w:val="BodyText"/>
            </w:pPr>
            <w:r w:rsidRPr="00C97212">
              <w:t>CPCCLDG3001A Licence to perform dogging</w:t>
            </w:r>
          </w:p>
          <w:p w:rsidR="00000000" w:rsidRPr="00C97212" w:rsidP="00C97212">
            <w:pPr>
              <w:pStyle w:val="BodyText"/>
            </w:pPr>
            <w:r w:rsidRPr="00C97212">
              <w:t>CPCCLRG3001A Licence to perform rigging basic level</w:t>
            </w:r>
          </w:p>
          <w:p w:rsidR="00000000" w:rsidRPr="00C97212" w:rsidP="00C97212">
            <w:pPr>
              <w:pStyle w:val="BodyText"/>
            </w:pPr>
            <w:r w:rsidRPr="00C97212">
              <w:t>CPCCLRG3002A Licence to perform rigging intermediate level</w:t>
            </w:r>
          </w:p>
          <w:p w:rsidR="00000000" w:rsidRPr="00C97212" w:rsidP="00C97212">
            <w:pPr>
              <w:pStyle w:val="BodyText"/>
            </w:pPr>
            <w:r w:rsidRPr="00C97212">
              <w:t>CPCCLRG4001A Licence to perform rigging advanced level.</w:t>
            </w:r>
          </w:p>
          <w:p w:rsidR="00000000" w:rsidRPr="00C97212" w:rsidP="00C97212">
            <w:pPr>
              <w:pStyle w:val="BodyText"/>
            </w:pPr>
          </w:p>
          <w:p w:rsidR="00000000" w:rsidRPr="00C97212" w:rsidP="00C97212">
            <w:pPr>
              <w:pStyle w:val="BodyText"/>
            </w:pPr>
            <w:r w:rsidRPr="00C97212">
              <w:t xml:space="preserve">Sets and staging for some performances or events may fall within the definition of construction work. If so, people entering a construction </w:t>
            </w:r>
            <w:r w:rsidRPr="00C97212">
              <w:t>site are required to complete the general induction training program specified by the National Code of Practice for Induction Training for Construction Work (Australian Safety Compensation Council, May 2007).</w:t>
            </w:r>
          </w:p>
          <w:p w:rsidR="00000000" w:rsidRPr="00C97212" w:rsidP="00C97212">
            <w:pPr>
              <w:pStyle w:val="BodyText"/>
            </w:pPr>
          </w:p>
          <w:p w:rsidR="00000000" w:rsidRPr="00C97212" w:rsidP="00C97212">
            <w:pPr>
              <w:pStyle w:val="BodyText"/>
            </w:pPr>
            <w:r w:rsidRPr="00C97212">
              <w:t>Achievement of the unit 'CPCCOHS1001A Work saf</w:t>
            </w:r>
            <w:r w:rsidRPr="00C97212">
              <w:t xml:space="preserve">ely in the construction industry' fulfils this requirement. </w:t>
            </w:r>
          </w:p>
        </w:tc>
      </w:tr>
    </w:tbl>
    <w:p w:rsidR="00000000" w:rsidRPr="00C97212" w:rsidP="00C97212">
      <w:pPr>
        <w:pStyle w:val="BodyText"/>
      </w:pPr>
    </w:p>
    <w:p w:rsidR="00000000" w:rsidRPr="00C97212" w:rsidP="00C97212">
      <w:pPr>
        <w:pStyle w:val="AllowPageBreak"/>
      </w:pPr>
    </w:p>
    <w:p w:rsidR="00000000" w:rsidRPr="00C97212" w:rsidP="00C97212">
      <w:pPr>
        <w:pStyle w:val="Heading1"/>
      </w:pPr>
      <w:bookmarkStart w:id="3" w:name="O_70421"/>
      <w:bookmarkEnd w:id="3"/>
      <w:r w:rsidRPr="00C97212">
        <w:t>Application of the Unit</w:t>
      </w:r>
    </w:p>
    <w:tbl>
      <w:tblPr>
        <w:tblW w:w="0" w:type="auto"/>
        <w:tblLayout w:type="fixed"/>
        <w:tblCellMar>
          <w:left w:w="62" w:type="dxa"/>
          <w:right w:w="62" w:type="dxa"/>
        </w:tblCellMar>
        <w:tblLook w:val="0000"/>
      </w:tblPr>
      <w:tblGrid>
        <w:gridCol w:w="2749"/>
        <w:gridCol w:w="5773"/>
      </w:tblGrid>
      <w:tr w:rsidTr="00930FCE">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212" w:rsidP="00C97212">
            <w:pPr>
              <w:pStyle w:val="BodyText"/>
            </w:pPr>
            <w:r w:rsidRPr="00C97212">
              <w:t>Mechanists apply the skills and knowledge outlined in this unit. In this role they are responsible for installing a range of scene</w:t>
            </w:r>
            <w:r w:rsidRPr="00C97212">
              <w:t>ry and set items for performances or events. These include soft scenery, as well as weight and non-weight bearing set items.</w:t>
            </w:r>
          </w:p>
          <w:p w:rsidR="00000000" w:rsidRPr="00C97212" w:rsidP="00C97212">
            <w:pPr>
              <w:pStyle w:val="BodyText"/>
            </w:pPr>
          </w:p>
          <w:p w:rsidR="00000000" w:rsidRPr="00C97212" w:rsidP="00C97212">
            <w:pPr>
              <w:pStyle w:val="BodyText"/>
            </w:pPr>
            <w:r w:rsidRPr="00C97212">
              <w:t xml:space="preserve">This unit has linkages with a range of other staging and technical production units, and combined assessment and/or training with </w:t>
            </w:r>
            <w:r w:rsidRPr="00C97212">
              <w:t xml:space="preserve">those units may be appropriate. </w:t>
            </w:r>
          </w:p>
        </w:tc>
      </w:tr>
    </w:tbl>
    <w:p w:rsidR="00000000" w:rsidRPr="00C97212" w:rsidP="00C97212">
      <w:pPr>
        <w:pStyle w:val="BodyText"/>
      </w:pPr>
    </w:p>
    <w:p w:rsidR="00000000" w:rsidRPr="00C97212" w:rsidP="00C97212">
      <w:pPr>
        <w:pStyle w:val="AllowPageBreak"/>
      </w:pPr>
    </w:p>
    <w:p w:rsidR="00000000" w:rsidRPr="00C97212" w:rsidP="00C97212">
      <w:pPr>
        <w:pStyle w:val="Heading1"/>
      </w:pPr>
      <w:bookmarkStart w:id="4" w:name="O_70422"/>
      <w:bookmarkEnd w:id="4"/>
      <w:r w:rsidRPr="00C97212">
        <w:t>Licensing/Regulatory Information</w:t>
      </w:r>
    </w:p>
    <w:p w:rsidR="00000000" w:rsidRPr="00C97212" w:rsidP="00C97212">
      <w:pPr>
        <w:pStyle w:val="BodyText"/>
      </w:pPr>
      <w:r w:rsidRPr="00C97212">
        <w:t>Not applicable.</w:t>
      </w:r>
    </w:p>
    <w:p w:rsidR="00000000" w:rsidRPr="00C97212" w:rsidP="00C97212">
      <w:pPr>
        <w:pStyle w:val="AllowPageBreak"/>
      </w:pPr>
    </w:p>
    <w:p w:rsidR="00000000" w:rsidRPr="00C97212" w:rsidP="00C97212">
      <w:pPr>
        <w:pStyle w:val="Heading1"/>
      </w:pPr>
      <w:bookmarkStart w:id="5" w:name="O_70424"/>
      <w:bookmarkEnd w:id="5"/>
      <w:r w:rsidRPr="00C97212">
        <w:t>Pre-Requisites</w:t>
      </w:r>
    </w:p>
    <w:tbl>
      <w:tblPr>
        <w:tblW w:w="0" w:type="auto"/>
        <w:tblLayout w:type="fixed"/>
        <w:tblCellMar>
          <w:left w:w="62" w:type="dxa"/>
          <w:right w:w="62" w:type="dxa"/>
        </w:tblCellMar>
        <w:tblLook w:val="0000"/>
      </w:tblPr>
      <w:tblGrid>
        <w:gridCol w:w="2775"/>
        <w:gridCol w:w="1295"/>
        <w:gridCol w:w="4452"/>
      </w:tblGrid>
      <w:tr w:rsidTr="00930FC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p>
        </w:tc>
      </w:tr>
      <w:tr w:rsidTr="00930FC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p>
        </w:tc>
      </w:tr>
      <w:tr w:rsidTr="00930FC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212" w:rsidP="00C97212">
            <w:pPr>
              <w:pStyle w:val="BodyText"/>
            </w:pPr>
          </w:p>
        </w:tc>
      </w:tr>
    </w:tbl>
    <w:p w:rsidR="00000000" w:rsidRPr="00C97212" w:rsidP="00C97212">
      <w:pPr>
        <w:pStyle w:val="BodyText"/>
      </w:pPr>
    </w:p>
    <w:p w:rsidR="00000000" w:rsidRPr="00C97212" w:rsidP="00C97212">
      <w:pPr>
        <w:pStyle w:val="AllowPageBreak"/>
      </w:pPr>
    </w:p>
    <w:p w:rsidR="00000000" w:rsidRPr="00C97212" w:rsidP="00C97212">
      <w:pPr>
        <w:pStyle w:val="Heading1"/>
      </w:pPr>
      <w:bookmarkStart w:id="6" w:name="O_70423"/>
      <w:bookmarkEnd w:id="6"/>
      <w:r w:rsidRPr="00C97212">
        <w:t>Employability Skills Information</w:t>
      </w:r>
    </w:p>
    <w:tbl>
      <w:tblPr>
        <w:tblW w:w="0" w:type="auto"/>
        <w:tblLayout w:type="fixed"/>
        <w:tblCellMar>
          <w:left w:w="62" w:type="dxa"/>
          <w:right w:w="62" w:type="dxa"/>
        </w:tblCellMar>
        <w:tblLook w:val="0000"/>
      </w:tblPr>
      <w:tblGrid>
        <w:gridCol w:w="2802"/>
        <w:gridCol w:w="5720"/>
      </w:tblGrid>
      <w:tr w:rsidTr="00930FC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212" w:rsidP="00C97212">
            <w:pPr>
              <w:pStyle w:val="BodyText"/>
            </w:pPr>
            <w:r w:rsidRPr="00C97212">
              <w:t>This unit contains employability skills.</w:t>
            </w:r>
          </w:p>
        </w:tc>
      </w:tr>
    </w:tbl>
    <w:p w:rsidR="00000000" w:rsidRPr="00C97212" w:rsidP="00C97212">
      <w:pPr>
        <w:pStyle w:val="BodyText"/>
      </w:pPr>
    </w:p>
    <w:p w:rsidR="00000000" w:rsidRPr="00C97212" w:rsidP="00C97212">
      <w:pPr>
        <w:pStyle w:val="AllowPageBreak"/>
      </w:pPr>
    </w:p>
    <w:p w:rsidR="00000000" w:rsidRPr="00C97212" w:rsidP="00C97212">
      <w:pPr>
        <w:pStyle w:val="Heading1"/>
      </w:pPr>
      <w:bookmarkStart w:id="7" w:name="O_70425"/>
      <w:bookmarkEnd w:id="7"/>
      <w:r w:rsidRPr="00C97212">
        <w:t>Elements and Performance Criteria Pre-Content</w:t>
      </w:r>
    </w:p>
    <w:tbl>
      <w:tblPr>
        <w:tblW w:w="0" w:type="auto"/>
        <w:tblLayout w:type="fixed"/>
        <w:tblCellMar>
          <w:left w:w="62" w:type="dxa"/>
          <w:right w:w="62" w:type="dxa"/>
        </w:tblCellMar>
        <w:tblLook w:val="0000"/>
      </w:tblPr>
      <w:tblGrid>
        <w:gridCol w:w="2558"/>
        <w:gridCol w:w="5964"/>
      </w:tblGrid>
      <w:tr w:rsidTr="00930FC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212" w:rsidP="00C97212">
            <w:pPr>
              <w:pStyle w:val="BodyText"/>
            </w:pPr>
            <w:r w:rsidRPr="00C97212">
              <w:t>Performance criteria describe the performance needed to demonstrate achievement of the</w:t>
            </w:r>
            <w:r w:rsidRPr="00C97212">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C97212" w:rsidP="00C97212">
      <w:pPr>
        <w:pStyle w:val="BodyText"/>
      </w:pPr>
    </w:p>
    <w:p w:rsidR="00000000" w:rsidRPr="00C97212" w:rsidP="00C97212">
      <w:pPr>
        <w:pStyle w:val="AllowPageBreak"/>
      </w:pPr>
    </w:p>
    <w:p w:rsidR="00000000" w:rsidRPr="00C97212" w:rsidP="00C97212">
      <w:pPr>
        <w:pStyle w:val="Heading1"/>
      </w:pPr>
      <w:bookmarkStart w:id="8" w:name="O_70426"/>
      <w:bookmarkEnd w:id="8"/>
      <w:r w:rsidRPr="00C97212">
        <w:t>Elements and Performance Criteria</w:t>
      </w:r>
    </w:p>
    <w:tbl>
      <w:tblPr>
        <w:tblW w:w="0" w:type="auto"/>
        <w:tblLayout w:type="fixed"/>
        <w:tblCellMar>
          <w:left w:w="62" w:type="dxa"/>
          <w:right w:w="62" w:type="dxa"/>
        </w:tblCellMar>
        <w:tblLook w:val="0000"/>
      </w:tblPr>
      <w:tblGrid>
        <w:gridCol w:w="2558"/>
        <w:gridCol w:w="5964"/>
      </w:tblGrid>
      <w:tr w:rsidTr="00930FCE">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212" w:rsidP="00C97212">
            <w:pPr>
              <w:pStyle w:val="BodyText"/>
            </w:pPr>
            <w:r w:rsidRPr="00C97212">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rPr>
                <w:rStyle w:val="SpecialBold"/>
              </w:rPr>
              <w:t>PERFORMANCE CRITERIA</w:t>
            </w:r>
          </w:p>
        </w:tc>
      </w:tr>
      <w:tr w:rsidTr="00930FC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List"/>
              <w:rPr>
                <w:lang w:val="en-NZ"/>
              </w:rPr>
            </w:pPr>
            <w:r w:rsidRPr="00C97212">
              <w:t>1.</w:t>
            </w:r>
            <w:r w:rsidRPr="00C97212">
              <w:tab/>
              <w:t>Prepare for installation of staging</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212" w:rsidP="00C97212">
            <w:pPr>
              <w:pStyle w:val="List2"/>
            </w:pPr>
            <w:r w:rsidRPr="00C97212">
              <w:t>1.1.</w:t>
            </w:r>
            <w:r w:rsidRPr="00C97212">
              <w:tab/>
              <w:t>Prepare venue at the appropriate time in accordance with bump-in schedule</w:t>
            </w:r>
          </w:p>
          <w:p w:rsidR="00000000" w:rsidRPr="00C97212" w:rsidP="00C97212">
            <w:pPr>
              <w:pStyle w:val="List2"/>
            </w:pPr>
            <w:r w:rsidRPr="00C97212">
              <w:t>1.2.</w:t>
            </w:r>
            <w:r w:rsidRPr="00C97212">
              <w:tab/>
              <w:t>Read, correctly interpret and apply stage plans to venue layout</w:t>
            </w:r>
          </w:p>
          <w:p w:rsidR="00000000" w:rsidRPr="00C97212" w:rsidP="00C97212">
            <w:pPr>
              <w:pStyle w:val="List2"/>
            </w:pPr>
            <w:r w:rsidRPr="00C97212">
              <w:t>1.3.</w:t>
            </w:r>
            <w:r w:rsidRPr="00C97212">
              <w:tab/>
            </w:r>
            <w:r w:rsidRPr="00C97212">
              <w:t xml:space="preserve">Identify and liaise with </w:t>
            </w:r>
            <w:r w:rsidRPr="00C97212">
              <w:rPr>
                <w:rStyle w:val="BoldandItalics"/>
              </w:rPr>
              <w:t>relevant personnel</w:t>
            </w:r>
            <w:r w:rsidRPr="00C97212">
              <w:t xml:space="preserve"> to determine the sequence of installation for </w:t>
            </w:r>
            <w:r w:rsidRPr="00C97212">
              <w:rPr>
                <w:rStyle w:val="BoldandItalics"/>
              </w:rPr>
              <w:t>staging elements</w:t>
            </w:r>
          </w:p>
          <w:p w:rsidR="00000000" w:rsidRPr="00C97212" w:rsidP="00C97212">
            <w:pPr>
              <w:pStyle w:val="List2"/>
            </w:pPr>
            <w:r w:rsidRPr="00C97212">
              <w:t>1.4.</w:t>
            </w:r>
            <w:r w:rsidRPr="00C97212">
              <w:tab/>
              <w:t xml:space="preserve">Where there is an existing stage, communicate </w:t>
            </w:r>
            <w:r w:rsidRPr="00C97212">
              <w:rPr>
                <w:rStyle w:val="BoldandItalics"/>
              </w:rPr>
              <w:t>modifications</w:t>
            </w:r>
            <w:r w:rsidRPr="00C97212">
              <w:t xml:space="preserve"> clearly to relevant personnel and implement as required</w:t>
            </w:r>
          </w:p>
          <w:p w:rsidR="00000000" w:rsidRPr="00C97212" w:rsidP="00C97212">
            <w:pPr>
              <w:pStyle w:val="List2"/>
            </w:pPr>
            <w:r w:rsidRPr="00C97212">
              <w:t>1.5.</w:t>
            </w:r>
            <w:r w:rsidRPr="00C97212">
              <w:tab/>
              <w:t xml:space="preserve">Install other </w:t>
            </w:r>
            <w:r w:rsidRPr="00C97212">
              <w:rPr>
                <w:rStyle w:val="BoldandItalics"/>
              </w:rPr>
              <w:t>equipment</w:t>
            </w:r>
            <w:r w:rsidRPr="00C97212">
              <w:t xml:space="preserve"> and necessary structures in consultation with the relevant personnel</w:t>
            </w:r>
          </w:p>
          <w:p w:rsidR="00000000" w:rsidP="00C97212">
            <w:pPr>
              <w:pStyle w:val="List2"/>
              <w:rPr>
                <w:lang w:val="en-NZ"/>
              </w:rPr>
            </w:pPr>
            <w:r w:rsidRPr="00C97212">
              <w:t>1.6.</w:t>
            </w:r>
            <w:r w:rsidRPr="00C97212">
              <w:tab/>
              <w:t>Pre-rig equipment as required within safety guidelines and licensing requirements</w:t>
            </w:r>
          </w:p>
        </w:tc>
      </w:tr>
      <w:tr w:rsidTr="00930FC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List"/>
              <w:rPr>
                <w:lang w:val="en-NZ"/>
              </w:rPr>
            </w:pPr>
            <w:r w:rsidRPr="00C97212">
              <w:t>2.</w:t>
            </w:r>
            <w:r w:rsidRPr="00C97212">
              <w:tab/>
              <w:t>Install staging elements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212" w:rsidP="00C97212">
            <w:pPr>
              <w:pStyle w:val="List2"/>
            </w:pPr>
            <w:r w:rsidRPr="00C97212">
              <w:t>2.1.</w:t>
            </w:r>
            <w:r w:rsidRPr="00C97212">
              <w:tab/>
              <w:t>Mark out ground plan accurately onstage in accordance with design</w:t>
            </w:r>
            <w:r w:rsidRPr="00C97212">
              <w:t xml:space="preserve"> specifications and venue requirements</w:t>
            </w:r>
          </w:p>
          <w:p w:rsidR="00000000" w:rsidRPr="00C97212" w:rsidP="00C97212">
            <w:pPr>
              <w:pStyle w:val="List2"/>
            </w:pPr>
            <w:r w:rsidRPr="00C97212">
              <w:t>2.2.</w:t>
            </w:r>
            <w:r w:rsidRPr="00C97212">
              <w:tab/>
              <w:t>Install staging elements in accordance with design specifications and requirements of the production</w:t>
            </w:r>
          </w:p>
          <w:p w:rsidR="00000000" w:rsidRPr="00C97212" w:rsidP="00C97212">
            <w:pPr>
              <w:pStyle w:val="List2"/>
            </w:pPr>
            <w:r w:rsidRPr="00C97212">
              <w:t>2.3.</w:t>
            </w:r>
            <w:r w:rsidRPr="00C97212">
              <w:tab/>
              <w:t>Install staging elements in the appropriate sequence as agreed with relevant personnel</w:t>
            </w:r>
          </w:p>
          <w:p w:rsidR="00000000" w:rsidRPr="00C97212" w:rsidP="00C97212">
            <w:pPr>
              <w:pStyle w:val="List2"/>
            </w:pPr>
            <w:r w:rsidRPr="00C97212">
              <w:t>2.4.</w:t>
            </w:r>
            <w:r w:rsidRPr="00C97212">
              <w:tab/>
              <w:t>Install stagin</w:t>
            </w:r>
            <w:r w:rsidRPr="00C97212">
              <w:t>g elements in accordance with safety regulations and any manufacturer instructions</w:t>
            </w:r>
          </w:p>
          <w:p w:rsidR="00000000" w:rsidP="00C97212">
            <w:pPr>
              <w:pStyle w:val="List2"/>
              <w:rPr>
                <w:lang w:val="en-NZ"/>
              </w:rPr>
            </w:pPr>
            <w:r w:rsidRPr="00C97212">
              <w:t>2.5.</w:t>
            </w:r>
            <w:r w:rsidRPr="00C97212">
              <w:tab/>
              <w:t xml:space="preserve">Select and use appropriate equipment to assist with staging </w:t>
            </w:r>
            <w:r w:rsidRPr="00C97212">
              <w:rPr>
                <w:rStyle w:val="BoldandItalics"/>
              </w:rPr>
              <w:t>installation</w:t>
            </w:r>
            <w:r w:rsidRPr="00C97212">
              <w:t>, using safe working practices at all times</w:t>
            </w:r>
          </w:p>
        </w:tc>
      </w:tr>
      <w:tr w:rsidTr="00930FC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List"/>
              <w:rPr>
                <w:lang w:val="en-NZ"/>
              </w:rPr>
            </w:pPr>
            <w:r w:rsidRPr="00C97212">
              <w:t>3.</w:t>
            </w:r>
            <w:r w:rsidRPr="00C97212">
              <w:tab/>
              <w:t>Check staging elements after installation</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212" w:rsidP="00C97212">
            <w:pPr>
              <w:pStyle w:val="List2"/>
            </w:pPr>
            <w:r w:rsidRPr="00C97212">
              <w:t>3.1.</w:t>
            </w:r>
            <w:r w:rsidRPr="00C97212">
              <w:tab/>
              <w:t>C</w:t>
            </w:r>
            <w:r w:rsidRPr="00C97212">
              <w:t>heck each staging element to ensure operational standards for performance are achieved and that all safety requirements have been met</w:t>
            </w:r>
          </w:p>
          <w:p w:rsidR="00000000" w:rsidRPr="00C97212" w:rsidP="00C97212">
            <w:pPr>
              <w:pStyle w:val="List2"/>
            </w:pPr>
            <w:r w:rsidRPr="00C97212">
              <w:t>3.2.</w:t>
            </w:r>
            <w:r w:rsidRPr="00C97212">
              <w:tab/>
              <w:t>Identify any problems with staging elements, take appropriate action to rectify or refer to relevant personnel for ac</w:t>
            </w:r>
            <w:r w:rsidRPr="00C97212">
              <w:t>tion</w:t>
            </w:r>
          </w:p>
          <w:p w:rsidR="00000000" w:rsidRPr="00C97212" w:rsidP="00C97212">
            <w:pPr>
              <w:pStyle w:val="List2"/>
            </w:pPr>
            <w:r w:rsidRPr="00C97212">
              <w:t>3.3.</w:t>
            </w:r>
            <w:r w:rsidRPr="00C97212">
              <w:tab/>
              <w:t>Identify any modifications required to improve suitability for performance and take appropriate action</w:t>
            </w:r>
          </w:p>
        </w:tc>
      </w:tr>
    </w:tbl>
    <w:p w:rsidR="00000000" w:rsidRPr="00C97212" w:rsidP="00C97212">
      <w:pPr>
        <w:pStyle w:val="BodyText"/>
      </w:pPr>
    </w:p>
    <w:p w:rsidR="00000000" w:rsidRPr="00C97212" w:rsidP="00C97212">
      <w:pPr>
        <w:pStyle w:val="AllowPageBreak"/>
      </w:pPr>
    </w:p>
    <w:p w:rsidR="00000000" w:rsidRPr="00C97212" w:rsidP="00C97212">
      <w:pPr>
        <w:pStyle w:val="Heading1"/>
      </w:pPr>
      <w:bookmarkStart w:id="9" w:name="O_70427"/>
      <w:bookmarkEnd w:id="9"/>
      <w:r w:rsidRPr="00C97212">
        <w:t>Required Skills and Knowledge</w:t>
      </w:r>
    </w:p>
    <w:tbl>
      <w:tblPr>
        <w:tblW w:w="0" w:type="auto"/>
        <w:tblLayout w:type="fixed"/>
        <w:tblCellMar>
          <w:left w:w="62" w:type="dxa"/>
          <w:right w:w="62" w:type="dxa"/>
        </w:tblCellMar>
        <w:tblLook w:val="0000"/>
      </w:tblPr>
      <w:tblGrid>
        <w:gridCol w:w="8522"/>
      </w:tblGrid>
      <w:tr w:rsidTr="00930FC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7212">
            <w:pPr>
              <w:pStyle w:val="BodyText"/>
              <w:rPr>
                <w:lang w:val="en-NZ"/>
              </w:rPr>
            </w:pPr>
            <w:r w:rsidRPr="00C97212">
              <w:rPr>
                <w:rStyle w:val="SpecialBold"/>
              </w:rPr>
              <w:t>REQUIRED SKILLS AND KNOWLEDGE</w:t>
            </w:r>
          </w:p>
        </w:tc>
      </w:tr>
      <w:tr w:rsidTr="00930FC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t>This section describes the skills and knowledge required for this unit.</w:t>
            </w:r>
          </w:p>
        </w:tc>
      </w:tr>
      <w:tr w:rsidTr="00930F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rPr>
                <w:rStyle w:val="SpecialBold"/>
              </w:rPr>
              <w:t>Required skills</w:t>
            </w:r>
          </w:p>
        </w:tc>
      </w:tr>
      <w:tr w:rsidTr="00930F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212" w:rsidP="00C97212">
            <w:pPr>
              <w:pStyle w:val="ListBullet"/>
            </w:pPr>
            <w:r w:rsidRPr="00C97212">
              <w:t>literacy skills sufficient to interpret stage plans</w:t>
            </w:r>
          </w:p>
          <w:p w:rsidR="00000000" w:rsidP="00C97212">
            <w:pPr>
              <w:pStyle w:val="ListBullet"/>
              <w:rPr>
                <w:lang w:val="en-NZ"/>
              </w:rPr>
            </w:pPr>
            <w:r w:rsidRPr="00C97212">
              <w:t>numeracy skills sufficient to take measurements required for installation</w:t>
            </w:r>
          </w:p>
        </w:tc>
      </w:tr>
      <w:tr w:rsidTr="00930F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rPr>
                <w:rStyle w:val="SpecialBold"/>
              </w:rPr>
              <w:t>Required knowledge</w:t>
            </w:r>
          </w:p>
        </w:tc>
      </w:tr>
      <w:tr w:rsidTr="00930F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212" w:rsidP="00C97212">
            <w:pPr>
              <w:pStyle w:val="ListBullet"/>
            </w:pPr>
            <w:r w:rsidRPr="00C97212">
              <w:t>types of control desks which operate stage machinery</w:t>
            </w:r>
          </w:p>
          <w:p w:rsidR="00000000" w:rsidRPr="00C97212" w:rsidP="00C97212">
            <w:pPr>
              <w:pStyle w:val="ListBullet"/>
            </w:pPr>
            <w:r w:rsidRPr="00C97212">
              <w:t xml:space="preserve">techniques for working out load capacity of stage machinery </w:t>
            </w:r>
          </w:p>
          <w:p w:rsidR="00000000" w:rsidRPr="00C97212" w:rsidP="00C97212">
            <w:pPr>
              <w:pStyle w:val="ListBullet"/>
            </w:pPr>
            <w:r w:rsidRPr="00C97212">
              <w:t>safe and efficient methods and procedures used in manoeuvring loads</w:t>
            </w:r>
          </w:p>
          <w:p w:rsidR="00000000" w:rsidRPr="00C97212" w:rsidP="00C97212">
            <w:pPr>
              <w:pStyle w:val="ListBullet"/>
            </w:pPr>
            <w:r w:rsidRPr="00C97212">
              <w:t>techniques for handling scenic elements, eg toggling flats and pin hinging</w:t>
            </w:r>
          </w:p>
          <w:p w:rsidR="00000000" w:rsidRPr="00C97212" w:rsidP="00C97212">
            <w:pPr>
              <w:pStyle w:val="ListBullet"/>
            </w:pPr>
            <w:r w:rsidRPr="00C97212">
              <w:t>relevant legislative and/or organisational health and safety requirements, including safe manual handling techniques, working at heights, moving loads safely</w:t>
            </w:r>
          </w:p>
          <w:p w:rsidR="00000000" w:rsidRPr="00C97212" w:rsidP="00C97212">
            <w:pPr>
              <w:pStyle w:val="ListBullet"/>
            </w:pPr>
            <w:r w:rsidRPr="00C97212">
              <w:t xml:space="preserve">safety issues associated with using ladders </w:t>
            </w:r>
          </w:p>
          <w:p w:rsidR="00000000" w:rsidRPr="00C97212" w:rsidP="00C97212">
            <w:pPr>
              <w:pStyle w:val="ListBullet"/>
            </w:pPr>
            <w:r w:rsidRPr="00C97212">
              <w:t xml:space="preserve">signals to be employed when using stage machinery </w:t>
            </w:r>
          </w:p>
          <w:p w:rsidR="00000000" w:rsidRPr="00C97212" w:rsidP="00C97212">
            <w:pPr>
              <w:pStyle w:val="ListBullet"/>
            </w:pPr>
            <w:r w:rsidRPr="00C97212">
              <w:t>s</w:t>
            </w:r>
            <w:r w:rsidRPr="00C97212">
              <w:t>afety procedures to be followed in the event of lifting, revolving or trucking emergencies</w:t>
            </w:r>
          </w:p>
        </w:tc>
      </w:tr>
    </w:tbl>
    <w:p w:rsidR="00000000" w:rsidRPr="00C97212" w:rsidP="00C97212">
      <w:pPr>
        <w:pStyle w:val="BodyText"/>
      </w:pPr>
    </w:p>
    <w:p w:rsidR="00000000" w:rsidRPr="00C97212" w:rsidP="00C97212">
      <w:pPr>
        <w:pStyle w:val="AllowPageBreak"/>
      </w:pPr>
    </w:p>
    <w:p w:rsidR="00000000" w:rsidRPr="00C97212" w:rsidP="00C97212">
      <w:pPr>
        <w:pStyle w:val="Heading1"/>
      </w:pPr>
      <w:bookmarkStart w:id="10" w:name="O_70428"/>
      <w:bookmarkEnd w:id="10"/>
      <w:r w:rsidRPr="00C97212">
        <w:t>Evidence Guide</w:t>
      </w:r>
    </w:p>
    <w:tbl>
      <w:tblPr>
        <w:tblW w:w="9570" w:type="dxa"/>
        <w:tblLayout w:type="fixed"/>
        <w:tblCellMar>
          <w:left w:w="62" w:type="dxa"/>
          <w:right w:w="62" w:type="dxa"/>
        </w:tblCellMar>
        <w:tblLook w:val="0000"/>
      </w:tblPr>
      <w:tblGrid>
        <w:gridCol w:w="3908"/>
        <w:gridCol w:w="5662"/>
      </w:tblGrid>
      <w:tr w:rsidTr="00930FC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rPr>
                <w:rStyle w:val="SpecialBold"/>
              </w:rPr>
              <w:t>EVIDENCE GUIDE</w:t>
            </w:r>
          </w:p>
        </w:tc>
      </w:tr>
      <w:tr w:rsidTr="00930FC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t>The Evidence Guide provides advice on assessment and must be read in conjunction with the performance criteria, required skills and knowledge, range statement and the Assessment Guidelines for the Training Package.</w:t>
            </w:r>
          </w:p>
        </w:tc>
      </w:tr>
      <w:tr w:rsidTr="00930F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p>
        </w:tc>
      </w:tr>
      <w:tr w:rsidTr="00930F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212" w:rsidP="00C97212">
            <w:pPr>
              <w:pStyle w:val="BodyText"/>
            </w:pPr>
            <w:r w:rsidRPr="00C97212">
              <w:t>The following evidence is critical to the judgement of competence in this unit:</w:t>
            </w:r>
          </w:p>
          <w:p w:rsidR="00000000" w:rsidRPr="00C97212" w:rsidP="00C97212">
            <w:pPr>
              <w:pStyle w:val="ListBullet"/>
            </w:pPr>
            <w:r w:rsidRPr="00C97212">
              <w:t>application of safe working practices for installing staging elements</w:t>
            </w:r>
          </w:p>
          <w:p w:rsidR="00000000" w:rsidRPr="00C97212" w:rsidP="00C97212">
            <w:pPr>
              <w:pStyle w:val="ListBullet"/>
            </w:pPr>
            <w:r w:rsidRPr="00C97212">
              <w:t>knowledge of</w:t>
            </w:r>
            <w:r w:rsidRPr="00C97212">
              <w:t xml:space="preserve"> safety issues specifically associated with the installation of staging</w:t>
            </w:r>
          </w:p>
          <w:p w:rsidR="00000000" w:rsidP="00C97212">
            <w:pPr>
              <w:pStyle w:val="ListBullet"/>
              <w:rPr>
                <w:lang w:val="en-NZ"/>
              </w:rPr>
            </w:pPr>
            <w:r w:rsidRPr="00C97212">
              <w:t>ability to communicate effectively within a staging team.</w:t>
            </w:r>
          </w:p>
        </w:tc>
      </w:tr>
      <w:tr w:rsidTr="00930F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212" w:rsidP="00C97212">
            <w:pPr>
              <w:pStyle w:val="BodyText"/>
            </w:pPr>
            <w:r w:rsidRPr="00C97212">
              <w:t>The assessment context must ensure:</w:t>
            </w:r>
          </w:p>
          <w:p w:rsidR="00000000" w:rsidRPr="00C97212" w:rsidP="00C97212">
            <w:pPr>
              <w:pStyle w:val="ListBullet"/>
            </w:pPr>
            <w:r w:rsidRPr="00C97212">
              <w:t>practical demonstration of skills throu</w:t>
            </w:r>
            <w:r w:rsidRPr="00C97212">
              <w:t>gh the installation of staging elements for more than one production</w:t>
            </w:r>
          </w:p>
          <w:p w:rsidR="00000000" w:rsidRPr="00C97212" w:rsidP="00C97212">
            <w:pPr>
              <w:pStyle w:val="ListBullet"/>
            </w:pPr>
            <w:r w:rsidRPr="00C97212">
              <w:t>installation of staging elements within realistic workplace timeframes</w:t>
            </w:r>
          </w:p>
          <w:p w:rsidR="00000000" w:rsidP="00C97212">
            <w:pPr>
              <w:pStyle w:val="ListBullet"/>
              <w:rPr>
                <w:lang w:val="en-NZ"/>
              </w:rPr>
            </w:pPr>
            <w:r w:rsidRPr="00C97212">
              <w:t>involvement of and interaction with a production team to reflect the collaborative nature of staging installation.</w:t>
            </w:r>
          </w:p>
        </w:tc>
      </w:tr>
      <w:tr w:rsidTr="00930F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212" w:rsidP="00C97212">
            <w:pPr>
              <w:pStyle w:val="BodyText"/>
            </w:pPr>
            <w:r w:rsidRPr="00C97212">
              <w:t>Assessment may incorporate a range of methods to assess performance and the application of essential underpinning knowledge, and might include:</w:t>
            </w:r>
          </w:p>
          <w:p w:rsidR="00000000" w:rsidRPr="00C97212" w:rsidP="00C97212">
            <w:pPr>
              <w:pStyle w:val="ListBullet"/>
            </w:pPr>
            <w:r w:rsidRPr="00C97212">
              <w:t>direct observation of the candidate completing installation tasks</w:t>
            </w:r>
          </w:p>
          <w:p w:rsidR="00000000" w:rsidRPr="00C97212" w:rsidP="00C97212">
            <w:pPr>
              <w:pStyle w:val="ListBullet"/>
            </w:pPr>
            <w:r w:rsidRPr="00C97212">
              <w:t>inspection of staging elements installed by the candidate</w:t>
            </w:r>
          </w:p>
          <w:p w:rsidR="00000000" w:rsidRPr="00C97212" w:rsidP="00C97212">
            <w:pPr>
              <w:pStyle w:val="ListBullet"/>
            </w:pPr>
            <w:r w:rsidRPr="00C97212">
              <w:t>oral questioning/interview to assess knowledge of safety and equipment procedures</w:t>
            </w:r>
          </w:p>
          <w:p w:rsidR="00000000" w:rsidRPr="00C97212" w:rsidP="00C97212">
            <w:pPr>
              <w:pStyle w:val="ListBullet"/>
            </w:pPr>
            <w:r w:rsidRPr="00C97212">
              <w:t>review of portfolios of evidence and third party workplace reports of on-the-job performance by the candidate.</w:t>
            </w:r>
          </w:p>
          <w:p w:rsidR="00000000" w:rsidRPr="00C97212" w:rsidP="00C97212">
            <w:pPr>
              <w:pStyle w:val="BodyText"/>
            </w:pPr>
          </w:p>
          <w:p w:rsidR="00000000" w:rsidP="00C97212">
            <w:pPr>
              <w:pStyle w:val="BodyText"/>
              <w:rPr>
                <w:lang w:val="en-NZ"/>
              </w:rPr>
            </w:pPr>
            <w:r w:rsidRPr="00C97212">
              <w:t>Asse</w:t>
            </w:r>
            <w:r w:rsidRPr="00C97212">
              <w:t>ssment methods should closely reflect workplace demands and the needs of particular groups (e.g. people with disabilities, and people who may have literacy or numeracy difficulties such as speakers of languages other than English, remote communities and th</w:t>
            </w:r>
            <w:r w:rsidRPr="00C97212">
              <w:t>ose with interrupted schooling).</w:t>
            </w:r>
          </w:p>
        </w:tc>
      </w:tr>
      <w:tr w:rsidTr="00930F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212" w:rsidP="00C97212">
            <w:pPr>
              <w:pStyle w:val="BodyText"/>
            </w:pPr>
            <w:r w:rsidRPr="00C97212">
              <w:t>Assessment of this unit requires access to:</w:t>
            </w:r>
          </w:p>
          <w:p w:rsidR="00000000" w:rsidRPr="00C97212" w:rsidP="00C97212">
            <w:pPr>
              <w:pStyle w:val="ListBullet"/>
            </w:pPr>
            <w:r w:rsidRPr="00C97212">
              <w:t>a venue where the installation of staging can take place</w:t>
            </w:r>
          </w:p>
          <w:p w:rsidR="00000000" w:rsidRPr="00C97212" w:rsidP="00C97212">
            <w:pPr>
              <w:pStyle w:val="ListBullet"/>
            </w:pPr>
            <w:r w:rsidRPr="00C97212">
              <w:t>staging equipment.</w:t>
            </w:r>
          </w:p>
        </w:tc>
      </w:tr>
    </w:tbl>
    <w:p w:rsidR="00000000" w:rsidRPr="00C97212" w:rsidP="00C97212">
      <w:pPr>
        <w:pStyle w:val="BodyText"/>
      </w:pPr>
    </w:p>
    <w:p w:rsidR="00000000" w:rsidRPr="00C97212" w:rsidP="00C97212">
      <w:pPr>
        <w:pStyle w:val="AllowPageBreak"/>
      </w:pPr>
    </w:p>
    <w:p w:rsidR="00000000" w:rsidRPr="00C97212" w:rsidP="00C97212">
      <w:pPr>
        <w:pStyle w:val="Heading1"/>
      </w:pPr>
      <w:bookmarkStart w:id="11" w:name="O_70429"/>
      <w:bookmarkEnd w:id="11"/>
      <w:r w:rsidRPr="00C97212">
        <w:t>Range Statement</w:t>
      </w:r>
    </w:p>
    <w:tbl>
      <w:tblPr>
        <w:tblW w:w="0" w:type="auto"/>
        <w:tblLayout w:type="fixed"/>
        <w:tblCellMar>
          <w:left w:w="62" w:type="dxa"/>
          <w:right w:w="62" w:type="dxa"/>
        </w:tblCellMar>
        <w:tblLook w:val="0000"/>
      </w:tblPr>
      <w:tblGrid>
        <w:gridCol w:w="3477"/>
        <w:gridCol w:w="5045"/>
      </w:tblGrid>
      <w:tr w:rsidTr="00930FC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rPr>
                <w:rStyle w:val="SpecialBold"/>
              </w:rPr>
              <w:t>RANGE STATEMENT</w:t>
            </w:r>
          </w:p>
        </w:tc>
      </w:tr>
      <w:tr w:rsidTr="00930F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t>The range statement relates to the unit of competency as a whole. It allows for different work environments and situations that may affect performance. Bold italicised wording, if used in the performance criteria, is detailed below. Essential operating con</w:t>
            </w:r>
            <w:r w:rsidRPr="00C97212">
              <w:t>ditions that may be present with training and assessment (depending on the work situation, needs of the candidate, accessibility of the item, and local industry and regional contexts) may also be included.</w:t>
            </w:r>
          </w:p>
        </w:tc>
      </w:tr>
      <w:tr w:rsidTr="00930FCE">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rPr>
                <w:rStyle w:val="BoldandItalics"/>
              </w:rPr>
              <w:t>Relevant personnel</w:t>
            </w:r>
            <w:r w:rsidRPr="00C97212">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212" w:rsidP="00C97212">
            <w:pPr>
              <w:pStyle w:val="ListBullet"/>
            </w:pPr>
            <w:r w:rsidRPr="00C97212">
              <w:t>designers</w:t>
            </w:r>
          </w:p>
          <w:p w:rsidR="00000000" w:rsidRPr="00C97212" w:rsidP="00C97212">
            <w:pPr>
              <w:pStyle w:val="ListBullet"/>
            </w:pPr>
            <w:r w:rsidRPr="00C97212">
              <w:t>directors</w:t>
            </w:r>
          </w:p>
          <w:p w:rsidR="00000000" w:rsidRPr="00C97212" w:rsidP="00C97212">
            <w:pPr>
              <w:pStyle w:val="ListBullet"/>
            </w:pPr>
            <w:r w:rsidRPr="00C97212">
              <w:t>production managers</w:t>
            </w:r>
          </w:p>
          <w:p w:rsidR="00000000" w:rsidRPr="00C97212" w:rsidP="00C97212">
            <w:pPr>
              <w:pStyle w:val="ListBullet"/>
            </w:pPr>
            <w:r w:rsidRPr="00C97212">
              <w:t>stage managers</w:t>
            </w:r>
          </w:p>
          <w:p w:rsidR="00000000" w:rsidRPr="00C97212" w:rsidP="00C97212">
            <w:pPr>
              <w:pStyle w:val="ListBullet"/>
            </w:pPr>
            <w:r w:rsidRPr="00C97212">
              <w:t>technical specialists</w:t>
            </w:r>
          </w:p>
          <w:p w:rsidR="00000000" w:rsidP="00C97212">
            <w:pPr>
              <w:pStyle w:val="ListBullet"/>
              <w:rPr>
                <w:lang w:val="en-NZ"/>
              </w:rPr>
            </w:pPr>
            <w:r w:rsidRPr="00C97212">
              <w:t>venue management</w:t>
            </w:r>
          </w:p>
        </w:tc>
      </w:tr>
      <w:tr w:rsidTr="00930FCE">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rPr>
                <w:rStyle w:val="BoldandItalics"/>
              </w:rPr>
              <w:t>Staging elements</w:t>
            </w:r>
            <w:r w:rsidRPr="00C97212">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212" w:rsidP="00C97212">
            <w:pPr>
              <w:pStyle w:val="ListBullet"/>
            </w:pPr>
            <w:r w:rsidRPr="00C97212">
              <w:t xml:space="preserve">framed scenery, e.g.: </w:t>
            </w:r>
          </w:p>
          <w:p w:rsidR="00000000" w:rsidRPr="00C97212" w:rsidP="00C97212">
            <w:pPr>
              <w:pStyle w:val="ListBullet2"/>
            </w:pPr>
            <w:r w:rsidRPr="00C97212">
              <w:t>flats</w:t>
            </w:r>
          </w:p>
          <w:p w:rsidR="00000000" w:rsidRPr="00C97212" w:rsidP="00C97212">
            <w:pPr>
              <w:pStyle w:val="ListBullet2"/>
            </w:pPr>
            <w:r w:rsidRPr="00C97212">
              <w:t>profiles</w:t>
            </w:r>
          </w:p>
          <w:p w:rsidR="00000000" w:rsidRPr="00C97212" w:rsidP="00C97212">
            <w:pPr>
              <w:pStyle w:val="ListBullet2"/>
            </w:pPr>
            <w:r w:rsidRPr="00C97212">
              <w:t>doors</w:t>
            </w:r>
          </w:p>
          <w:p w:rsidR="00000000" w:rsidRPr="00C97212" w:rsidP="00C97212">
            <w:pPr>
              <w:pStyle w:val="ListBullet2"/>
            </w:pPr>
            <w:r w:rsidRPr="00C97212">
              <w:t>windows</w:t>
            </w:r>
          </w:p>
          <w:p w:rsidR="00000000" w:rsidRPr="00C97212" w:rsidP="00C97212">
            <w:pPr>
              <w:pStyle w:val="ListBullet"/>
            </w:pPr>
            <w:r w:rsidRPr="00C97212">
              <w:t>furniture and other set props</w:t>
            </w:r>
          </w:p>
          <w:p w:rsidR="00000000" w:rsidRPr="00C97212" w:rsidP="00C97212">
            <w:pPr>
              <w:pStyle w:val="ListBullet"/>
            </w:pPr>
            <w:r w:rsidRPr="00C97212">
              <w:t xml:space="preserve">non-weight bearing scenery, e.g.: </w:t>
            </w:r>
          </w:p>
          <w:p w:rsidR="00000000" w:rsidRPr="00C97212" w:rsidP="00C97212">
            <w:pPr>
              <w:pStyle w:val="ListBullet2"/>
            </w:pPr>
            <w:r w:rsidRPr="00C97212">
              <w:t>columns</w:t>
            </w:r>
          </w:p>
          <w:p w:rsidR="00000000" w:rsidRPr="00C97212" w:rsidP="00C97212">
            <w:pPr>
              <w:pStyle w:val="ListBullet2"/>
            </w:pPr>
            <w:r w:rsidRPr="00C97212">
              <w:t>trees</w:t>
            </w:r>
          </w:p>
          <w:p w:rsidR="00000000" w:rsidRPr="00C97212" w:rsidP="00C97212">
            <w:pPr>
              <w:pStyle w:val="ListBullet"/>
            </w:pPr>
            <w:r w:rsidRPr="00C97212">
              <w:t>revolves</w:t>
            </w:r>
          </w:p>
          <w:p w:rsidR="00000000" w:rsidRPr="00C97212" w:rsidP="00C97212">
            <w:pPr>
              <w:pStyle w:val="ListBullet"/>
            </w:pPr>
            <w:r w:rsidRPr="00C97212">
              <w:t xml:space="preserve">soft scenery, e.g.: </w:t>
            </w:r>
          </w:p>
          <w:p w:rsidR="00000000" w:rsidRPr="00C97212" w:rsidP="00C97212">
            <w:pPr>
              <w:pStyle w:val="ListBullet2"/>
            </w:pPr>
            <w:r w:rsidRPr="00C97212">
              <w:t>canvas legs</w:t>
            </w:r>
          </w:p>
          <w:p w:rsidR="00000000" w:rsidRPr="00C97212" w:rsidP="00C97212">
            <w:pPr>
              <w:pStyle w:val="ListBullet2"/>
            </w:pPr>
            <w:r w:rsidRPr="00C97212">
              <w:t>borders</w:t>
            </w:r>
          </w:p>
          <w:p w:rsidR="00000000" w:rsidRPr="00C97212" w:rsidP="00C97212">
            <w:pPr>
              <w:pStyle w:val="ListBullet2"/>
            </w:pPr>
            <w:r w:rsidRPr="00C97212">
              <w:t>cloths</w:t>
            </w:r>
          </w:p>
          <w:p w:rsidR="00000000" w:rsidRPr="00C97212" w:rsidP="00C97212">
            <w:pPr>
              <w:pStyle w:val="ListBullet2"/>
            </w:pPr>
            <w:r w:rsidRPr="00C97212">
              <w:t>gauzes</w:t>
            </w:r>
          </w:p>
          <w:p w:rsidR="00000000" w:rsidRPr="00C97212" w:rsidP="00C97212">
            <w:pPr>
              <w:pStyle w:val="ListBullet2"/>
            </w:pPr>
            <w:r w:rsidRPr="00C97212">
              <w:t>cycloramas</w:t>
            </w:r>
          </w:p>
          <w:p w:rsidR="00000000" w:rsidRPr="00C97212" w:rsidP="00C97212">
            <w:pPr>
              <w:pStyle w:val="ListBullet"/>
            </w:pPr>
            <w:r w:rsidRPr="00C97212">
              <w:t>trucks</w:t>
            </w:r>
          </w:p>
          <w:p w:rsidR="00000000" w:rsidRPr="00C97212" w:rsidP="00C97212">
            <w:pPr>
              <w:pStyle w:val="ListBullet"/>
            </w:pPr>
            <w:r w:rsidRPr="00C97212">
              <w:t xml:space="preserve">weight bearing scenery, e.g.: </w:t>
            </w:r>
          </w:p>
          <w:p w:rsidR="00000000" w:rsidRPr="00C97212" w:rsidP="00C97212">
            <w:pPr>
              <w:pStyle w:val="ListBullet2"/>
            </w:pPr>
            <w:r w:rsidRPr="00C97212">
              <w:t>rostra</w:t>
            </w:r>
          </w:p>
          <w:p w:rsidR="00000000" w:rsidRPr="00C97212" w:rsidP="00C97212">
            <w:pPr>
              <w:pStyle w:val="ListBullet2"/>
            </w:pPr>
            <w:r w:rsidRPr="00C97212">
              <w:t>ramps</w:t>
            </w:r>
          </w:p>
          <w:p w:rsidR="00000000" w:rsidP="00C97212">
            <w:pPr>
              <w:pStyle w:val="ListBullet2"/>
              <w:rPr>
                <w:lang w:val="en-NZ"/>
              </w:rPr>
            </w:pPr>
            <w:r w:rsidRPr="00C97212">
              <w:t>steps</w:t>
            </w:r>
          </w:p>
        </w:tc>
      </w:tr>
      <w:tr w:rsidTr="00930FCE">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rPr>
                <w:rStyle w:val="BoldandItalics"/>
              </w:rPr>
              <w:t>Modifications</w:t>
            </w:r>
            <w:r w:rsidRPr="00C97212">
              <w:t xml:space="preserve"> to an existing stage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212" w:rsidP="00C97212">
            <w:pPr>
              <w:pStyle w:val="ListBullet"/>
            </w:pPr>
            <w:r w:rsidRPr="00C97212">
              <w:t>altering grid and other structures under appropriate supervision</w:t>
            </w:r>
          </w:p>
          <w:p w:rsidR="00000000" w:rsidP="00C97212">
            <w:pPr>
              <w:pStyle w:val="ListBullet"/>
              <w:rPr>
                <w:lang w:val="en-NZ"/>
              </w:rPr>
            </w:pPr>
            <w:r w:rsidRPr="00C97212">
              <w:t>installing staging extensions</w:t>
            </w:r>
          </w:p>
        </w:tc>
      </w:tr>
      <w:tr w:rsidTr="00930FCE">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rPr>
                <w:rStyle w:val="BoldandItalics"/>
              </w:rPr>
              <w:t>Equipment</w:t>
            </w:r>
            <w:r w:rsidRPr="00C97212">
              <w:t>, used during installation may include the following, within regulation limits and licensing requirements:</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212" w:rsidP="00C97212">
            <w:pPr>
              <w:pStyle w:val="ListBullet"/>
            </w:pPr>
            <w:r w:rsidRPr="00C97212">
              <w:t>cherry pickers</w:t>
            </w:r>
          </w:p>
          <w:p w:rsidR="00000000" w:rsidRPr="00C97212" w:rsidP="00C97212">
            <w:pPr>
              <w:pStyle w:val="ListBullet"/>
            </w:pPr>
            <w:r w:rsidRPr="00C97212">
              <w:t>ladders and A-frames</w:t>
            </w:r>
          </w:p>
          <w:p w:rsidR="00000000" w:rsidRPr="00C97212" w:rsidP="00C97212">
            <w:pPr>
              <w:pStyle w:val="ListBullet"/>
            </w:pPr>
            <w:r w:rsidRPr="00C97212">
              <w:t>maxilift or genie-type lifter</w:t>
            </w:r>
          </w:p>
          <w:p w:rsidR="00000000" w:rsidRPr="00C97212" w:rsidP="00C97212">
            <w:pPr>
              <w:pStyle w:val="ListBullet"/>
            </w:pPr>
            <w:r w:rsidRPr="00C97212">
              <w:t>mobile scaffolding</w:t>
            </w:r>
          </w:p>
          <w:p w:rsidR="00000000" w:rsidRPr="00C97212" w:rsidP="00C97212">
            <w:pPr>
              <w:pStyle w:val="ListBullet"/>
            </w:pPr>
            <w:r w:rsidRPr="00C97212">
              <w:t>scissor lift</w:t>
            </w:r>
          </w:p>
          <w:p w:rsidR="00000000" w:rsidP="00C97212">
            <w:pPr>
              <w:pStyle w:val="ListBullet"/>
              <w:rPr>
                <w:lang w:val="en-NZ"/>
              </w:rPr>
            </w:pPr>
            <w:r w:rsidRPr="00C97212">
              <w:t>tallescope</w:t>
            </w:r>
            <w:r w:rsidRPr="00C97212">
              <w:t>s</w:t>
            </w:r>
          </w:p>
        </w:tc>
      </w:tr>
      <w:tr w:rsidTr="00930FCE">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rPr>
                <w:rStyle w:val="BoldandItalics"/>
              </w:rPr>
              <w:t>Installing</w:t>
            </w:r>
            <w:r w:rsidRPr="00C97212">
              <w:t xml:space="preserve"> staging aspects of the show may involve setting up additional facilities for certain venues, particularly outside venues, and construction of extra requirements, which may include the following (within regulation limits):</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212" w:rsidP="00C97212">
            <w:pPr>
              <w:pStyle w:val="ListBullet"/>
            </w:pPr>
            <w:r w:rsidRPr="00C97212">
              <w:t>cast and crew ameni</w:t>
            </w:r>
            <w:r w:rsidRPr="00C97212">
              <w:t>ties, e.g.: dressing rooms</w:t>
            </w:r>
          </w:p>
          <w:p w:rsidR="00000000" w:rsidRPr="00C97212" w:rsidP="00C97212">
            <w:pPr>
              <w:pStyle w:val="ListBullet"/>
            </w:pPr>
            <w:r w:rsidRPr="00C97212">
              <w:t>catering facilities</w:t>
            </w:r>
          </w:p>
          <w:p w:rsidR="00000000" w:rsidRPr="00C97212" w:rsidP="00C97212">
            <w:pPr>
              <w:pStyle w:val="ListBullet"/>
            </w:pPr>
            <w:r w:rsidRPr="00C97212">
              <w:t>fences</w:t>
            </w:r>
          </w:p>
          <w:p w:rsidR="00000000" w:rsidRPr="00C97212" w:rsidP="00C97212">
            <w:pPr>
              <w:pStyle w:val="ListBullet"/>
            </w:pPr>
            <w:r w:rsidRPr="00C97212">
              <w:t>front-of-house facilities</w:t>
            </w:r>
          </w:p>
          <w:p w:rsidR="00000000" w:rsidRPr="00C97212" w:rsidP="00C97212">
            <w:pPr>
              <w:pStyle w:val="ListBullet"/>
            </w:pPr>
            <w:r w:rsidRPr="00C97212">
              <w:t>ground coverings</w:t>
            </w:r>
          </w:p>
          <w:p w:rsidR="00000000" w:rsidRPr="00C97212" w:rsidP="00C97212">
            <w:pPr>
              <w:pStyle w:val="ListBullet"/>
            </w:pPr>
            <w:r w:rsidRPr="00C97212">
              <w:t>public amenities</w:t>
            </w:r>
          </w:p>
          <w:p w:rsidR="00000000" w:rsidRPr="00C97212" w:rsidP="00C97212">
            <w:pPr>
              <w:pStyle w:val="ListBullet"/>
            </w:pPr>
            <w:r w:rsidRPr="00C97212">
              <w:t>scaffolding</w:t>
            </w:r>
          </w:p>
          <w:p w:rsidR="00000000" w:rsidRPr="00C97212" w:rsidP="00C97212">
            <w:pPr>
              <w:pStyle w:val="ListBullet"/>
            </w:pPr>
            <w:r w:rsidRPr="00C97212">
              <w:t>seating</w:t>
            </w:r>
          </w:p>
          <w:p w:rsidR="00000000" w:rsidRPr="00C97212" w:rsidP="00C97212">
            <w:pPr>
              <w:pStyle w:val="ListBullet"/>
            </w:pPr>
            <w:r w:rsidRPr="00C97212">
              <w:t>stage coverings</w:t>
            </w:r>
          </w:p>
          <w:p w:rsidR="00000000" w:rsidRPr="00C97212" w:rsidP="00C97212">
            <w:pPr>
              <w:pStyle w:val="ListBullet"/>
            </w:pPr>
            <w:r w:rsidRPr="00C97212">
              <w:t>stages</w:t>
            </w:r>
          </w:p>
          <w:p w:rsidR="00000000" w:rsidRPr="00C97212" w:rsidP="00C97212">
            <w:pPr>
              <w:pStyle w:val="ListBullet"/>
            </w:pPr>
            <w:r w:rsidRPr="00C97212">
              <w:t>tents</w:t>
            </w:r>
          </w:p>
        </w:tc>
      </w:tr>
    </w:tbl>
    <w:p w:rsidR="00930FCE" w:rsidP="00C97212">
      <w:pPr>
        <w:pStyle w:val="BodyText"/>
      </w:pPr>
    </w:p>
    <w:p w:rsidR="00930FCE" w:rsidP="00C97212">
      <w:pPr>
        <w:pStyle w:val="BodyText"/>
      </w:pPr>
    </w:p>
    <w:p w:rsidR="00000000" w:rsidRPr="00C97212" w:rsidP="00C97212">
      <w:pPr>
        <w:pStyle w:val="Heading1"/>
      </w:pPr>
      <w:bookmarkStart w:id="12" w:name="O_70430"/>
      <w:bookmarkEnd w:id="12"/>
      <w:r w:rsidRPr="00C97212">
        <w:t>Unit Sector(s)</w:t>
      </w:r>
    </w:p>
    <w:tbl>
      <w:tblPr>
        <w:tblW w:w="0" w:type="auto"/>
        <w:tblLayout w:type="fixed"/>
        <w:tblCellMar>
          <w:left w:w="62" w:type="dxa"/>
          <w:right w:w="62" w:type="dxa"/>
        </w:tblCellMar>
        <w:tblLook w:val="0000"/>
      </w:tblPr>
      <w:tblGrid>
        <w:gridCol w:w="2654"/>
        <w:gridCol w:w="5868"/>
      </w:tblGrid>
      <w:tr w:rsidTr="00930FC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212" w:rsidP="00C97212">
            <w:pPr>
              <w:pStyle w:val="BodyText"/>
            </w:pPr>
          </w:p>
        </w:tc>
      </w:tr>
    </w:tbl>
    <w:p w:rsidR="00000000" w:rsidRPr="00C97212" w:rsidP="00C97212">
      <w:pPr>
        <w:pStyle w:val="BodyText"/>
      </w:pPr>
    </w:p>
    <w:p w:rsidR="00000000" w:rsidRPr="00C97212" w:rsidP="00C97212">
      <w:pPr>
        <w:pStyle w:val="AllowPageBreak"/>
      </w:pPr>
    </w:p>
    <w:p w:rsidR="00000000" w:rsidRPr="00C97212" w:rsidP="00C97212">
      <w:pPr>
        <w:pStyle w:val="Heading1"/>
      </w:pPr>
      <w:bookmarkStart w:id="13" w:name="O_155029"/>
      <w:bookmarkEnd w:id="13"/>
      <w:r w:rsidRPr="00C97212">
        <w:t>Competency field</w:t>
      </w:r>
    </w:p>
    <w:tbl>
      <w:tblPr>
        <w:tblW w:w="0" w:type="auto"/>
        <w:tblLayout w:type="fixed"/>
        <w:tblCellMar>
          <w:left w:w="62" w:type="dxa"/>
          <w:right w:w="62" w:type="dxa"/>
        </w:tblCellMar>
        <w:tblLook w:val="0000"/>
      </w:tblPr>
      <w:tblGrid>
        <w:gridCol w:w="2778"/>
        <w:gridCol w:w="5744"/>
      </w:tblGrid>
      <w:tr w:rsidTr="00930FC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212" w:rsidP="00C97212">
            <w:pPr>
              <w:pStyle w:val="BodyText"/>
            </w:pPr>
            <w:r w:rsidRPr="00C97212">
              <w:t>Media and entertainment production - staging</w:t>
            </w:r>
          </w:p>
        </w:tc>
      </w:tr>
    </w:tbl>
    <w:p w:rsidR="00000000" w:rsidRPr="00C97212" w:rsidP="00C97212">
      <w:pPr>
        <w:pStyle w:val="BodyText"/>
      </w:pPr>
    </w:p>
    <w:p w:rsidR="00000000" w:rsidRPr="00C97212" w:rsidP="00C97212">
      <w:pPr>
        <w:pStyle w:val="AllowPageBreak"/>
      </w:pPr>
    </w:p>
    <w:p w:rsidR="00000000" w:rsidRPr="00C97212" w:rsidP="00C97212">
      <w:pPr>
        <w:pStyle w:val="Heading1"/>
      </w:pPr>
      <w:bookmarkStart w:id="14" w:name="O_155028"/>
      <w:bookmarkEnd w:id="14"/>
      <w:r w:rsidRPr="00C97212">
        <w:t>Co-requisite units</w:t>
      </w:r>
    </w:p>
    <w:tbl>
      <w:tblPr>
        <w:tblW w:w="0" w:type="auto"/>
        <w:tblLayout w:type="fixed"/>
        <w:tblCellMar>
          <w:left w:w="62" w:type="dxa"/>
          <w:right w:w="62" w:type="dxa"/>
        </w:tblCellMar>
        <w:tblLook w:val="0000"/>
      </w:tblPr>
      <w:tblGrid>
        <w:gridCol w:w="2385"/>
        <w:gridCol w:w="2219"/>
        <w:gridCol w:w="3918"/>
      </w:tblGrid>
      <w:tr w:rsidTr="00930FCE">
        <w:tblPrEx>
          <w:tblW w:w="0" w:type="auto"/>
          <w:tblLayout w:type="fixed"/>
          <w:tblCellMar>
            <w:left w:w="62" w:type="dxa"/>
            <w:right w:w="62" w:type="dxa"/>
          </w:tblCellMar>
          <w:tblLook w:val="0000"/>
        </w:tblPrEx>
        <w:trPr>
          <w:tblHeader/>
        </w:trPr>
        <w:tc>
          <w:tcPr>
            <w:tcW w:w="2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rPr>
                <w:rStyle w:val="SpecialBold"/>
              </w:rPr>
              <w:t>Co-requisite units</w:t>
            </w:r>
          </w:p>
        </w:tc>
        <w:tc>
          <w:tcPr>
            <w:tcW w:w="61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t>It is strongly recommended that this unit be assessed with or after the following units:</w:t>
            </w:r>
          </w:p>
        </w:tc>
      </w:tr>
      <w:tr w:rsidTr="00930FCE">
        <w:tblPrEx>
          <w:tblW w:w="0" w:type="auto"/>
          <w:tblLayout w:type="fixed"/>
          <w:tblCellMar>
            <w:left w:w="62" w:type="dxa"/>
            <w:right w:w="62" w:type="dxa"/>
          </w:tblCellMar>
          <w:tblLook w:val="0000"/>
        </w:tblPrEx>
        <w:tc>
          <w:tcPr>
            <w:tcW w:w="2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t>CUESTA05C</w:t>
            </w:r>
          </w:p>
        </w:tc>
        <w:tc>
          <w:tcPr>
            <w:tcW w:w="3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t>Apply a general knowledge of staging to work activities</w:t>
            </w:r>
          </w:p>
        </w:tc>
      </w:tr>
      <w:tr w:rsidTr="00930FCE">
        <w:tblPrEx>
          <w:tblW w:w="0" w:type="auto"/>
          <w:tblLayout w:type="fixed"/>
          <w:tblCellMar>
            <w:left w:w="62" w:type="dxa"/>
            <w:right w:w="62" w:type="dxa"/>
          </w:tblCellMar>
          <w:tblLook w:val="0000"/>
        </w:tblPrEx>
        <w:tc>
          <w:tcPr>
            <w:tcW w:w="2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212">
            <w:pPr>
              <w:pStyle w:val="BodyText"/>
              <w:rPr>
                <w:lang w:val="en-NZ"/>
              </w:rPr>
            </w:pPr>
            <w:r w:rsidRPr="00C97212">
              <w:t>MEM18001C</w:t>
            </w:r>
          </w:p>
        </w:tc>
        <w:tc>
          <w:tcPr>
            <w:tcW w:w="3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212" w:rsidP="00C97212">
            <w:pPr>
              <w:pStyle w:val="BodyText"/>
            </w:pPr>
            <w:r w:rsidRPr="00C97212">
              <w:t>Use hand tools</w:t>
            </w:r>
          </w:p>
        </w:tc>
      </w:tr>
    </w:tbl>
    <w:p w:rsidR="00000000" w:rsidRPr="00C97212" w:rsidP="00C97212">
      <w:pPr>
        <w:pStyle w:val="BodyText"/>
      </w:pPr>
    </w:p>
    <w:p w:rsidR="00000000" w:rsidRPr="00C97212" w:rsidP="00C97212"/>
    <w:sectPr w:rsidSect="00C972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2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0FCE" w:rsidP="00930F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2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FCE" w:rsidP="00C972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30FCE" w:rsidP="00C972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0FCE" w:rsidP="00C972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2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0FCE" w:rsidP="00930F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2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FCE" w:rsidP="00C97212">
    <w:pPr>
      <w:pStyle w:val="Header"/>
      <w:framePr w:wrap="around"/>
    </w:pPr>
    <w:r>
      <w:fldChar w:fldCharType="begin"/>
    </w:r>
    <w:r>
      <w:instrText xml:space="preserve"> TITLE   \* MERGEFORMAT </w:instrText>
    </w:r>
    <w:r>
      <w:fldChar w:fldCharType="separate"/>
    </w:r>
    <w:r>
      <w:t>CUESTA01C Install staging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0FCE" w:rsidP="00C972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627F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B847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E60A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2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7212"/>
    <w:pPr>
      <w:spacing w:before="360" w:after="60"/>
      <w:outlineLvl w:val="0"/>
    </w:pPr>
    <w:rPr>
      <w:sz w:val="32"/>
    </w:rPr>
  </w:style>
  <w:style w:type="paragraph" w:styleId="Heading2">
    <w:name w:val="heading 2"/>
    <w:basedOn w:val="HeadingBase"/>
    <w:next w:val="BodyText"/>
    <w:link w:val="Heading2Char"/>
    <w:qFormat/>
    <w:rsid w:val="00C97212"/>
    <w:pPr>
      <w:keepLines/>
      <w:spacing w:before="240" w:after="120"/>
      <w:outlineLvl w:val="1"/>
    </w:pPr>
    <w:rPr>
      <w:sz w:val="28"/>
      <w:szCs w:val="40"/>
    </w:rPr>
  </w:style>
  <w:style w:type="paragraph" w:styleId="Heading3">
    <w:name w:val="heading 3"/>
    <w:basedOn w:val="HeadingBase"/>
    <w:next w:val="BodyText"/>
    <w:link w:val="Heading3Char"/>
    <w:qFormat/>
    <w:rsid w:val="00C97212"/>
    <w:pPr>
      <w:spacing w:before="180" w:after="120"/>
      <w:outlineLvl w:val="2"/>
    </w:pPr>
    <w:rPr>
      <w:spacing w:val="-10"/>
      <w:kern w:val="32"/>
    </w:rPr>
  </w:style>
  <w:style w:type="paragraph" w:styleId="Heading4">
    <w:name w:val="heading 4"/>
    <w:basedOn w:val="HeadingBase"/>
    <w:next w:val="BodyText"/>
    <w:link w:val="Heading4Char"/>
    <w:qFormat/>
    <w:rsid w:val="00C97212"/>
    <w:pPr>
      <w:spacing w:before="160" w:after="120"/>
      <w:outlineLvl w:val="3"/>
    </w:pPr>
    <w:rPr>
      <w:sz w:val="22"/>
    </w:rPr>
  </w:style>
  <w:style w:type="paragraph" w:styleId="Heading5">
    <w:name w:val="heading 5"/>
    <w:basedOn w:val="HeadingBase"/>
    <w:next w:val="Normal"/>
    <w:link w:val="Heading5Char"/>
    <w:qFormat/>
    <w:rsid w:val="00C97212"/>
    <w:pPr>
      <w:spacing w:before="80"/>
      <w:outlineLvl w:val="4"/>
    </w:pPr>
    <w:rPr>
      <w:color w:val="918585"/>
      <w:sz w:val="20"/>
    </w:rPr>
  </w:style>
  <w:style w:type="paragraph" w:styleId="Heading6">
    <w:name w:val="heading 6"/>
    <w:basedOn w:val="HeadingBase"/>
    <w:next w:val="Normal"/>
    <w:link w:val="Heading6Char"/>
    <w:qFormat/>
    <w:rsid w:val="00C97212"/>
    <w:pPr>
      <w:spacing w:before="60"/>
      <w:outlineLvl w:val="5"/>
    </w:pPr>
    <w:rPr>
      <w:color w:val="918585"/>
      <w:sz w:val="20"/>
    </w:rPr>
  </w:style>
  <w:style w:type="paragraph" w:styleId="Heading7">
    <w:name w:val="heading 7"/>
    <w:basedOn w:val="Normal"/>
    <w:next w:val="Normal"/>
    <w:link w:val="Heading7Char"/>
    <w:qFormat/>
    <w:rsid w:val="00C97212"/>
    <w:pPr>
      <w:ind w:left="720"/>
      <w:outlineLvl w:val="6"/>
    </w:pPr>
    <w:rPr>
      <w:i/>
    </w:rPr>
  </w:style>
  <w:style w:type="paragraph" w:styleId="Heading8">
    <w:name w:val="heading 8"/>
    <w:basedOn w:val="Normal"/>
    <w:next w:val="Normal"/>
    <w:link w:val="Heading8Char"/>
    <w:qFormat/>
    <w:rsid w:val="00C97212"/>
    <w:pPr>
      <w:ind w:left="720"/>
      <w:outlineLvl w:val="7"/>
    </w:pPr>
    <w:rPr>
      <w:i/>
    </w:rPr>
  </w:style>
  <w:style w:type="paragraph" w:styleId="Heading9">
    <w:name w:val="heading 9"/>
    <w:basedOn w:val="Normal"/>
    <w:next w:val="Normal"/>
    <w:link w:val="Heading9Char"/>
    <w:qFormat/>
    <w:rsid w:val="00C97212"/>
    <w:pPr>
      <w:ind w:left="720"/>
      <w:outlineLvl w:val="8"/>
    </w:pPr>
    <w:rPr>
      <w:i/>
    </w:rPr>
  </w:style>
  <w:style w:type="character" w:default="1" w:styleId="DefaultParagraphFont">
    <w:name w:val="Default Paragraph Font"/>
    <w:uiPriority w:val="1"/>
    <w:unhideWhenUsed/>
    <w:rsid w:val="00C972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212"/>
  </w:style>
  <w:style w:type="character" w:customStyle="1" w:styleId="Heading1Char">
    <w:name w:val="Heading 1 Char"/>
    <w:basedOn w:val="DefaultParagraphFont"/>
    <w:link w:val="Heading1"/>
    <w:rsid w:val="00C97212"/>
    <w:rPr>
      <w:rFonts w:ascii="Times New Roman" w:eastAsia="Times New Roman" w:hAnsi="Times New Roman" w:cs="Times New Roman"/>
      <w:b/>
      <w:sz w:val="32"/>
      <w:szCs w:val="20"/>
      <w:lang w:eastAsia="en-US"/>
    </w:rPr>
  </w:style>
  <w:style w:type="paragraph" w:styleId="BodyText">
    <w:name w:val="Body Text"/>
    <w:basedOn w:val="Normal"/>
    <w:link w:val="BodyTextChar"/>
    <w:rsid w:val="00C972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7212"/>
    <w:rPr>
      <w:rFonts w:ascii="Times New Roman" w:eastAsia="Times New Roman" w:hAnsi="Times New Roman" w:cs="Times New Roman"/>
      <w:sz w:val="24"/>
      <w:lang w:val="en-US" w:eastAsia="en-US"/>
    </w:rPr>
  </w:style>
  <w:style w:type="paragraph" w:styleId="Footer">
    <w:name w:val="footer"/>
    <w:basedOn w:val="Normal"/>
    <w:link w:val="FooterChar"/>
    <w:rsid w:val="00C972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212"/>
    <w:rPr>
      <w:rFonts w:ascii="Times New Roman" w:eastAsia="Times New Roman" w:hAnsi="Times New Roman" w:cs="Times New Roman"/>
      <w:sz w:val="16"/>
      <w:lang w:val="en-US" w:eastAsia="en-US"/>
    </w:rPr>
  </w:style>
  <w:style w:type="paragraph" w:styleId="List">
    <w:name w:val="List"/>
    <w:basedOn w:val="BodyText"/>
    <w:next w:val="BodyText"/>
    <w:rsid w:val="00C97212"/>
    <w:pPr>
      <w:tabs>
        <w:tab w:val="left" w:pos="340"/>
      </w:tabs>
      <w:spacing w:before="60" w:after="60"/>
      <w:ind w:left="340" w:hanging="340"/>
    </w:pPr>
  </w:style>
  <w:style w:type="paragraph" w:styleId="ListBullet">
    <w:name w:val="List Bullet"/>
    <w:basedOn w:val="List"/>
    <w:rsid w:val="00C97212"/>
    <w:pPr>
      <w:numPr>
        <w:numId w:val="13"/>
      </w:numPr>
      <w:tabs>
        <w:tab w:val="clear" w:pos="340"/>
      </w:tabs>
      <w:spacing w:before="40" w:after="40"/>
    </w:pPr>
  </w:style>
  <w:style w:type="character" w:customStyle="1" w:styleId="SpecialBold">
    <w:name w:val="Special Bold"/>
    <w:basedOn w:val="DefaultParagraphFont"/>
    <w:rsid w:val="00C97212"/>
    <w:rPr>
      <w:b/>
      <w:spacing w:val="0"/>
    </w:rPr>
  </w:style>
  <w:style w:type="paragraph" w:styleId="ListBullet2">
    <w:name w:val="List Bullet 2"/>
    <w:basedOn w:val="List2"/>
    <w:rsid w:val="00C97212"/>
    <w:pPr>
      <w:numPr>
        <w:numId w:val="14"/>
      </w:numPr>
      <w:tabs>
        <w:tab w:val="clear" w:pos="680"/>
      </w:tabs>
    </w:pPr>
  </w:style>
  <w:style w:type="paragraph" w:styleId="Header">
    <w:name w:val="header"/>
    <w:basedOn w:val="Normal"/>
    <w:link w:val="HeaderChar"/>
    <w:rsid w:val="00C972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2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7212"/>
    <w:pPr>
      <w:spacing w:before="240" w:after="120"/>
      <w:outlineLvl w:val="0"/>
    </w:pPr>
    <w:rPr>
      <w:rFonts w:ascii="Times New Roman" w:hAnsi="Times New Roman"/>
      <w:b/>
      <w:sz w:val="28"/>
    </w:rPr>
  </w:style>
  <w:style w:type="paragraph" w:customStyle="1" w:styleId="AllowPageBreak">
    <w:name w:val="AllowPageBreak"/>
    <w:rsid w:val="00C972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7212"/>
    <w:pPr>
      <w:tabs>
        <w:tab w:val="left" w:pos="680"/>
      </w:tabs>
      <w:spacing w:before="60" w:after="60"/>
      <w:ind w:left="680" w:hanging="340"/>
    </w:pPr>
  </w:style>
  <w:style w:type="character" w:customStyle="1" w:styleId="BoldandItalics">
    <w:name w:val="Bold and Italics"/>
    <w:qFormat/>
    <w:rsid w:val="00C97212"/>
    <w:rPr>
      <w:b/>
      <w:i/>
      <w:u w:val="none"/>
    </w:rPr>
  </w:style>
  <w:style w:type="character" w:customStyle="1" w:styleId="Heading2Char">
    <w:name w:val="Heading 2 Char"/>
    <w:basedOn w:val="DefaultParagraphFont"/>
    <w:link w:val="Heading2"/>
    <w:rsid w:val="00C972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2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2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2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2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2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72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7212"/>
    <w:rPr>
      <w:rFonts w:ascii="Courier New" w:eastAsia="Times New Roman" w:hAnsi="Courier New" w:cs="Times New Roman"/>
      <w:i/>
      <w:szCs w:val="20"/>
      <w:lang w:val="en-US" w:eastAsia="en-US"/>
    </w:rPr>
  </w:style>
  <w:style w:type="paragraph" w:customStyle="1" w:styleId="HeadingBase">
    <w:name w:val="Heading Base"/>
    <w:rsid w:val="00C972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212"/>
    <w:pPr>
      <w:tabs>
        <w:tab w:val="right" w:leader="dot" w:pos="9072"/>
      </w:tabs>
      <w:ind w:left="567"/>
    </w:pPr>
    <w:rPr>
      <w:szCs w:val="22"/>
    </w:rPr>
  </w:style>
  <w:style w:type="paragraph" w:customStyle="1" w:styleId="TOCBase">
    <w:name w:val="TOC Base"/>
    <w:rsid w:val="00C972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212"/>
    <w:pPr>
      <w:tabs>
        <w:tab w:val="right" w:leader="dot" w:pos="9072"/>
      </w:tabs>
      <w:spacing w:before="40" w:after="40"/>
      <w:ind w:left="284"/>
    </w:pPr>
    <w:rPr>
      <w:rFonts w:ascii="Times New Roman" w:hAnsi="Times New Roman"/>
    </w:rPr>
  </w:style>
  <w:style w:type="paragraph" w:styleId="TOC1">
    <w:name w:val="toc 1"/>
    <w:basedOn w:val="TOCBase"/>
    <w:next w:val="Normal"/>
    <w:rsid w:val="00C972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7212"/>
    <w:pPr>
      <w:spacing w:before="5040"/>
      <w:jc w:val="center"/>
    </w:pPr>
    <w:rPr>
      <w:sz w:val="48"/>
      <w:szCs w:val="72"/>
      <w:lang w:val="en-US"/>
    </w:rPr>
  </w:style>
  <w:style w:type="character" w:customStyle="1" w:styleId="TitleChar">
    <w:name w:val="Title Char"/>
    <w:basedOn w:val="DefaultParagraphFont"/>
    <w:link w:val="Title"/>
    <w:rsid w:val="00C972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212"/>
    <w:pPr>
      <w:tabs>
        <w:tab w:val="left" w:pos="3600"/>
        <w:tab w:val="left" w:pos="3958"/>
      </w:tabs>
    </w:pPr>
  </w:style>
  <w:style w:type="paragraph" w:customStyle="1" w:styleId="Note">
    <w:name w:val="Note"/>
    <w:basedOn w:val="BodyText"/>
    <w:rsid w:val="00C972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212"/>
    <w:pPr>
      <w:framePr w:wrap="auto" w:hAnchor="text" w:y="6049"/>
    </w:pPr>
    <w:rPr>
      <w:color w:val="000000"/>
      <w:sz w:val="40"/>
    </w:rPr>
  </w:style>
  <w:style w:type="paragraph" w:customStyle="1" w:styleId="TOCTitle">
    <w:name w:val="TOCTitle"/>
    <w:basedOn w:val="Heading1"/>
    <w:rsid w:val="00C97212"/>
    <w:pPr>
      <w:spacing w:after="240"/>
      <w:jc w:val="center"/>
      <w:outlineLvl w:val="9"/>
    </w:pPr>
    <w:rPr>
      <w:caps/>
    </w:rPr>
  </w:style>
  <w:style w:type="paragraph" w:customStyle="1" w:styleId="Version">
    <w:name w:val="Version"/>
    <w:rsid w:val="00C972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212"/>
    <w:pPr>
      <w:keepNext w:val="0"/>
      <w:tabs>
        <w:tab w:val="right" w:pos="4176"/>
      </w:tabs>
      <w:ind w:left="198" w:hanging="198"/>
    </w:pPr>
    <w:rPr>
      <w:rFonts w:ascii="Garamond" w:hAnsi="Garamond"/>
    </w:rPr>
  </w:style>
  <w:style w:type="paragraph" w:styleId="IndexHeading">
    <w:name w:val="index heading"/>
    <w:basedOn w:val="Normal"/>
    <w:next w:val="Index1"/>
    <w:semiHidden/>
    <w:rsid w:val="00C97212"/>
    <w:pPr>
      <w:spacing w:before="120" w:after="120"/>
    </w:pPr>
    <w:rPr>
      <w:rFonts w:ascii="Arial" w:hAnsi="Arial"/>
      <w:b/>
      <w:color w:val="918585"/>
      <w:sz w:val="24"/>
    </w:rPr>
  </w:style>
  <w:style w:type="paragraph" w:customStyle="1" w:styleId="Chapter">
    <w:name w:val="Chapter"/>
    <w:basedOn w:val="Normal"/>
    <w:rsid w:val="00C97212"/>
    <w:pPr>
      <w:spacing w:before="240"/>
    </w:pPr>
    <w:rPr>
      <w:rFonts w:ascii="Times New Roman" w:hAnsi="Times New Roman"/>
      <w:smallCaps/>
      <w:spacing w:val="80"/>
      <w:sz w:val="28"/>
    </w:rPr>
  </w:style>
  <w:style w:type="paragraph" w:customStyle="1" w:styleId="InChapter">
    <w:name w:val="InChapter"/>
    <w:basedOn w:val="Heading3"/>
    <w:rsid w:val="00C97212"/>
    <w:pPr>
      <w:spacing w:after="240"/>
      <w:outlineLvl w:val="9"/>
    </w:pPr>
    <w:rPr>
      <w:noProof/>
    </w:rPr>
  </w:style>
  <w:style w:type="paragraph" w:styleId="Index2">
    <w:name w:val="index 2"/>
    <w:basedOn w:val="Normal"/>
    <w:next w:val="Normal"/>
    <w:semiHidden/>
    <w:rsid w:val="00C97212"/>
    <w:pPr>
      <w:tabs>
        <w:tab w:val="right" w:pos="4176"/>
      </w:tabs>
      <w:ind w:left="568" w:hanging="284"/>
    </w:pPr>
    <w:rPr>
      <w:rFonts w:ascii="Garamond" w:hAnsi="Garamond"/>
    </w:rPr>
  </w:style>
  <w:style w:type="paragraph" w:customStyle="1" w:styleId="Byline">
    <w:name w:val="Byline"/>
    <w:rsid w:val="00C972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212"/>
    <w:pPr>
      <w:tabs>
        <w:tab w:val="clear" w:pos="3600"/>
        <w:tab w:val="clear" w:pos="3958"/>
      </w:tabs>
      <w:jc w:val="right"/>
    </w:pPr>
  </w:style>
  <w:style w:type="character" w:styleId="Emphasis">
    <w:name w:val="Emphasis"/>
    <w:basedOn w:val="DefaultParagraphFont"/>
    <w:qFormat/>
    <w:rsid w:val="00C97212"/>
    <w:rPr>
      <w:i/>
    </w:rPr>
  </w:style>
  <w:style w:type="paragraph" w:styleId="Caption">
    <w:name w:val="caption"/>
    <w:basedOn w:val="BodyText"/>
    <w:next w:val="Normal"/>
    <w:qFormat/>
    <w:rsid w:val="00C97212"/>
    <w:pPr>
      <w:framePr w:w="2268" w:hSpace="181" w:vSpace="181" w:wrap="around" w:vAnchor="text" w:hAnchor="page" w:x="1135" w:y="285" w:anchorLock="1"/>
    </w:pPr>
    <w:rPr>
      <w:i/>
    </w:rPr>
  </w:style>
  <w:style w:type="paragraph" w:customStyle="1" w:styleId="MiniTOCTitle">
    <w:name w:val="MiniTOCTitle"/>
    <w:basedOn w:val="Heading4"/>
    <w:rsid w:val="00C97212"/>
    <w:pPr>
      <w:spacing w:before="240"/>
      <w:outlineLvl w:val="9"/>
    </w:pPr>
    <w:rPr>
      <w:noProof/>
      <w:sz w:val="24"/>
    </w:rPr>
  </w:style>
  <w:style w:type="paragraph" w:customStyle="1" w:styleId="MiniTOCItem">
    <w:name w:val="MiniTOCItem"/>
    <w:basedOn w:val="ListBullet"/>
    <w:rsid w:val="00C97212"/>
    <w:pPr>
      <w:numPr>
        <w:numId w:val="0"/>
      </w:numPr>
      <w:tabs>
        <w:tab w:val="right" w:leader="dot" w:pos="6521"/>
      </w:tabs>
      <w:spacing w:before="0" w:after="0"/>
    </w:pPr>
  </w:style>
  <w:style w:type="paragraph" w:customStyle="1" w:styleId="TOFTitle">
    <w:name w:val="TOFTitle"/>
    <w:basedOn w:val="TOCTitle"/>
    <w:rsid w:val="00C97212"/>
  </w:style>
  <w:style w:type="paragraph" w:styleId="TableofFigures">
    <w:name w:val="table of figures"/>
    <w:basedOn w:val="Normal"/>
    <w:next w:val="Normal"/>
    <w:semiHidden/>
    <w:rsid w:val="00C97212"/>
    <w:pPr>
      <w:tabs>
        <w:tab w:val="right" w:leader="dot" w:pos="9072"/>
      </w:tabs>
      <w:ind w:left="970" w:hanging="403"/>
    </w:pPr>
    <w:rPr>
      <w:rFonts w:ascii="Times New Roman" w:hAnsi="Times New Roman"/>
      <w:b/>
    </w:rPr>
  </w:style>
  <w:style w:type="paragraph" w:styleId="ListNumber">
    <w:name w:val="List Number"/>
    <w:basedOn w:val="List"/>
    <w:rsid w:val="00C97212"/>
    <w:pPr>
      <w:numPr>
        <w:numId w:val="11"/>
      </w:numPr>
    </w:pPr>
  </w:style>
  <w:style w:type="character" w:customStyle="1" w:styleId="WingdingSymbols">
    <w:name w:val="Wingding Symbols"/>
    <w:rsid w:val="00C97212"/>
    <w:rPr>
      <w:rFonts w:ascii="Wingdings" w:hAnsi="Wingdings"/>
    </w:rPr>
  </w:style>
  <w:style w:type="paragraph" w:customStyle="1" w:styleId="TableHeading">
    <w:name w:val="Table Heading"/>
    <w:basedOn w:val="HeadingBase"/>
    <w:rsid w:val="00C97212"/>
    <w:pPr>
      <w:keepLines/>
      <w:pBdr>
        <w:bottom w:val="single" w:sz="6" w:space="1" w:color="918585"/>
      </w:pBdr>
      <w:spacing w:before="240"/>
    </w:pPr>
  </w:style>
  <w:style w:type="character" w:customStyle="1" w:styleId="HotSpot">
    <w:name w:val="HotSpot"/>
    <w:rsid w:val="00C97212"/>
    <w:rPr>
      <w:color w:val="0033CC"/>
      <w:u w:val="none"/>
    </w:rPr>
  </w:style>
  <w:style w:type="paragraph" w:customStyle="1" w:styleId="BodyTextRight">
    <w:name w:val="Body Text Right"/>
    <w:basedOn w:val="BodyText"/>
    <w:rsid w:val="00C97212"/>
    <w:pPr>
      <w:spacing w:before="0" w:after="0"/>
      <w:jc w:val="right"/>
    </w:pPr>
  </w:style>
  <w:style w:type="paragraph" w:styleId="Index3">
    <w:name w:val="index 3"/>
    <w:basedOn w:val="ListNumber2"/>
    <w:next w:val="Normal"/>
    <w:semiHidden/>
    <w:rsid w:val="00C97212"/>
    <w:pPr>
      <w:numPr>
        <w:numId w:val="0"/>
      </w:numPr>
      <w:tabs>
        <w:tab w:val="right" w:leader="dot" w:pos="4176"/>
      </w:tabs>
    </w:pPr>
  </w:style>
  <w:style w:type="paragraph" w:styleId="ListNumber2">
    <w:name w:val="List Number 2"/>
    <w:basedOn w:val="List2"/>
    <w:rsid w:val="00C97212"/>
    <w:pPr>
      <w:numPr>
        <w:numId w:val="10"/>
      </w:numPr>
      <w:tabs>
        <w:tab w:val="clear" w:pos="1060"/>
      </w:tabs>
    </w:pPr>
  </w:style>
  <w:style w:type="paragraph" w:customStyle="1" w:styleId="MarginNote">
    <w:name w:val="Margin Note"/>
    <w:basedOn w:val="BodyText"/>
    <w:rsid w:val="00C972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2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2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7212"/>
    <w:rPr>
      <w:sz w:val="32"/>
    </w:rPr>
  </w:style>
  <w:style w:type="paragraph" w:customStyle="1" w:styleId="HeadingProcedure">
    <w:name w:val="Heading Procedure"/>
    <w:basedOn w:val="HeadingBase"/>
    <w:next w:val="Normal"/>
    <w:rsid w:val="00C97212"/>
    <w:pPr>
      <w:tabs>
        <w:tab w:val="left" w:pos="0"/>
      </w:tabs>
      <w:spacing w:before="120" w:after="60"/>
    </w:pPr>
    <w:rPr>
      <w:i/>
      <w:color w:val="918585"/>
      <w:sz w:val="22"/>
    </w:rPr>
  </w:style>
  <w:style w:type="paragraph" w:customStyle="1" w:styleId="TableBodyText">
    <w:name w:val="Table Body Text"/>
    <w:basedOn w:val="BodyText"/>
    <w:rsid w:val="00C97212"/>
    <w:pPr>
      <w:spacing w:before="60" w:after="60"/>
    </w:pPr>
  </w:style>
  <w:style w:type="paragraph" w:styleId="ListContinue">
    <w:name w:val="List Continue"/>
    <w:basedOn w:val="List"/>
    <w:rsid w:val="00C97212"/>
    <w:pPr>
      <w:ind w:firstLine="0"/>
    </w:pPr>
  </w:style>
  <w:style w:type="paragraph" w:customStyle="1" w:styleId="ListNote">
    <w:name w:val="List Note"/>
    <w:basedOn w:val="List"/>
    <w:rsid w:val="00C97212"/>
    <w:pPr>
      <w:pBdr>
        <w:top w:val="single" w:sz="6" w:space="2" w:color="918585"/>
        <w:bottom w:val="single" w:sz="6" w:space="2" w:color="918585"/>
      </w:pBdr>
      <w:tabs>
        <w:tab w:val="left" w:pos="1021"/>
      </w:tabs>
      <w:ind w:firstLine="0"/>
    </w:pPr>
  </w:style>
  <w:style w:type="paragraph" w:customStyle="1" w:styleId="Warning">
    <w:name w:val="Warning"/>
    <w:basedOn w:val="BodyText"/>
    <w:rsid w:val="00C97212"/>
    <w:pPr>
      <w:shd w:val="clear" w:color="auto" w:fill="D9D9D9"/>
      <w:tabs>
        <w:tab w:val="left" w:pos="992"/>
      </w:tabs>
      <w:ind w:left="119" w:right="119"/>
    </w:pPr>
    <w:rPr>
      <w:sz w:val="20"/>
    </w:rPr>
  </w:style>
  <w:style w:type="paragraph" w:customStyle="1" w:styleId="MarginIcons">
    <w:name w:val="Margin Icons"/>
    <w:basedOn w:val="BodyText"/>
    <w:rsid w:val="00C972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212"/>
    <w:rPr>
      <w:rFonts w:ascii="Courier New" w:hAnsi="Courier New"/>
    </w:rPr>
  </w:style>
  <w:style w:type="paragraph" w:customStyle="1" w:styleId="NoteBullet">
    <w:name w:val="Note Bullet"/>
    <w:basedOn w:val="Note"/>
    <w:rsid w:val="00C97212"/>
    <w:pPr>
      <w:tabs>
        <w:tab w:val="clear" w:pos="680"/>
      </w:tabs>
      <w:spacing w:before="60" w:after="60"/>
    </w:pPr>
  </w:style>
  <w:style w:type="paragraph" w:customStyle="1" w:styleId="SubHeading2">
    <w:name w:val="SubHeading2"/>
    <w:basedOn w:val="HeadingBase"/>
    <w:rsid w:val="00C97212"/>
    <w:pPr>
      <w:spacing w:before="240" w:after="60"/>
    </w:pPr>
    <w:rPr>
      <w:sz w:val="20"/>
    </w:rPr>
  </w:style>
  <w:style w:type="paragraph" w:customStyle="1" w:styleId="SubHeading1">
    <w:name w:val="SubHeading1"/>
    <w:basedOn w:val="HeadingBase"/>
    <w:rsid w:val="00C97212"/>
    <w:pPr>
      <w:spacing w:before="240" w:after="60"/>
    </w:pPr>
    <w:rPr>
      <w:color w:val="918585"/>
      <w:sz w:val="22"/>
    </w:rPr>
  </w:style>
  <w:style w:type="paragraph" w:customStyle="1" w:styleId="SideHeading">
    <w:name w:val="Side Heading"/>
    <w:basedOn w:val="HeadingBase"/>
    <w:rsid w:val="00C972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212"/>
    <w:pPr>
      <w:numPr>
        <w:numId w:val="12"/>
      </w:numPr>
    </w:pPr>
  </w:style>
  <w:style w:type="paragraph" w:styleId="PlainText">
    <w:name w:val="Plain Text"/>
    <w:basedOn w:val="Normal"/>
    <w:link w:val="PlainTextChar"/>
    <w:rsid w:val="00C97212"/>
    <w:rPr>
      <w:sz w:val="20"/>
    </w:rPr>
  </w:style>
  <w:style w:type="character" w:customStyle="1" w:styleId="PlainTextChar">
    <w:name w:val="Plain Text Char"/>
    <w:basedOn w:val="DefaultParagraphFont"/>
    <w:link w:val="PlainText"/>
    <w:rsid w:val="00C972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7212"/>
    <w:rPr>
      <w:b/>
      <w:smallCaps/>
    </w:rPr>
  </w:style>
  <w:style w:type="paragraph" w:customStyle="1" w:styleId="TableListNumber">
    <w:name w:val="Table List Number"/>
    <w:basedOn w:val="ListNumber"/>
    <w:rsid w:val="00C97212"/>
    <w:pPr>
      <w:numPr>
        <w:numId w:val="0"/>
      </w:numPr>
    </w:pPr>
  </w:style>
  <w:style w:type="paragraph" w:styleId="TOC4">
    <w:name w:val="toc 4"/>
    <w:basedOn w:val="TOCBase"/>
    <w:next w:val="Normal"/>
    <w:semiHidden/>
    <w:rsid w:val="00C97212"/>
    <w:pPr>
      <w:tabs>
        <w:tab w:val="right" w:leader="dot" w:pos="9071"/>
      </w:tabs>
      <w:ind w:left="1701"/>
    </w:pPr>
  </w:style>
  <w:style w:type="paragraph" w:customStyle="1" w:styleId="ListAlpha">
    <w:name w:val="List Alpha"/>
    <w:basedOn w:val="List"/>
    <w:rsid w:val="00C97212"/>
    <w:pPr>
      <w:numPr>
        <w:numId w:val="9"/>
      </w:numPr>
    </w:pPr>
  </w:style>
  <w:style w:type="paragraph" w:customStyle="1" w:styleId="ListAlpha2">
    <w:name w:val="List Alpha 2"/>
    <w:basedOn w:val="List2"/>
    <w:rsid w:val="00C97212"/>
    <w:pPr>
      <w:numPr>
        <w:numId w:val="8"/>
      </w:numPr>
    </w:pPr>
  </w:style>
  <w:style w:type="paragraph" w:styleId="List3">
    <w:name w:val="List 3"/>
    <w:basedOn w:val="BodyText"/>
    <w:rsid w:val="00C97212"/>
    <w:pPr>
      <w:tabs>
        <w:tab w:val="left" w:pos="1021"/>
      </w:tabs>
      <w:spacing w:before="60" w:after="60"/>
      <w:ind w:left="1020" w:hanging="340"/>
    </w:pPr>
  </w:style>
  <w:style w:type="paragraph" w:styleId="List4">
    <w:name w:val="List 4"/>
    <w:basedOn w:val="BodyText"/>
    <w:rsid w:val="00C97212"/>
    <w:pPr>
      <w:tabs>
        <w:tab w:val="left" w:pos="1361"/>
      </w:tabs>
      <w:spacing w:before="60" w:after="60"/>
      <w:ind w:left="1361" w:hanging="340"/>
    </w:pPr>
  </w:style>
  <w:style w:type="paragraph" w:styleId="List5">
    <w:name w:val="List 5"/>
    <w:basedOn w:val="BodyText"/>
    <w:rsid w:val="00C97212"/>
    <w:pPr>
      <w:tabs>
        <w:tab w:val="left" w:pos="1701"/>
      </w:tabs>
      <w:spacing w:before="60" w:after="60"/>
      <w:ind w:left="1701" w:hanging="340"/>
    </w:pPr>
  </w:style>
  <w:style w:type="paragraph" w:styleId="ListBullet3">
    <w:name w:val="List Bullet 3"/>
    <w:basedOn w:val="List3"/>
    <w:rsid w:val="00C97212"/>
    <w:pPr>
      <w:numPr>
        <w:numId w:val="15"/>
      </w:numPr>
      <w:tabs>
        <w:tab w:val="clear" w:pos="1021"/>
      </w:tabs>
      <w:ind w:left="1037" w:hanging="357"/>
    </w:pPr>
  </w:style>
  <w:style w:type="paragraph" w:styleId="ListBullet4">
    <w:name w:val="List Bullet 4"/>
    <w:basedOn w:val="List4"/>
    <w:rsid w:val="00C97212"/>
    <w:pPr>
      <w:numPr>
        <w:numId w:val="3"/>
      </w:numPr>
    </w:pPr>
  </w:style>
  <w:style w:type="paragraph" w:styleId="ListBullet5">
    <w:name w:val="List Bullet 5"/>
    <w:basedOn w:val="List5"/>
    <w:rsid w:val="00C97212"/>
    <w:pPr>
      <w:numPr>
        <w:numId w:val="4"/>
      </w:numPr>
    </w:pPr>
  </w:style>
  <w:style w:type="paragraph" w:styleId="ListContinue2">
    <w:name w:val="List Continue 2"/>
    <w:basedOn w:val="List2"/>
    <w:rsid w:val="00C97212"/>
    <w:pPr>
      <w:ind w:firstLine="0"/>
    </w:pPr>
  </w:style>
  <w:style w:type="paragraph" w:styleId="ListContinue3">
    <w:name w:val="List Continue 3"/>
    <w:basedOn w:val="List3"/>
    <w:rsid w:val="00C97212"/>
    <w:pPr>
      <w:ind w:left="1021" w:firstLine="0"/>
    </w:pPr>
  </w:style>
  <w:style w:type="paragraph" w:styleId="ListContinue4">
    <w:name w:val="List Continue 4"/>
    <w:basedOn w:val="List4"/>
    <w:rsid w:val="00C97212"/>
    <w:pPr>
      <w:ind w:firstLine="0"/>
    </w:pPr>
  </w:style>
  <w:style w:type="paragraph" w:styleId="ListContinue5">
    <w:name w:val="List Continue 5"/>
    <w:basedOn w:val="List5"/>
    <w:rsid w:val="00C97212"/>
    <w:pPr>
      <w:ind w:firstLine="0"/>
    </w:pPr>
  </w:style>
  <w:style w:type="paragraph" w:styleId="ListNumber3">
    <w:name w:val="List Number 3"/>
    <w:basedOn w:val="List3"/>
    <w:rsid w:val="00C97212"/>
    <w:pPr>
      <w:numPr>
        <w:numId w:val="5"/>
      </w:numPr>
    </w:pPr>
  </w:style>
  <w:style w:type="paragraph" w:styleId="ListNumber4">
    <w:name w:val="List Number 4"/>
    <w:basedOn w:val="List4"/>
    <w:rsid w:val="00C97212"/>
    <w:pPr>
      <w:numPr>
        <w:numId w:val="6"/>
      </w:numPr>
    </w:pPr>
  </w:style>
  <w:style w:type="paragraph" w:styleId="ListNumber5">
    <w:name w:val="List Number 5"/>
    <w:basedOn w:val="List5"/>
    <w:rsid w:val="00C97212"/>
    <w:pPr>
      <w:numPr>
        <w:numId w:val="7"/>
      </w:numPr>
    </w:pPr>
  </w:style>
  <w:style w:type="paragraph" w:styleId="BlockText">
    <w:name w:val="Block Text"/>
    <w:basedOn w:val="Normal"/>
    <w:rsid w:val="00C97212"/>
    <w:pPr>
      <w:spacing w:after="120"/>
      <w:ind w:left="1440" w:right="1440"/>
    </w:pPr>
  </w:style>
  <w:style w:type="character" w:customStyle="1" w:styleId="Subscript">
    <w:name w:val="Subscript"/>
    <w:basedOn w:val="DefaultParagraphFont"/>
    <w:rsid w:val="00C97212"/>
    <w:rPr>
      <w:sz w:val="16"/>
      <w:vertAlign w:val="subscript"/>
    </w:rPr>
  </w:style>
  <w:style w:type="character" w:customStyle="1" w:styleId="Superscript">
    <w:name w:val="Superscript"/>
    <w:basedOn w:val="DefaultParagraphFont"/>
    <w:rsid w:val="00C97212"/>
    <w:rPr>
      <w:sz w:val="16"/>
      <w:vertAlign w:val="superscript"/>
    </w:rPr>
  </w:style>
  <w:style w:type="character" w:customStyle="1" w:styleId="Symbols">
    <w:name w:val="Symbols"/>
    <w:basedOn w:val="DefaultParagraphFont"/>
    <w:rsid w:val="00C97212"/>
    <w:rPr>
      <w:rFonts w:ascii="Symbol" w:hAnsi="Symbol"/>
    </w:rPr>
  </w:style>
  <w:style w:type="character" w:customStyle="1" w:styleId="MenuOptions">
    <w:name w:val="Menu Options"/>
    <w:basedOn w:val="DefaultParagraphFont"/>
    <w:rsid w:val="00C97212"/>
    <w:rPr>
      <w:rFonts w:ascii="Arial Narrow" w:hAnsi="Arial Narrow"/>
      <w:smallCaps/>
    </w:rPr>
  </w:style>
  <w:style w:type="character" w:customStyle="1" w:styleId="Buttons">
    <w:name w:val="Buttons"/>
    <w:basedOn w:val="DefaultParagraphFont"/>
    <w:rsid w:val="00C97212"/>
    <w:rPr>
      <w:b/>
    </w:rPr>
  </w:style>
  <w:style w:type="character" w:customStyle="1" w:styleId="Underlined">
    <w:name w:val="Underlined"/>
    <w:basedOn w:val="DefaultParagraphFont"/>
    <w:rsid w:val="00C97212"/>
    <w:rPr>
      <w:u w:val="single"/>
    </w:rPr>
  </w:style>
  <w:style w:type="paragraph" w:customStyle="1" w:styleId="TableBodyTextRight">
    <w:name w:val="Table Body Text Right"/>
    <w:basedOn w:val="TableBodyText"/>
    <w:rsid w:val="00C97212"/>
    <w:pPr>
      <w:widowControl w:val="0"/>
      <w:autoSpaceDE w:val="0"/>
      <w:autoSpaceDN w:val="0"/>
      <w:adjustRightInd w:val="0"/>
      <w:jc w:val="right"/>
    </w:pPr>
    <w:rPr>
      <w:rFonts w:cs="Arial"/>
      <w:szCs w:val="18"/>
    </w:rPr>
  </w:style>
  <w:style w:type="paragraph" w:customStyle="1" w:styleId="CopyrightText">
    <w:name w:val="Copyright Text"/>
    <w:basedOn w:val="BodyText"/>
    <w:rsid w:val="00C97212"/>
    <w:rPr>
      <w:sz w:val="18"/>
    </w:rPr>
  </w:style>
  <w:style w:type="paragraph" w:customStyle="1" w:styleId="BodySmallRight">
    <w:name w:val="Body Small Right"/>
    <w:basedOn w:val="BodyTextRight"/>
    <w:rsid w:val="00C97212"/>
    <w:rPr>
      <w:sz w:val="18"/>
      <w:szCs w:val="18"/>
    </w:rPr>
  </w:style>
  <w:style w:type="paragraph" w:customStyle="1" w:styleId="MarginEdition">
    <w:name w:val="Margin Edition"/>
    <w:basedOn w:val="MarginNote"/>
    <w:rsid w:val="00C97212"/>
    <w:pPr>
      <w:spacing w:before="0" w:after="0"/>
    </w:pPr>
    <w:rPr>
      <w:rFonts w:ascii="Times New Roman" w:hAnsi="Times New Roman"/>
      <w:color w:val="999999"/>
    </w:rPr>
  </w:style>
  <w:style w:type="paragraph" w:customStyle="1" w:styleId="Spacer">
    <w:name w:val="Spacer"/>
    <w:basedOn w:val="Normal"/>
    <w:rsid w:val="00C97212"/>
    <w:rPr>
      <w:sz w:val="2"/>
      <w:szCs w:val="2"/>
    </w:rPr>
  </w:style>
  <w:style w:type="character" w:customStyle="1" w:styleId="Small">
    <w:name w:val="Small"/>
    <w:basedOn w:val="DefaultParagraphFont"/>
    <w:rsid w:val="00C97212"/>
    <w:rPr>
      <w:sz w:val="16"/>
    </w:rPr>
  </w:style>
  <w:style w:type="paragraph" w:customStyle="1" w:styleId="WideTable">
    <w:name w:val="Wide Table"/>
    <w:basedOn w:val="Normal"/>
    <w:rsid w:val="00C97212"/>
    <w:pPr>
      <w:ind w:left="-1418"/>
    </w:pPr>
    <w:rPr>
      <w:sz w:val="2"/>
      <w:szCs w:val="2"/>
    </w:rPr>
  </w:style>
  <w:style w:type="character" w:styleId="PageNumber">
    <w:name w:val="page number"/>
    <w:basedOn w:val="DefaultParagraphFont"/>
    <w:rsid w:val="00C97212"/>
  </w:style>
  <w:style w:type="paragraph" w:styleId="Quote">
    <w:name w:val="Quote"/>
    <w:basedOn w:val="Heading1"/>
    <w:link w:val="QuoteChar"/>
    <w:qFormat/>
    <w:rsid w:val="00C97212"/>
    <w:rPr>
      <w:b w:val="0"/>
      <w:sz w:val="72"/>
      <w:szCs w:val="72"/>
      <w:lang w:val="en-NZ"/>
    </w:rPr>
  </w:style>
  <w:style w:type="character" w:customStyle="1" w:styleId="QuoteChar">
    <w:name w:val="Quote Char"/>
    <w:basedOn w:val="DefaultParagraphFont"/>
    <w:link w:val="Quote"/>
    <w:rsid w:val="00C972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212"/>
    <w:pPr>
      <w:pageBreakBefore/>
    </w:pPr>
  </w:style>
  <w:style w:type="paragraph" w:customStyle="1" w:styleId="Border">
    <w:name w:val="Border"/>
    <w:basedOn w:val="Normal"/>
    <w:qFormat/>
    <w:rsid w:val="00C972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212"/>
    <w:rPr>
      <w:b/>
      <w:bCs/>
      <w:i/>
      <w:iCs/>
      <w:color w:val="auto"/>
    </w:rPr>
  </w:style>
  <w:style w:type="paragraph" w:styleId="IntenseQuote">
    <w:name w:val="Intense Quote"/>
    <w:basedOn w:val="Normal"/>
    <w:next w:val="Normal"/>
    <w:link w:val="IntenseQuoteChar"/>
    <w:uiPriority w:val="30"/>
    <w:qFormat/>
    <w:rsid w:val="00C972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2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7212"/>
    <w:rPr>
      <w:smallCaps/>
      <w:color w:val="auto"/>
      <w:u w:val="single"/>
    </w:rPr>
  </w:style>
  <w:style w:type="character" w:styleId="IntenseReference">
    <w:name w:val="Intense Reference"/>
    <w:basedOn w:val="DefaultParagraphFont"/>
    <w:uiPriority w:val="32"/>
    <w:qFormat/>
    <w:rsid w:val="00C97212"/>
    <w:rPr>
      <w:b/>
      <w:bCs/>
      <w:smallCaps/>
      <w:color w:val="auto"/>
      <w:spacing w:val="5"/>
      <w:u w:val="single"/>
    </w:rPr>
  </w:style>
  <w:style w:type="paragraph" w:customStyle="1" w:styleId="2ColumnHeading">
    <w:name w:val="2Column Heading"/>
    <w:basedOn w:val="BodyText"/>
    <w:qFormat/>
    <w:rsid w:val="00C97212"/>
    <w:pPr>
      <w:spacing w:after="60"/>
      <w:ind w:left="-2268"/>
    </w:pPr>
    <w:rPr>
      <w:b/>
    </w:rPr>
  </w:style>
  <w:style w:type="paragraph" w:customStyle="1" w:styleId="Heading1TOC">
    <w:name w:val="Heading1 TOC"/>
    <w:basedOn w:val="Normal"/>
    <w:qFormat/>
    <w:rsid w:val="00C97212"/>
    <w:pPr>
      <w:spacing w:before="240" w:after="120"/>
    </w:pPr>
    <w:rPr>
      <w:rFonts w:ascii="Times New Roman" w:hAnsi="Times New Roman"/>
      <w:b/>
      <w:sz w:val="32"/>
    </w:rPr>
  </w:style>
  <w:style w:type="paragraph" w:customStyle="1" w:styleId="Heading2TOC">
    <w:name w:val="Heading2 TOC"/>
    <w:basedOn w:val="Normal"/>
    <w:qFormat/>
    <w:rsid w:val="00C97212"/>
    <w:pPr>
      <w:spacing w:before="240" w:after="60"/>
    </w:pPr>
    <w:rPr>
      <w:rFonts w:ascii="Times New Roman" w:hAnsi="Times New Roman"/>
      <w:b/>
      <w:sz w:val="28"/>
    </w:rPr>
  </w:style>
  <w:style w:type="character" w:customStyle="1" w:styleId="Underline">
    <w:name w:val="Underline"/>
    <w:basedOn w:val="DefaultParagraphFont"/>
    <w:qFormat/>
    <w:rsid w:val="00C97212"/>
    <w:rPr>
      <w:u w:val="single"/>
    </w:rPr>
  </w:style>
  <w:style w:type="paragraph" w:styleId="BalloonText">
    <w:name w:val="Balloon Text"/>
    <w:basedOn w:val="Normal"/>
    <w:link w:val="BalloonTextChar"/>
    <w:rsid w:val="00C97212"/>
    <w:rPr>
      <w:rFonts w:ascii="Tahoma" w:hAnsi="Tahoma" w:cs="Tahoma"/>
      <w:sz w:val="16"/>
      <w:szCs w:val="16"/>
    </w:rPr>
  </w:style>
  <w:style w:type="character" w:customStyle="1" w:styleId="BalloonTextChar">
    <w:name w:val="Balloon Text Char"/>
    <w:basedOn w:val="DefaultParagraphFont"/>
    <w:link w:val="BalloonText"/>
    <w:rsid w:val="00C972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72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72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1238</Words>
  <Characters>7744</Characters>
  <Application>Microsoft Office Word</Application>
  <DocSecurity>0</DocSecurity>
  <Lines>302</Lines>
  <Paragraphs>155</Paragraphs>
  <ScaleCrop>false</ScaleCrop>
  <Company>Author-it Software Corporation Ltd.</Company>
  <LinksUpToDate>false</LinksUpToDate>
  <CharactersWithSpaces>8904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CUESTA01C Install staging elements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2012-05-26T23:20:00Z</dcterms:created>
  <dcterms:modified xsi:type="dcterms:W3CDTF">2012-05-26T23:20:00Z</dcterms:modified>
</cp:coreProperties>
</file>