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E1E" w:rsidP="00595E1E">
      <w:pPr>
        <w:pStyle w:val="Title"/>
      </w:pPr>
      <w:r>
        <w:fldChar w:fldCharType="begin"/>
      </w:r>
      <w:r>
        <w:instrText xml:space="preserve"> TITLE   \* MERGEFORMAT </w:instrText>
      </w:r>
      <w:r>
        <w:fldChar w:fldCharType="separate"/>
      </w:r>
      <w:r>
        <w:t>CUESOU11B Set up and operate stage monitor systems</w:t>
      </w:r>
      <w:r>
        <w:fldChar w:fldCharType="end"/>
      </w:r>
    </w:p>
    <w:p w:rsidR="00595E1E" w:rsidP="00595E1E">
      <w:pPr>
        <w:pStyle w:val="Version"/>
        <w:sectPr w:rsidSect="00BC5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552E" w:rsidP="00BC552E">
      <w:pPr>
        <w:pStyle w:val="SuperHeading"/>
      </w:pPr>
      <w:r w:rsidRPr="00BC552E">
        <w:t>CUESOU11B Set up and operate stage monitor systems</w:t>
      </w:r>
    </w:p>
    <w:p w:rsidR="00000000" w:rsidRPr="00BC552E" w:rsidP="00BC552E">
      <w:pPr>
        <w:pStyle w:val="SuperHeading"/>
      </w:pPr>
    </w:p>
    <w:p w:rsidR="00000000" w:rsidRPr="00BC552E" w:rsidP="00BC552E">
      <w:pPr>
        <w:pStyle w:val="Heading1"/>
      </w:pPr>
      <w:bookmarkStart w:id="1" w:name="O_70383"/>
      <w:bookmarkEnd w:id="1"/>
      <w:r w:rsidRPr="00BC552E">
        <w:t>Modification History</w:t>
      </w:r>
    </w:p>
    <w:p w:rsidR="00000000" w:rsidRPr="00BC552E" w:rsidP="00BC552E">
      <w:pPr>
        <w:pStyle w:val="BodyText"/>
      </w:pPr>
      <w:r w:rsidRPr="00BC552E">
        <w:t>Not applicable.</w:t>
      </w:r>
    </w:p>
    <w:p w:rsidR="00000000" w:rsidRPr="00BC552E" w:rsidP="00BC552E">
      <w:pPr>
        <w:pStyle w:val="AllowPageBreak"/>
      </w:pPr>
    </w:p>
    <w:p w:rsidR="00000000" w:rsidRPr="00BC552E" w:rsidP="00BC552E">
      <w:pPr>
        <w:pStyle w:val="Heading1"/>
      </w:pPr>
      <w:bookmarkStart w:id="2" w:name="O_70384"/>
      <w:bookmarkEnd w:id="2"/>
      <w:r w:rsidRPr="00BC552E">
        <w:t>Unit Descriptor</w:t>
      </w:r>
    </w:p>
    <w:tbl>
      <w:tblPr>
        <w:tblW w:w="0" w:type="auto"/>
        <w:tblLayout w:type="fixed"/>
        <w:tblCellMar>
          <w:left w:w="62" w:type="dxa"/>
          <w:right w:w="62" w:type="dxa"/>
        </w:tblCellMar>
        <w:tblLook w:val="0000"/>
      </w:tblPr>
      <w:tblGrid>
        <w:gridCol w:w="2668"/>
        <w:gridCol w:w="5854"/>
      </w:tblGrid>
      <w:tr w:rsidTr="00595E1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This unit describes the skills and knowledge needed to determine the requirements for a stage foldback</w:t>
            </w:r>
            <w:r w:rsidRPr="00BC552E">
              <w:t xml:space="preserve"> system, and to set up and operate that system for performers. </w:t>
            </w:r>
          </w:p>
          <w:p w:rsidR="00000000" w:rsidRPr="00BC552E" w:rsidP="00BC552E">
            <w:pPr>
              <w:pStyle w:val="BodyText"/>
            </w:pPr>
          </w:p>
          <w:p w:rsidR="00000000" w:rsidRPr="00BC552E" w:rsidP="00BC552E">
            <w:pPr>
              <w:pStyle w:val="BodyText"/>
            </w:pPr>
            <w:r w:rsidRPr="00BC552E">
              <w:t>No licensing, legislative, regulatory or certification requirements apply to this unit at the time of endorsement.</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3" w:name="O_70385"/>
      <w:bookmarkEnd w:id="3"/>
      <w:r w:rsidRPr="00BC552E">
        <w:t>Application of the Unit</w:t>
      </w:r>
    </w:p>
    <w:tbl>
      <w:tblPr>
        <w:tblW w:w="0" w:type="auto"/>
        <w:tblLayout w:type="fixed"/>
        <w:tblCellMar>
          <w:left w:w="62" w:type="dxa"/>
          <w:right w:w="62" w:type="dxa"/>
        </w:tblCellMar>
        <w:tblLook w:val="0000"/>
      </w:tblPr>
      <w:tblGrid>
        <w:gridCol w:w="2743"/>
        <w:gridCol w:w="5779"/>
      </w:tblGrid>
      <w:tr w:rsidTr="00595E1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Sound technicians or foldback mixers apply the skills and knowledge outlined in this unit. It can be a challenging role since they need to satisfy the on-stage mixing requirements of each individual performer in a group or orchestra.</w:t>
            </w:r>
          </w:p>
          <w:p w:rsidR="00000000" w:rsidRPr="00BC552E" w:rsidP="00BC552E">
            <w:pPr>
              <w:pStyle w:val="BodyText"/>
            </w:pPr>
          </w:p>
          <w:p w:rsidR="00000000" w:rsidRPr="00BC552E" w:rsidP="00BC552E">
            <w:pPr>
              <w:pStyle w:val="BodyText"/>
            </w:pPr>
            <w:r w:rsidRPr="00BC552E">
              <w:t>This unit requires de</w:t>
            </w:r>
            <w:r w:rsidRPr="00BC552E">
              <w:t>tailed knowledge of equipment and the specific issues that apply to the monitoring of foldback. As such it most commonly applies to musical performance.</w:t>
            </w:r>
          </w:p>
          <w:p w:rsidR="00000000" w:rsidRPr="00BC552E" w:rsidP="00BC552E">
            <w:pPr>
              <w:pStyle w:val="BodyText"/>
            </w:pPr>
          </w:p>
          <w:p w:rsidR="00000000" w:rsidRPr="00BC552E" w:rsidP="00BC552E">
            <w:pPr>
              <w:pStyle w:val="BodyText"/>
            </w:pPr>
            <w:r w:rsidRPr="00BC552E">
              <w:t>It is strongly recommended that this unit be assessed with or after the following units:</w:t>
            </w:r>
          </w:p>
          <w:p w:rsidR="00000000" w:rsidRPr="00BC552E" w:rsidP="00BC552E">
            <w:pPr>
              <w:pStyle w:val="ListBullet"/>
            </w:pPr>
            <w:r w:rsidRPr="00BC552E">
              <w:t>CUESOU07B Ap</w:t>
            </w:r>
            <w:r w:rsidRPr="00BC552E">
              <w:t>ply a general knowledge of audio to work activities</w:t>
            </w:r>
          </w:p>
          <w:p w:rsidR="00000000" w:rsidRPr="00BC552E" w:rsidP="00BC552E">
            <w:pPr>
              <w:pStyle w:val="ListBullet"/>
            </w:pPr>
            <w:r w:rsidRPr="00BC552E">
              <w:t>CUESOU10B Operate wireless audio equipment</w:t>
            </w:r>
          </w:p>
          <w:p w:rsidR="00000000" w:rsidRPr="00BC552E" w:rsidP="00BC552E">
            <w:pPr>
              <w:pStyle w:val="ListBullet"/>
            </w:pPr>
            <w:r w:rsidRPr="00BC552E">
              <w:t>CUSSOU303A Set up and disassemble audio equipment</w:t>
            </w:r>
          </w:p>
          <w:p w:rsidR="00000000" w:rsidRPr="00BC552E" w:rsidP="00BC552E">
            <w:pPr>
              <w:pStyle w:val="ListBullet"/>
            </w:pPr>
            <w:r w:rsidRPr="00BC552E">
              <w:t>CUESOU03C Operate professional audio equipment.</w:t>
            </w:r>
          </w:p>
          <w:p w:rsidR="00000000" w:rsidRPr="00BC552E" w:rsidP="00BC552E">
            <w:pPr>
              <w:pStyle w:val="BodyText"/>
            </w:pPr>
          </w:p>
          <w:p w:rsidR="00000000" w:rsidRPr="00BC552E" w:rsidP="00BC552E">
            <w:pPr>
              <w:pStyle w:val="BodyText"/>
            </w:pPr>
            <w:r w:rsidRPr="00BC552E">
              <w:t>This unit also has linkages to other audio units and combined assessment and/or training with those units may be appropriate, e.g.:</w:t>
            </w:r>
          </w:p>
          <w:p w:rsidR="00000000" w:rsidRPr="00BC552E" w:rsidP="00BC552E">
            <w:pPr>
              <w:pStyle w:val="ListBullet"/>
            </w:pPr>
            <w:r w:rsidRPr="00BC552E">
              <w:t>CUESOU04C Mix live audio.</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4" w:name="O_70386"/>
      <w:bookmarkEnd w:id="4"/>
      <w:r w:rsidRPr="00BC552E">
        <w:t>Licensing/Regulatory Information</w:t>
      </w:r>
    </w:p>
    <w:p w:rsidR="00000000" w:rsidRPr="00BC552E" w:rsidP="00BC552E">
      <w:pPr>
        <w:pStyle w:val="BodyText"/>
      </w:pPr>
      <w:r w:rsidRPr="00BC552E">
        <w:t>Not applicable.</w:t>
      </w:r>
    </w:p>
    <w:p w:rsidR="00000000" w:rsidRPr="00BC552E" w:rsidP="00BC552E">
      <w:pPr>
        <w:pStyle w:val="AllowPageBreak"/>
      </w:pPr>
    </w:p>
    <w:p w:rsidR="00000000" w:rsidRPr="00BC552E" w:rsidP="00BC552E">
      <w:pPr>
        <w:pStyle w:val="Heading1"/>
      </w:pPr>
      <w:bookmarkStart w:id="5" w:name="O_70387"/>
      <w:bookmarkEnd w:id="5"/>
      <w:r w:rsidRPr="00BC552E">
        <w:t>Pre-Requisites</w:t>
      </w:r>
    </w:p>
    <w:tbl>
      <w:tblPr>
        <w:tblW w:w="0" w:type="auto"/>
        <w:tblLayout w:type="fixed"/>
        <w:tblCellMar>
          <w:left w:w="62" w:type="dxa"/>
          <w:right w:w="62" w:type="dxa"/>
        </w:tblCellMar>
        <w:tblLook w:val="0000"/>
      </w:tblPr>
      <w:tblGrid>
        <w:gridCol w:w="2775"/>
        <w:gridCol w:w="1295"/>
        <w:gridCol w:w="4452"/>
      </w:tblGrid>
      <w:tr w:rsidTr="00595E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p>
        </w:tc>
      </w:tr>
      <w:tr w:rsidTr="00595E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p>
        </w:tc>
      </w:tr>
      <w:tr w:rsidTr="00595E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6" w:name="O_70388"/>
      <w:bookmarkEnd w:id="6"/>
      <w:r w:rsidRPr="00BC552E">
        <w:t>Employability Skills Information</w:t>
      </w:r>
    </w:p>
    <w:tbl>
      <w:tblPr>
        <w:tblW w:w="0" w:type="auto"/>
        <w:tblLayout w:type="fixed"/>
        <w:tblCellMar>
          <w:left w:w="62" w:type="dxa"/>
          <w:right w:w="62" w:type="dxa"/>
        </w:tblCellMar>
        <w:tblLook w:val="0000"/>
      </w:tblPr>
      <w:tblGrid>
        <w:gridCol w:w="2802"/>
        <w:gridCol w:w="5720"/>
      </w:tblGrid>
      <w:tr w:rsidTr="00595E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This unit contains employability skills.</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7" w:name="O_70389"/>
      <w:bookmarkEnd w:id="7"/>
      <w:r w:rsidRPr="00BC552E">
        <w:t>Elements and Performance Criteria Pre-Content</w:t>
      </w:r>
    </w:p>
    <w:tbl>
      <w:tblPr>
        <w:tblW w:w="0" w:type="auto"/>
        <w:tblLayout w:type="fixed"/>
        <w:tblCellMar>
          <w:left w:w="62" w:type="dxa"/>
          <w:right w:w="62" w:type="dxa"/>
        </w:tblCellMar>
        <w:tblLook w:val="0000"/>
      </w:tblPr>
      <w:tblGrid>
        <w:gridCol w:w="2553"/>
        <w:gridCol w:w="5969"/>
      </w:tblGrid>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Performance criteria describe the performance needed to demonstrate achievement of the element. Where bold italicised text is used, further information is detailed in the required skills and</w:t>
            </w:r>
            <w:r w:rsidRPr="00BC552E">
              <w:t xml:space="preserve"> knowledge section and the range statement. Assessment of performance is to be consistent with the evidence guide.</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8" w:name="O_70390"/>
      <w:bookmarkEnd w:id="8"/>
      <w:r w:rsidRPr="00BC552E">
        <w:t>Elements and Performance Criteria</w:t>
      </w:r>
    </w:p>
    <w:tbl>
      <w:tblPr>
        <w:tblW w:w="0" w:type="auto"/>
        <w:tblLayout w:type="fixed"/>
        <w:tblCellMar>
          <w:left w:w="62" w:type="dxa"/>
          <w:right w:w="62" w:type="dxa"/>
        </w:tblCellMar>
        <w:tblLook w:val="0000"/>
      </w:tblPr>
      <w:tblGrid>
        <w:gridCol w:w="2553"/>
        <w:gridCol w:w="5969"/>
      </w:tblGrid>
      <w:tr w:rsidTr="00595E1E">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PERFORMANCE CRITERIA</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1.</w:t>
            </w:r>
            <w:r w:rsidRPr="00BC552E">
              <w:tab/>
              <w:t>Determine performance requirements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1.1.</w:t>
            </w:r>
            <w:r w:rsidRPr="00BC552E">
              <w:tab/>
            </w:r>
            <w:r w:rsidRPr="00BC552E">
              <w:t xml:space="preserve">Obtain accurate performance and venue </w:t>
            </w:r>
            <w:r w:rsidRPr="00BC552E">
              <w:rPr>
                <w:rStyle w:val="BoldandItalics"/>
              </w:rPr>
              <w:t>information</w:t>
            </w:r>
            <w:r w:rsidRPr="00BC552E">
              <w:t xml:space="preserve"> to inform the planning of the stage monitor system</w:t>
            </w:r>
          </w:p>
          <w:p w:rsidR="00000000" w:rsidRPr="00BC552E" w:rsidP="00BC552E">
            <w:pPr>
              <w:pStyle w:val="List2"/>
            </w:pPr>
            <w:r w:rsidRPr="00BC552E">
              <w:t>1.2.</w:t>
            </w:r>
            <w:r w:rsidRPr="00BC552E">
              <w:tab/>
              <w:t>Correctly interpret documentation to determine system requirements</w:t>
            </w:r>
          </w:p>
          <w:p w:rsidR="00000000" w:rsidP="00BC552E">
            <w:pPr>
              <w:pStyle w:val="List2"/>
              <w:rPr>
                <w:lang w:val="en-NZ"/>
              </w:rPr>
            </w:pPr>
            <w:r w:rsidRPr="00BC552E">
              <w:t>1.3.</w:t>
            </w:r>
            <w:r w:rsidRPr="00BC552E">
              <w:tab/>
              <w:t>Liaise with venue and other technicians/departments to allocate adequate set-u</w:t>
            </w:r>
            <w:r w:rsidRPr="00BC552E">
              <w:t xml:space="preserve">p time and to confirm </w:t>
            </w:r>
            <w:r w:rsidRPr="00BC552E">
              <w:rPr>
                <w:rStyle w:val="BoldandItalics"/>
              </w:rPr>
              <w:t>requirements for stage monitor system set</w:t>
            </w:r>
            <w:r w:rsidRPr="00BC552E">
              <w:t>-</w:t>
            </w:r>
            <w:r w:rsidRPr="00BC552E">
              <w:rPr>
                <w:rStyle w:val="BoldandItalics"/>
              </w:rPr>
              <w:t>up and checking</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2.</w:t>
            </w:r>
            <w:r w:rsidRPr="00BC552E">
              <w:tab/>
              <w:t>Specify stage monitor system</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2.1.</w:t>
            </w:r>
            <w:r w:rsidRPr="00BC552E">
              <w:tab/>
              <w:t xml:space="preserve">Prepare accurate </w:t>
            </w:r>
            <w:r w:rsidRPr="00BC552E">
              <w:rPr>
                <w:rStyle w:val="BoldandItalics"/>
              </w:rPr>
              <w:t>stage layout diagram</w:t>
            </w:r>
            <w:r w:rsidRPr="00BC552E">
              <w:t xml:space="preserve"> with proposed placements of all required stage monitor equipment</w:t>
            </w:r>
          </w:p>
          <w:p w:rsidR="00000000" w:rsidRPr="00BC552E" w:rsidP="00BC552E">
            <w:pPr>
              <w:pStyle w:val="List2"/>
            </w:pPr>
            <w:r w:rsidRPr="00BC552E">
              <w:t>2.2.</w:t>
            </w:r>
            <w:r w:rsidRPr="00BC552E">
              <w:tab/>
              <w:t>Select appropriate stage monit</w:t>
            </w:r>
            <w:r w:rsidRPr="00BC552E">
              <w:t>or loudspeakers or in-ear monitors for each required send (mix)</w:t>
            </w:r>
          </w:p>
          <w:p w:rsidR="00000000" w:rsidRPr="00BC552E" w:rsidP="00BC552E">
            <w:pPr>
              <w:pStyle w:val="List2"/>
            </w:pPr>
            <w:r w:rsidRPr="00BC552E">
              <w:t>2.3.</w:t>
            </w:r>
            <w:r w:rsidRPr="00BC552E">
              <w:tab/>
              <w:t>Select appropriate stage monitor loudspeaker or in ear processing and/or amplification, plus cabling</w:t>
            </w:r>
          </w:p>
          <w:p w:rsidR="00000000" w:rsidRPr="00BC552E" w:rsidP="00BC552E">
            <w:pPr>
              <w:pStyle w:val="List2"/>
            </w:pPr>
            <w:r w:rsidRPr="00BC552E">
              <w:t>2.4.</w:t>
            </w:r>
            <w:r w:rsidRPr="00BC552E">
              <w:tab/>
              <w:t>Ensure adequate monitoring and communication systems are in place for all relevan</w:t>
            </w:r>
            <w:r w:rsidRPr="00BC552E">
              <w:t>t personnel</w:t>
            </w:r>
          </w:p>
          <w:p w:rsidR="00000000" w:rsidP="00BC552E">
            <w:pPr>
              <w:pStyle w:val="List2"/>
              <w:rPr>
                <w:lang w:val="en-NZ"/>
              </w:rPr>
            </w:pPr>
            <w:r w:rsidRPr="00BC552E">
              <w:t>2.5.</w:t>
            </w:r>
            <w:r w:rsidRPr="00BC552E">
              <w:tab/>
              <w:t xml:space="preserve">Ensure availability of any </w:t>
            </w:r>
            <w:r w:rsidRPr="00BC552E">
              <w:rPr>
                <w:rStyle w:val="BoldandItalics"/>
              </w:rPr>
              <w:t>in</w:t>
            </w:r>
            <w:r w:rsidRPr="00BC552E">
              <w:t>-</w:t>
            </w:r>
            <w:r w:rsidRPr="00BC552E">
              <w:rPr>
                <w:rStyle w:val="BoldandItalics"/>
              </w:rPr>
              <w:t>ear or wireless equipment and accessories</w:t>
            </w:r>
            <w:r w:rsidRPr="00BC552E">
              <w:t xml:space="preserve"> through liaison with relevant personnel</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3.</w:t>
            </w:r>
            <w:r w:rsidRPr="00BC552E">
              <w:tab/>
              <w:t>Set-up equipment and prepare for performance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3.1.</w:t>
            </w:r>
            <w:r w:rsidRPr="00BC552E">
              <w:tab/>
              <w:t>Correctly set-up stage monitor console, processing/amplification racks an</w:t>
            </w:r>
            <w:r w:rsidRPr="00BC552E">
              <w:t xml:space="preserve">d engineer's monitor, completing all appropriate </w:t>
            </w:r>
            <w:r w:rsidRPr="00BC552E">
              <w:rPr>
                <w:rStyle w:val="BoldandItalics"/>
              </w:rPr>
              <w:t>checks</w:t>
            </w:r>
          </w:p>
          <w:p w:rsidR="00000000" w:rsidRPr="00BC552E" w:rsidP="00BC552E">
            <w:pPr>
              <w:pStyle w:val="List2"/>
            </w:pPr>
            <w:r w:rsidRPr="00BC552E">
              <w:t>3.2.</w:t>
            </w:r>
            <w:r w:rsidRPr="00BC552E">
              <w:tab/>
              <w:t>Check that all cables are neatly routed and secured and that all equipment is safely positioned</w:t>
            </w:r>
          </w:p>
          <w:p w:rsidR="00000000" w:rsidRPr="00BC552E" w:rsidP="00BC552E">
            <w:pPr>
              <w:pStyle w:val="List2"/>
            </w:pPr>
            <w:r w:rsidRPr="00BC552E">
              <w:t>3.3.</w:t>
            </w:r>
            <w:r w:rsidRPr="00BC552E">
              <w:tab/>
              <w:t>Ensure that there are adequate resources available in the event of equipment breakdown</w:t>
            </w:r>
          </w:p>
          <w:p w:rsidR="00000000" w:rsidRPr="00BC552E" w:rsidP="00BC552E">
            <w:pPr>
              <w:pStyle w:val="List2"/>
            </w:pPr>
            <w:r w:rsidRPr="00BC552E">
              <w:t>3.4.</w:t>
            </w:r>
            <w:r w:rsidRPr="00BC552E">
              <w:tab/>
            </w:r>
            <w:r w:rsidRPr="00BC552E">
              <w:t>Neatly and correctly label stage monitor console input channel strips, and all processing equipment so that each item is clearly identified as to function and relevant mix</w:t>
            </w:r>
          </w:p>
          <w:p w:rsidR="00000000" w:rsidRPr="00BC552E" w:rsidP="00BC552E">
            <w:pPr>
              <w:pStyle w:val="List2"/>
            </w:pPr>
            <w:r w:rsidRPr="00BC552E">
              <w:t>3.5.</w:t>
            </w:r>
            <w:r w:rsidRPr="00BC552E">
              <w:tab/>
              <w:t>Position all stage monitor loudspeakers and neatly run/fix all appropriate cabl</w:t>
            </w:r>
            <w:r w:rsidRPr="00BC552E">
              <w:t>es in accordance with health and safety requirements</w:t>
            </w:r>
          </w:p>
          <w:p w:rsidR="00000000" w:rsidP="00BC552E">
            <w:pPr>
              <w:pStyle w:val="List2"/>
              <w:rPr>
                <w:lang w:val="en-NZ"/>
              </w:rPr>
            </w:pPr>
            <w:r w:rsidRPr="00BC552E">
              <w:t>3.6.</w:t>
            </w:r>
            <w:r w:rsidRPr="00BC552E">
              <w:tab/>
              <w:t>Cross check final set-up against production requirements</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4.</w:t>
            </w:r>
            <w:r w:rsidRPr="00BC552E">
              <w:tab/>
              <w:t>Tune, equalise and adjust system for performance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4.1.</w:t>
            </w:r>
            <w:r w:rsidRPr="00BC552E">
              <w:tab/>
              <w:t>Test all components of the stage monitor system, including a complete line check of</w:t>
            </w:r>
            <w:r w:rsidRPr="00BC552E">
              <w:t xml:space="preserve"> all inputs, in accordance with health and safety requirements</w:t>
            </w:r>
          </w:p>
          <w:p w:rsidR="00000000" w:rsidRPr="00BC552E" w:rsidP="00BC552E">
            <w:pPr>
              <w:pStyle w:val="List2"/>
            </w:pPr>
            <w:r w:rsidRPr="00BC552E">
              <w:t>4.2.</w:t>
            </w:r>
            <w:r w:rsidRPr="00BC552E">
              <w:tab/>
              <w:t>Individually equalise each stage monitor send to avoid run-away feedback at all times and set top gain (level) indication for microphones</w:t>
            </w:r>
          </w:p>
          <w:p w:rsidR="00000000" w:rsidRPr="00BC552E" w:rsidP="00BC552E">
            <w:pPr>
              <w:pStyle w:val="List2"/>
            </w:pPr>
            <w:r w:rsidRPr="00BC552E">
              <w:t>4.3.</w:t>
            </w:r>
            <w:r w:rsidRPr="00BC552E">
              <w:tab/>
              <w:t xml:space="preserve">Cross check all adjacent stage monitor sends </w:t>
            </w:r>
            <w:r w:rsidRPr="00BC552E">
              <w:t>to allow for acoustic interference</w:t>
            </w:r>
          </w:p>
          <w:p w:rsidR="00000000" w:rsidP="00BC552E">
            <w:pPr>
              <w:pStyle w:val="List2"/>
              <w:rPr>
                <w:lang w:val="en-NZ"/>
              </w:rPr>
            </w:pPr>
            <w:r w:rsidRPr="00BC552E">
              <w:t>4.4.</w:t>
            </w:r>
            <w:r w:rsidRPr="00BC552E">
              <w:tab/>
              <w:t>Run complete system up to safe working limit, including while any front of house speaker system is operating, to check adequate performance and mains power availability</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5.</w:t>
            </w:r>
            <w:r w:rsidRPr="00BC552E">
              <w:tab/>
              <w:t>Liaise with performers on requirements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5.1.</w:t>
            </w:r>
            <w:r w:rsidRPr="00BC552E">
              <w:tab/>
              <w:t>Establish and maintain a positive working relationship with relevant performance personnel</w:t>
            </w:r>
          </w:p>
          <w:p w:rsidR="00000000" w:rsidRPr="00BC552E" w:rsidP="00BC552E">
            <w:pPr>
              <w:pStyle w:val="List2"/>
            </w:pPr>
            <w:r w:rsidRPr="00BC552E">
              <w:t>5.2.</w:t>
            </w:r>
            <w:r w:rsidRPr="00BC552E">
              <w:tab/>
              <w:t>Reconfirm production requirements with each relevant performer and check that set-up meets individual requirements in relation to quality, balance and mix soun</w:t>
            </w:r>
            <w:r w:rsidRPr="00BC552E">
              <w:t>d levels</w:t>
            </w:r>
          </w:p>
          <w:p w:rsidR="00000000" w:rsidP="00BC552E">
            <w:pPr>
              <w:pStyle w:val="List2"/>
              <w:rPr>
                <w:lang w:val="en-NZ"/>
              </w:rPr>
            </w:pPr>
            <w:r w:rsidRPr="00BC552E">
              <w:t>5.3.</w:t>
            </w:r>
            <w:r w:rsidRPr="00BC552E">
              <w:tab/>
              <w:t>Promptly identify malfunctions and rectify appropriately</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6.</w:t>
            </w:r>
            <w:r w:rsidRPr="00BC552E">
              <w:tab/>
              <w:t>Prepare sound mixing console for operation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6.1.</w:t>
            </w:r>
            <w:r w:rsidRPr="00BC552E">
              <w:tab/>
              <w:t>Liaise with relevant personnel and/or read production documents to interpret and confirm the sound requirements so that technical and</w:t>
            </w:r>
            <w:r w:rsidRPr="00BC552E">
              <w:t xml:space="preserve"> creative requirements are met</w:t>
            </w:r>
          </w:p>
          <w:p w:rsidR="00000000" w:rsidP="00BC552E">
            <w:pPr>
              <w:pStyle w:val="List2"/>
              <w:rPr>
                <w:lang w:val="en-NZ"/>
              </w:rPr>
            </w:pPr>
            <w:r w:rsidRPr="00BC552E">
              <w:t>6.2.</w:t>
            </w:r>
            <w:r w:rsidRPr="00BC552E">
              <w:tab/>
              <w:t>Ensure adequate worklights or console illumination and check light spill</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7.</w:t>
            </w:r>
            <w:r w:rsidRPr="00BC552E">
              <w:tab/>
              <w:t>Operate console during production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7.1.</w:t>
            </w:r>
            <w:r w:rsidRPr="00BC552E">
              <w:tab/>
              <w:t>Observe occupational health and safety requirements for operating the sound mixing console</w:t>
            </w:r>
          </w:p>
          <w:p w:rsidR="00000000" w:rsidRPr="00BC552E" w:rsidP="00BC552E">
            <w:pPr>
              <w:pStyle w:val="List2"/>
            </w:pPr>
            <w:r w:rsidRPr="00BC552E">
              <w:t>7.2.</w:t>
            </w:r>
            <w:r w:rsidRPr="00BC552E">
              <w:tab/>
            </w:r>
            <w:r w:rsidRPr="00BC552E">
              <w:t>Operate faders to produce a level appropriate to the required sound and check each send (mix) in regular rotation</w:t>
            </w:r>
          </w:p>
          <w:p w:rsidR="00000000" w:rsidRPr="00BC552E" w:rsidP="00BC552E">
            <w:pPr>
              <w:pStyle w:val="List2"/>
            </w:pPr>
            <w:r w:rsidRPr="00BC552E">
              <w:t>7.3.</w:t>
            </w:r>
            <w:r w:rsidRPr="00BC552E">
              <w:tab/>
              <w:t>Make appropriate adjustments to equalisers to produce an appropriate tonal quality</w:t>
            </w:r>
          </w:p>
          <w:p w:rsidR="00000000" w:rsidRPr="00BC552E" w:rsidP="00BC552E">
            <w:pPr>
              <w:pStyle w:val="List2"/>
            </w:pPr>
            <w:r w:rsidRPr="00BC552E">
              <w:t>7.4.</w:t>
            </w:r>
            <w:r w:rsidRPr="00BC552E">
              <w:tab/>
              <w:t>Monitor sources and outputs both aurally and visu</w:t>
            </w:r>
            <w:r w:rsidRPr="00BC552E">
              <w:t>ally to meet with accepted safety standards and production requirements</w:t>
            </w:r>
          </w:p>
          <w:p w:rsidR="00000000" w:rsidRPr="00BC552E" w:rsidP="00BC552E">
            <w:pPr>
              <w:pStyle w:val="List2"/>
            </w:pPr>
            <w:r w:rsidRPr="00BC552E">
              <w:t>7.5.</w:t>
            </w:r>
            <w:r w:rsidRPr="00BC552E">
              <w:tab/>
              <w:t>Promptly identify and appropriately troubleshoot any problems on stage</w:t>
            </w:r>
          </w:p>
          <w:p w:rsidR="00000000" w:rsidRPr="00BC552E" w:rsidP="00BC552E">
            <w:pPr>
              <w:pStyle w:val="List2"/>
            </w:pPr>
            <w:r w:rsidRPr="00BC552E">
              <w:t>7.6.</w:t>
            </w:r>
            <w:r w:rsidRPr="00BC552E">
              <w:tab/>
              <w:t xml:space="preserve">Where required, allow audio signals to be processed, adding desired effects or other signal processing </w:t>
            </w:r>
            <w:r w:rsidRPr="00BC552E">
              <w:t>where necessary</w:t>
            </w:r>
          </w:p>
          <w:p w:rsidR="00000000" w:rsidP="00BC552E">
            <w:pPr>
              <w:pStyle w:val="List2"/>
              <w:rPr>
                <w:lang w:val="en-NZ"/>
              </w:rPr>
            </w:pPr>
            <w:r w:rsidRPr="00BC552E">
              <w:t>7.7.</w:t>
            </w:r>
            <w:r w:rsidRPr="00BC552E">
              <w:tab/>
              <w:t>Communicate appropriately with relevant personnel, when required, throughout the production</w:t>
            </w:r>
          </w:p>
        </w:tc>
      </w:tr>
      <w:tr w:rsidTr="00595E1E">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List"/>
              <w:rPr>
                <w:lang w:val="en-NZ"/>
              </w:rPr>
            </w:pPr>
            <w:r w:rsidRPr="00BC552E">
              <w:t>8.</w:t>
            </w:r>
            <w:r w:rsidRPr="00BC552E">
              <w:tab/>
              <w:t>Complete work operations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2"/>
            </w:pPr>
            <w:r w:rsidRPr="00BC552E">
              <w:t>8.1.</w:t>
            </w:r>
            <w:r w:rsidRPr="00BC552E">
              <w:tab/>
              <w:t>Complete all necessary documentation in accordance with organisational procedures and production requirements</w:t>
            </w:r>
          </w:p>
          <w:p w:rsidR="00000000" w:rsidRPr="00BC552E" w:rsidP="00BC552E">
            <w:pPr>
              <w:pStyle w:val="List2"/>
            </w:pPr>
            <w:r w:rsidRPr="00BC552E">
              <w:t>8.2.</w:t>
            </w:r>
            <w:r w:rsidRPr="00BC552E">
              <w:tab/>
              <w:t>Ensure that any equipment is handled, cleaned, maintained and stored in accordance with organisational and/or production requirements</w:t>
            </w:r>
          </w:p>
          <w:p w:rsidR="00000000" w:rsidRPr="00BC552E" w:rsidP="00BC552E">
            <w:pPr>
              <w:pStyle w:val="List2"/>
            </w:pPr>
            <w:r w:rsidRPr="00BC552E">
              <w:t>8.3.</w:t>
            </w:r>
            <w:r w:rsidRPr="00BC552E">
              <w:tab/>
              <w:t>Ensure that the work environment is clean and restored to its original condition in readiness for the next user</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9" w:name="O_70391"/>
      <w:bookmarkEnd w:id="9"/>
      <w:r w:rsidRPr="00BC552E">
        <w:t>Required Skills and Knowledge</w:t>
      </w:r>
    </w:p>
    <w:tbl>
      <w:tblPr>
        <w:tblW w:w="0" w:type="auto"/>
        <w:tblLayout w:type="fixed"/>
        <w:tblCellMar>
          <w:left w:w="62" w:type="dxa"/>
          <w:right w:w="62" w:type="dxa"/>
        </w:tblCellMar>
        <w:tblLook w:val="0000"/>
      </w:tblPr>
      <w:tblGrid>
        <w:gridCol w:w="8522"/>
      </w:tblGrid>
      <w:tr w:rsidTr="00595E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REQUIRED SKILLS AND KNOWLEDGE</w:t>
            </w:r>
          </w:p>
        </w:tc>
      </w:tr>
      <w:tr w:rsidTr="00595E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t>This section describes the skills and knowledge required for this unit.</w:t>
            </w:r>
          </w:p>
        </w:tc>
      </w:tr>
      <w:tr w:rsidTr="00595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Required skills</w:t>
            </w:r>
          </w:p>
        </w:tc>
      </w:tr>
      <w:tr w:rsidTr="00595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literacy skills sufficient to interpret production documentation, draw diagrams</w:t>
            </w:r>
          </w:p>
          <w:p w:rsidR="00000000" w:rsidP="00BC552E">
            <w:pPr>
              <w:pStyle w:val="ListBullet"/>
              <w:rPr>
                <w:lang w:val="en-NZ"/>
              </w:rPr>
            </w:pPr>
            <w:r w:rsidRPr="00BC552E">
              <w:t>numeracy skills sufficient to work with measurements and numerical aspects of audio consoles</w:t>
            </w:r>
          </w:p>
        </w:tc>
      </w:tr>
      <w:tr w:rsidTr="00595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Required knowledge</w:t>
            </w:r>
          </w:p>
        </w:tc>
      </w:tr>
      <w:tr w:rsidTr="00595E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types of information required to plan stage monitor system</w:t>
            </w:r>
          </w:p>
          <w:p w:rsidR="00000000" w:rsidRPr="00BC552E" w:rsidP="00BC552E">
            <w:pPr>
              <w:pStyle w:val="ListBullet"/>
            </w:pPr>
            <w:r w:rsidRPr="00BC552E">
              <w:t>features of different types of stage monitor systems for different contexts, inclu</w:t>
            </w:r>
            <w:r w:rsidRPr="00BC552E">
              <w:t>ding different equipment requirements</w:t>
            </w:r>
          </w:p>
          <w:p w:rsidR="00000000" w:rsidRPr="00BC552E" w:rsidP="00BC552E">
            <w:pPr>
              <w:pStyle w:val="ListBullet"/>
            </w:pPr>
            <w:r w:rsidRPr="00BC552E">
              <w:t>particular issues and challenges associated with stage monitor systems</w:t>
            </w:r>
          </w:p>
          <w:p w:rsidR="00000000" w:rsidRPr="00BC552E" w:rsidP="00BC552E">
            <w:pPr>
              <w:pStyle w:val="ListBullet"/>
            </w:pPr>
            <w:r w:rsidRPr="00BC552E">
              <w:t>safety issues associated with the set-up and installation of stage monitor systems</w:t>
            </w:r>
          </w:p>
          <w:p w:rsidR="00000000" w:rsidRPr="00BC552E" w:rsidP="00BC552E">
            <w:pPr>
              <w:pStyle w:val="ListBullet"/>
            </w:pPr>
            <w:r w:rsidRPr="00BC552E">
              <w:t>issues associated with foldback mixing for different application</w:t>
            </w:r>
            <w:r w:rsidRPr="00BC552E">
              <w:t>s, e.g. concert, theatre</w:t>
            </w:r>
          </w:p>
          <w:p w:rsidR="00000000" w:rsidRPr="00BC552E" w:rsidP="00BC552E">
            <w:pPr>
              <w:pStyle w:val="ListBullet"/>
            </w:pPr>
            <w:r w:rsidRPr="00BC552E">
              <w:t>techniques for equalisation of foldback speakers</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10" w:name="O_70392"/>
      <w:bookmarkEnd w:id="10"/>
      <w:r w:rsidRPr="00BC552E">
        <w:t>Evidence Guide</w:t>
      </w:r>
    </w:p>
    <w:tbl>
      <w:tblPr>
        <w:tblW w:w="9570" w:type="dxa"/>
        <w:tblLayout w:type="fixed"/>
        <w:tblCellMar>
          <w:left w:w="62" w:type="dxa"/>
          <w:right w:w="62" w:type="dxa"/>
        </w:tblCellMar>
        <w:tblLook w:val="0000"/>
      </w:tblPr>
      <w:tblGrid>
        <w:gridCol w:w="3908"/>
        <w:gridCol w:w="5662"/>
      </w:tblGrid>
      <w:tr w:rsidTr="00595E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EVIDENCE GUIDE</w:t>
            </w:r>
          </w:p>
        </w:tc>
      </w:tr>
      <w:tr w:rsidTr="00595E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t>The Evidence Guide provides advice on assessment and must be read in conjunction with the performance criteria, required skills and knowledge, range statement and the Assessment Guidelines for the Training Package.</w:t>
            </w:r>
          </w:p>
        </w:tc>
      </w:tr>
      <w:tr w:rsidTr="00595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p>
        </w:tc>
      </w:tr>
      <w:tr w:rsidTr="00595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Critical aspec</w:t>
            </w:r>
            <w:r w:rsidRPr="00BC552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The following evidence is critical to the judgement of competence in this unit:</w:t>
            </w:r>
          </w:p>
          <w:p w:rsidR="00000000" w:rsidRPr="00BC552E" w:rsidP="00BC552E">
            <w:pPr>
              <w:pStyle w:val="ListBullet"/>
            </w:pPr>
            <w:r w:rsidRPr="00BC552E">
              <w:t xml:space="preserve">ability to plan, set-up and operate a stage monitor system that meets production </w:t>
            </w:r>
            <w:r w:rsidRPr="00BC552E">
              <w:t>and performer requirements</w:t>
            </w:r>
          </w:p>
          <w:p w:rsidR="00000000" w:rsidP="00BC552E">
            <w:pPr>
              <w:pStyle w:val="ListBullet"/>
              <w:rPr>
                <w:lang w:val="en-NZ"/>
              </w:rPr>
            </w:pPr>
            <w:r w:rsidRPr="00BC552E">
              <w:t>knowledge of stage monitoring equipment and the range of issues and challenges associated with operation of the equipment in a live production environment.</w:t>
            </w:r>
          </w:p>
        </w:tc>
      </w:tr>
      <w:tr w:rsidTr="00595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 xml:space="preserve">The assessment context </w:t>
            </w:r>
            <w:r w:rsidRPr="00BC552E">
              <w:t>must provide for:</w:t>
            </w:r>
          </w:p>
          <w:p w:rsidR="00000000" w:rsidRPr="00BC552E" w:rsidP="00BC552E">
            <w:pPr>
              <w:pStyle w:val="ListBullet"/>
            </w:pPr>
            <w:r w:rsidRPr="00BC552E">
              <w:t>practical demonstration of skills through the planning, set-up and operation of stage monitor systems for more than one live production</w:t>
            </w:r>
          </w:p>
          <w:p w:rsidR="00000000" w:rsidRPr="00BC552E" w:rsidP="00BC552E">
            <w:pPr>
              <w:pStyle w:val="ListBullet"/>
            </w:pPr>
            <w:r w:rsidRPr="00BC552E">
              <w:t>involvement of, and interaction with, a production team and performers to reflect the collaborative n</w:t>
            </w:r>
            <w:r w:rsidRPr="00BC552E">
              <w:t>ature of the process</w:t>
            </w:r>
          </w:p>
          <w:p w:rsidR="00000000" w:rsidP="00BC552E">
            <w:pPr>
              <w:pStyle w:val="ListBullet"/>
              <w:rPr>
                <w:lang w:val="en-NZ"/>
              </w:rPr>
            </w:pPr>
            <w:r w:rsidRPr="00BC552E">
              <w:t>use of industry-current equipment.</w:t>
            </w:r>
          </w:p>
        </w:tc>
      </w:tr>
      <w:tr w:rsidTr="00595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Assessment may incorporate a range of methods to assess performance and the application of essential underpinning knowledge, and might include:</w:t>
            </w:r>
          </w:p>
          <w:p w:rsidR="00000000" w:rsidRPr="00BC552E" w:rsidP="00BC552E">
            <w:pPr>
              <w:pStyle w:val="ListBullet"/>
            </w:pPr>
            <w:r w:rsidRPr="00BC552E">
              <w:t>evaluation of foldback quality wh</w:t>
            </w:r>
            <w:r w:rsidRPr="00BC552E">
              <w:t>ere the candidate is responsible for set-up and operation</w:t>
            </w:r>
          </w:p>
          <w:p w:rsidR="00000000" w:rsidRPr="00BC552E" w:rsidP="00BC552E">
            <w:pPr>
              <w:pStyle w:val="ListBullet"/>
            </w:pPr>
            <w:r w:rsidRPr="00BC552E">
              <w:t>discussion with performers for whom the candidate has set-up and operated stage monitor systems</w:t>
            </w:r>
          </w:p>
          <w:p w:rsidR="00000000" w:rsidRPr="00BC552E" w:rsidP="00BC552E">
            <w:pPr>
              <w:pStyle w:val="ListBullet"/>
            </w:pPr>
            <w:r w:rsidRPr="00BC552E">
              <w:t xml:space="preserve">case studies to assess ability to plan and set-up stage monitor systems for different contexts </w:t>
            </w:r>
          </w:p>
          <w:p w:rsidR="00000000" w:rsidRPr="00BC552E" w:rsidP="00BC552E">
            <w:pPr>
              <w:pStyle w:val="ListBullet"/>
            </w:pPr>
            <w:r w:rsidRPr="00BC552E">
              <w:t>oral or written questioning to assess knowledge of equipment, set-up procedures and safety issues</w:t>
            </w:r>
          </w:p>
          <w:p w:rsidR="00000000" w:rsidRPr="00BC552E" w:rsidP="00BC552E">
            <w:pPr>
              <w:pStyle w:val="ListBullet"/>
            </w:pPr>
            <w:r w:rsidRPr="00BC552E">
              <w:t>review of portfolios of evidence and third party workplace reports of on-the-job performance by the candidate.</w:t>
            </w:r>
          </w:p>
          <w:p w:rsidR="00000000" w:rsidRPr="00BC552E" w:rsidP="00BC552E">
            <w:pPr>
              <w:pStyle w:val="BodyText"/>
            </w:pPr>
          </w:p>
          <w:p w:rsidR="00000000" w:rsidP="00BC552E">
            <w:pPr>
              <w:pStyle w:val="BodyText"/>
              <w:rPr>
                <w:lang w:val="en-NZ"/>
              </w:rPr>
            </w:pPr>
            <w:r w:rsidRPr="00BC552E">
              <w:t>Assessment methods should closely reflect work</w:t>
            </w:r>
            <w:r w:rsidRPr="00BC552E">
              <w:t>place demands and the needs of particular groups (e.g. people with disabilities, and people who may have literacy or numeracy difficulties such as speakers of languages other than English, remote communities and those with interrupted schooling).</w:t>
            </w:r>
          </w:p>
        </w:tc>
      </w:tr>
      <w:tr w:rsidTr="00595E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Guidance</w:t>
            </w:r>
            <w:r w:rsidRPr="00BC552E">
              <w:rPr>
                <w:rStyle w:val="SpecialBold"/>
              </w:rPr>
              <w:t xml:space="preserv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Assessment of this unit requires access to:</w:t>
            </w:r>
          </w:p>
          <w:p w:rsidR="00000000" w:rsidRPr="00BC552E" w:rsidP="00BC552E">
            <w:pPr>
              <w:pStyle w:val="ListBullet"/>
            </w:pPr>
            <w:r w:rsidRPr="00BC552E">
              <w:t>industry-current stage monitor equipment</w:t>
            </w:r>
          </w:p>
          <w:p w:rsidR="00000000" w:rsidRPr="00BC552E" w:rsidP="00BC552E">
            <w:pPr>
              <w:pStyle w:val="ListBullet"/>
            </w:pPr>
            <w:r w:rsidRPr="00BC552E">
              <w:t>venue where stage monitor system can be set-up and operated.</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11" w:name="O_70393"/>
      <w:bookmarkEnd w:id="11"/>
      <w:r w:rsidRPr="00BC552E">
        <w:t>Range Statement</w:t>
      </w:r>
    </w:p>
    <w:tbl>
      <w:tblPr>
        <w:tblW w:w="0" w:type="auto"/>
        <w:tblLayout w:type="fixed"/>
        <w:tblCellMar>
          <w:left w:w="62" w:type="dxa"/>
          <w:right w:w="62" w:type="dxa"/>
        </w:tblCellMar>
        <w:tblLook w:val="0000"/>
      </w:tblPr>
      <w:tblGrid>
        <w:gridCol w:w="3480"/>
        <w:gridCol w:w="5042"/>
      </w:tblGrid>
      <w:tr w:rsidTr="00595E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RANGE STATEMENT</w:t>
            </w:r>
          </w:p>
        </w:tc>
      </w:tr>
      <w:tr w:rsidTr="00595E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t>The range statement relates to the unit of competency as a whole. It allows for different work environments and situations that may affect performance. Bold italicised wording, if used in the performance criteria, is detailed below. Essential operating con</w:t>
            </w:r>
            <w:r w:rsidRPr="00BC552E">
              <w:t>ditions that may be present with training and assessment (depending on the work situation, needs of the candidate, accessibility of the item, and local industry and regional contexts) may also be included.</w:t>
            </w:r>
          </w:p>
        </w:tc>
      </w:tr>
      <w:tr w:rsidTr="00595E1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BoldandItalics"/>
              </w:rPr>
              <w:t>Information</w:t>
            </w:r>
            <w:r w:rsidRPr="00BC552E">
              <w:t xml:space="preserve"> required to plan stage monitor syste</w:t>
            </w:r>
            <w:r w:rsidRPr="00BC552E">
              <w:t>m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input sources</w:t>
            </w:r>
          </w:p>
          <w:p w:rsidR="00000000" w:rsidRPr="00BC552E" w:rsidP="00BC552E">
            <w:pPr>
              <w:pStyle w:val="ListBullet"/>
            </w:pPr>
            <w:r w:rsidRPr="00BC552E">
              <w:t>performance schedule</w:t>
            </w:r>
          </w:p>
          <w:p w:rsidR="00000000" w:rsidRPr="00BC552E" w:rsidP="00BC552E">
            <w:pPr>
              <w:pStyle w:val="ListBullet"/>
            </w:pPr>
            <w:r w:rsidRPr="00BC552E">
              <w:t>performance style</w:t>
            </w:r>
          </w:p>
          <w:p w:rsidR="00000000" w:rsidP="00BC552E">
            <w:pPr>
              <w:pStyle w:val="ListBullet"/>
              <w:rPr>
                <w:lang w:val="en-NZ"/>
              </w:rPr>
            </w:pPr>
            <w:r w:rsidRPr="00BC552E">
              <w:t>stage layout</w:t>
            </w:r>
          </w:p>
        </w:tc>
      </w:tr>
      <w:tr w:rsidTr="00595E1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BoldandItalics"/>
              </w:rPr>
              <w:t>Requirements for stage monitor system set</w:t>
            </w:r>
            <w:r w:rsidRPr="00BC552E">
              <w:t>-</w:t>
            </w:r>
            <w:r w:rsidRPr="00BC552E">
              <w:rPr>
                <w:rStyle w:val="BoldandItalics"/>
              </w:rPr>
              <w:t>up and checking</w:t>
            </w:r>
            <w:r w:rsidRPr="00BC552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need for a clear stage</w:t>
            </w:r>
          </w:p>
          <w:p w:rsidR="00000000" w:rsidRPr="00BC552E" w:rsidP="00BC552E">
            <w:pPr>
              <w:pStyle w:val="ListBullet"/>
            </w:pPr>
            <w:r w:rsidRPr="00BC552E">
              <w:t>sound check with performers</w:t>
            </w:r>
          </w:p>
          <w:p w:rsidR="00000000" w:rsidP="00BC552E">
            <w:pPr>
              <w:pStyle w:val="ListBullet"/>
              <w:rPr>
                <w:lang w:val="en-NZ"/>
              </w:rPr>
            </w:pPr>
            <w:r w:rsidRPr="00BC552E">
              <w:t>stage monitor system equalisation with non-essential personnel removed from the stage area</w:t>
            </w:r>
          </w:p>
        </w:tc>
      </w:tr>
      <w:tr w:rsidTr="00595E1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BoldandItalics"/>
              </w:rPr>
              <w:t>Stage layout diagram</w:t>
            </w:r>
            <w:r w:rsidRPr="00BC552E">
              <w:t xml:space="preserve"> would include positioning of: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establishment of adequate balanced lines available from splitter system for stage monitors</w:t>
            </w:r>
          </w:p>
          <w:p w:rsidR="00000000" w:rsidRPr="00BC552E" w:rsidP="00BC552E">
            <w:pPr>
              <w:pStyle w:val="ListBullet"/>
            </w:pPr>
            <w:r w:rsidRPr="00BC552E">
              <w:t>monitor speakers</w:t>
            </w:r>
          </w:p>
          <w:p w:rsidR="00000000" w:rsidRPr="00BC552E" w:rsidP="00BC552E">
            <w:pPr>
              <w:pStyle w:val="ListBullet"/>
            </w:pPr>
            <w:r w:rsidRPr="00BC552E">
              <w:t>mult</w:t>
            </w:r>
            <w:r w:rsidRPr="00BC552E">
              <w:t>icore stage box</w:t>
            </w:r>
          </w:p>
          <w:p w:rsidR="00000000" w:rsidRPr="00BC552E" w:rsidP="00BC552E">
            <w:pPr>
              <w:pStyle w:val="ListBullet"/>
            </w:pPr>
            <w:r w:rsidRPr="00BC552E">
              <w:t>processing and amplification racks</w:t>
            </w:r>
          </w:p>
          <w:p w:rsidR="00000000" w:rsidP="00BC552E">
            <w:pPr>
              <w:pStyle w:val="ListBullet"/>
              <w:rPr>
                <w:lang w:val="en-NZ"/>
              </w:rPr>
            </w:pPr>
            <w:r w:rsidRPr="00BC552E">
              <w:t>stage monitor console</w:t>
            </w:r>
          </w:p>
        </w:tc>
      </w:tr>
      <w:tr w:rsidTr="00595E1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BoldandItalics"/>
              </w:rPr>
              <w:t>In</w:t>
            </w:r>
            <w:r w:rsidRPr="00BC552E">
              <w:t>-</w:t>
            </w:r>
            <w:r w:rsidRPr="00BC552E">
              <w:rPr>
                <w:rStyle w:val="BoldandItalics"/>
              </w:rPr>
              <w:t>ear or wireless equipment</w:t>
            </w:r>
            <w:r w:rsidRPr="00BC552E">
              <w:t xml:space="preserve"> and accessories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batteries</w:t>
            </w:r>
          </w:p>
          <w:p w:rsidR="00000000" w:rsidRPr="00BC552E" w:rsidP="00BC552E">
            <w:pPr>
              <w:pStyle w:val="ListBullet"/>
            </w:pPr>
            <w:r w:rsidRPr="00BC552E">
              <w:t>reverb or external effectors</w:t>
            </w:r>
          </w:p>
          <w:p w:rsidR="00000000" w:rsidP="00BC552E">
            <w:pPr>
              <w:pStyle w:val="ListBullet"/>
              <w:rPr>
                <w:lang w:val="en-NZ"/>
              </w:rPr>
            </w:pPr>
            <w:r w:rsidRPr="00BC552E">
              <w:t>stands/microphone mounts</w:t>
            </w:r>
          </w:p>
        </w:tc>
      </w:tr>
      <w:tr w:rsidTr="00595E1E">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BoldandItalics"/>
              </w:rPr>
              <w:t>Checks</w:t>
            </w:r>
            <w:r w:rsidRPr="00BC552E">
              <w:t xml:space="preserve"> to be undertaken when setting up stage monitor system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ListBullet"/>
            </w:pPr>
            <w:r w:rsidRPr="00BC552E">
              <w:t>phantom power switches off</w:t>
            </w:r>
          </w:p>
          <w:p w:rsidR="00000000" w:rsidRPr="00BC552E" w:rsidP="00BC552E">
            <w:pPr>
              <w:pStyle w:val="ListBullet"/>
            </w:pPr>
            <w:r w:rsidRPr="00BC552E">
              <w:t>position of equalisation controls</w:t>
            </w:r>
          </w:p>
          <w:p w:rsidR="00000000" w:rsidRPr="00BC552E" w:rsidP="00BC552E">
            <w:pPr>
              <w:pStyle w:val="ListBullet"/>
            </w:pPr>
            <w:r w:rsidRPr="00BC552E">
              <w:t>re-setting of external processing gear to flat (if EQ)</w:t>
            </w:r>
          </w:p>
          <w:p w:rsidR="00000000" w:rsidRPr="00BC552E" w:rsidP="00BC552E">
            <w:pPr>
              <w:pStyle w:val="ListBullet"/>
            </w:pPr>
            <w:r w:rsidRPr="00BC552E">
              <w:t>setting of external effectors or signal enhancers start-up position</w:t>
            </w:r>
          </w:p>
          <w:p w:rsidR="00000000" w:rsidRPr="00BC552E" w:rsidP="00BC552E">
            <w:pPr>
              <w:pStyle w:val="ListBullet"/>
            </w:pPr>
            <w:r w:rsidRPr="00BC552E">
              <w:t>setting</w:t>
            </w:r>
            <w:r w:rsidRPr="00BC552E">
              <w:t xml:space="preserve"> of send controls</w:t>
            </w:r>
          </w:p>
        </w:tc>
      </w:tr>
    </w:tbl>
    <w:p w:rsidR="00595E1E" w:rsidP="00BC552E">
      <w:pPr>
        <w:pStyle w:val="BodyText"/>
      </w:pPr>
    </w:p>
    <w:p w:rsidR="00595E1E" w:rsidP="00BC552E">
      <w:pPr>
        <w:pStyle w:val="BodyText"/>
      </w:pPr>
    </w:p>
    <w:p w:rsidR="00000000" w:rsidRPr="00BC552E" w:rsidP="00BC552E">
      <w:pPr>
        <w:pStyle w:val="Heading1"/>
      </w:pPr>
      <w:bookmarkStart w:id="12" w:name="O_70394"/>
      <w:bookmarkEnd w:id="12"/>
      <w:r w:rsidRPr="00BC552E">
        <w:t>Unit Sector(s)</w:t>
      </w:r>
    </w:p>
    <w:tbl>
      <w:tblPr>
        <w:tblW w:w="0" w:type="auto"/>
        <w:tblLayout w:type="fixed"/>
        <w:tblCellMar>
          <w:left w:w="62" w:type="dxa"/>
          <w:right w:w="62" w:type="dxa"/>
        </w:tblCellMar>
        <w:tblLook w:val="0000"/>
      </w:tblPr>
      <w:tblGrid>
        <w:gridCol w:w="2654"/>
        <w:gridCol w:w="5868"/>
      </w:tblGrid>
      <w:tr w:rsidTr="00595E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13" w:name="O_155023"/>
      <w:bookmarkEnd w:id="13"/>
      <w:r w:rsidRPr="00BC552E">
        <w:t>Competency field</w:t>
      </w:r>
    </w:p>
    <w:tbl>
      <w:tblPr>
        <w:tblW w:w="0" w:type="auto"/>
        <w:tblLayout w:type="fixed"/>
        <w:tblCellMar>
          <w:left w:w="62" w:type="dxa"/>
          <w:right w:w="62" w:type="dxa"/>
        </w:tblCellMar>
        <w:tblLook w:val="0000"/>
      </w:tblPr>
      <w:tblGrid>
        <w:gridCol w:w="2778"/>
        <w:gridCol w:w="5744"/>
      </w:tblGrid>
      <w:tr w:rsidTr="00595E1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r w:rsidRPr="00BC552E">
              <w:t>Media and entertainment production - audio/sound</w:t>
            </w:r>
          </w:p>
        </w:tc>
      </w:tr>
    </w:tbl>
    <w:p w:rsidR="00000000" w:rsidRPr="00BC552E" w:rsidP="00BC552E">
      <w:pPr>
        <w:pStyle w:val="BodyText"/>
      </w:pPr>
    </w:p>
    <w:p w:rsidR="00000000" w:rsidRPr="00BC552E" w:rsidP="00BC552E">
      <w:pPr>
        <w:pStyle w:val="AllowPageBreak"/>
      </w:pPr>
    </w:p>
    <w:p w:rsidR="00000000" w:rsidRPr="00BC552E" w:rsidP="00BC552E">
      <w:pPr>
        <w:pStyle w:val="Heading1"/>
      </w:pPr>
      <w:bookmarkStart w:id="14" w:name="O_155022"/>
      <w:bookmarkEnd w:id="14"/>
      <w:r w:rsidRPr="00BC552E">
        <w:t>Co-requisite units</w:t>
      </w:r>
    </w:p>
    <w:tbl>
      <w:tblPr>
        <w:tblW w:w="0" w:type="auto"/>
        <w:tblLayout w:type="fixed"/>
        <w:tblCellMar>
          <w:left w:w="62" w:type="dxa"/>
          <w:right w:w="62" w:type="dxa"/>
        </w:tblCellMar>
        <w:tblLook w:val="0000"/>
      </w:tblPr>
      <w:tblGrid>
        <w:gridCol w:w="2641"/>
        <w:gridCol w:w="1322"/>
        <w:gridCol w:w="4559"/>
      </w:tblGrid>
      <w:tr w:rsidTr="00595E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r w:rsidRPr="00BC55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p>
        </w:tc>
      </w:tr>
      <w:tr w:rsidTr="00595E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52E">
            <w:pPr>
              <w:pStyle w:val="BodyText"/>
              <w:rPr>
                <w:lang w:val="en-NZ"/>
              </w:rPr>
            </w:pPr>
          </w:p>
        </w:tc>
      </w:tr>
      <w:tr w:rsidTr="00595E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52E" w:rsidP="00BC552E">
            <w:pPr>
              <w:pStyle w:val="BodyText"/>
            </w:pPr>
          </w:p>
        </w:tc>
      </w:tr>
    </w:tbl>
    <w:p w:rsidR="00000000" w:rsidRPr="00BC552E" w:rsidP="00BC552E">
      <w:pPr>
        <w:pStyle w:val="BodyText"/>
      </w:pPr>
    </w:p>
    <w:p w:rsidR="00000000" w:rsidRPr="00BC552E" w:rsidP="00BC552E"/>
    <w:sectPr w:rsidSect="00BC5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E1E" w:rsidP="00595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1E" w:rsidP="00BC5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5E1E" w:rsidP="00BC55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5E1E" w:rsidP="00BC55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E1E" w:rsidP="00595E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E1E" w:rsidP="00BC552E">
    <w:pPr>
      <w:pStyle w:val="Header"/>
      <w:framePr w:wrap="around"/>
    </w:pPr>
    <w:r>
      <w:fldChar w:fldCharType="begin"/>
    </w:r>
    <w:r>
      <w:instrText xml:space="preserve"> TITLE   \* MERGEFORMAT </w:instrText>
    </w:r>
    <w:r>
      <w:fldChar w:fldCharType="separate"/>
    </w:r>
    <w:r>
      <w:t>CUESOU11B Set up and operate stage monitor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5E1E" w:rsidP="00BC55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62C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7E4B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5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52E"/>
    <w:pPr>
      <w:spacing w:before="360" w:after="60"/>
      <w:outlineLvl w:val="0"/>
    </w:pPr>
    <w:rPr>
      <w:sz w:val="32"/>
    </w:rPr>
  </w:style>
  <w:style w:type="paragraph" w:styleId="Heading2">
    <w:name w:val="heading 2"/>
    <w:basedOn w:val="HeadingBase"/>
    <w:next w:val="BodyText"/>
    <w:link w:val="Heading2Char"/>
    <w:qFormat/>
    <w:rsid w:val="00BC552E"/>
    <w:pPr>
      <w:keepLines/>
      <w:spacing w:before="240" w:after="120"/>
      <w:outlineLvl w:val="1"/>
    </w:pPr>
    <w:rPr>
      <w:sz w:val="28"/>
      <w:szCs w:val="40"/>
    </w:rPr>
  </w:style>
  <w:style w:type="paragraph" w:styleId="Heading3">
    <w:name w:val="heading 3"/>
    <w:basedOn w:val="HeadingBase"/>
    <w:next w:val="BodyText"/>
    <w:link w:val="Heading3Char"/>
    <w:qFormat/>
    <w:rsid w:val="00BC552E"/>
    <w:pPr>
      <w:spacing w:before="180" w:after="120"/>
      <w:outlineLvl w:val="2"/>
    </w:pPr>
    <w:rPr>
      <w:spacing w:val="-10"/>
      <w:kern w:val="32"/>
    </w:rPr>
  </w:style>
  <w:style w:type="paragraph" w:styleId="Heading4">
    <w:name w:val="heading 4"/>
    <w:basedOn w:val="HeadingBase"/>
    <w:next w:val="BodyText"/>
    <w:link w:val="Heading4Char"/>
    <w:qFormat/>
    <w:rsid w:val="00BC552E"/>
    <w:pPr>
      <w:spacing w:before="160" w:after="120"/>
      <w:outlineLvl w:val="3"/>
    </w:pPr>
    <w:rPr>
      <w:sz w:val="22"/>
    </w:rPr>
  </w:style>
  <w:style w:type="paragraph" w:styleId="Heading5">
    <w:name w:val="heading 5"/>
    <w:basedOn w:val="HeadingBase"/>
    <w:next w:val="Normal"/>
    <w:link w:val="Heading5Char"/>
    <w:qFormat/>
    <w:rsid w:val="00BC552E"/>
    <w:pPr>
      <w:spacing w:before="80"/>
      <w:outlineLvl w:val="4"/>
    </w:pPr>
    <w:rPr>
      <w:color w:val="918585"/>
      <w:sz w:val="20"/>
    </w:rPr>
  </w:style>
  <w:style w:type="paragraph" w:styleId="Heading6">
    <w:name w:val="heading 6"/>
    <w:basedOn w:val="HeadingBase"/>
    <w:next w:val="Normal"/>
    <w:link w:val="Heading6Char"/>
    <w:qFormat/>
    <w:rsid w:val="00BC552E"/>
    <w:pPr>
      <w:spacing w:before="60"/>
      <w:outlineLvl w:val="5"/>
    </w:pPr>
    <w:rPr>
      <w:color w:val="918585"/>
      <w:sz w:val="20"/>
    </w:rPr>
  </w:style>
  <w:style w:type="paragraph" w:styleId="Heading7">
    <w:name w:val="heading 7"/>
    <w:basedOn w:val="Normal"/>
    <w:next w:val="Normal"/>
    <w:link w:val="Heading7Char"/>
    <w:qFormat/>
    <w:rsid w:val="00BC552E"/>
    <w:pPr>
      <w:ind w:left="720"/>
      <w:outlineLvl w:val="6"/>
    </w:pPr>
    <w:rPr>
      <w:i/>
    </w:rPr>
  </w:style>
  <w:style w:type="paragraph" w:styleId="Heading8">
    <w:name w:val="heading 8"/>
    <w:basedOn w:val="Normal"/>
    <w:next w:val="Normal"/>
    <w:link w:val="Heading8Char"/>
    <w:qFormat/>
    <w:rsid w:val="00BC552E"/>
    <w:pPr>
      <w:ind w:left="720"/>
      <w:outlineLvl w:val="7"/>
    </w:pPr>
    <w:rPr>
      <w:i/>
    </w:rPr>
  </w:style>
  <w:style w:type="paragraph" w:styleId="Heading9">
    <w:name w:val="heading 9"/>
    <w:basedOn w:val="Normal"/>
    <w:next w:val="Normal"/>
    <w:link w:val="Heading9Char"/>
    <w:qFormat/>
    <w:rsid w:val="00BC552E"/>
    <w:pPr>
      <w:ind w:left="720"/>
      <w:outlineLvl w:val="8"/>
    </w:pPr>
    <w:rPr>
      <w:i/>
    </w:rPr>
  </w:style>
  <w:style w:type="character" w:default="1" w:styleId="DefaultParagraphFont">
    <w:name w:val="Default Paragraph Font"/>
    <w:uiPriority w:val="1"/>
    <w:unhideWhenUsed/>
    <w:rsid w:val="00BC5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52E"/>
  </w:style>
  <w:style w:type="character" w:customStyle="1" w:styleId="Heading1Char">
    <w:name w:val="Heading 1 Char"/>
    <w:basedOn w:val="DefaultParagraphFont"/>
    <w:link w:val="Heading1"/>
    <w:rsid w:val="00BC552E"/>
    <w:rPr>
      <w:rFonts w:ascii="Times New Roman" w:eastAsia="Times New Roman" w:hAnsi="Times New Roman" w:cs="Times New Roman"/>
      <w:b/>
      <w:sz w:val="32"/>
      <w:szCs w:val="20"/>
      <w:lang w:eastAsia="en-US"/>
    </w:rPr>
  </w:style>
  <w:style w:type="paragraph" w:styleId="BodyText">
    <w:name w:val="Body Text"/>
    <w:basedOn w:val="Normal"/>
    <w:link w:val="BodyTextChar"/>
    <w:rsid w:val="00BC5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552E"/>
    <w:rPr>
      <w:rFonts w:ascii="Times New Roman" w:eastAsia="Times New Roman" w:hAnsi="Times New Roman" w:cs="Times New Roman"/>
      <w:sz w:val="24"/>
      <w:lang w:val="en-US" w:eastAsia="en-US"/>
    </w:rPr>
  </w:style>
  <w:style w:type="paragraph" w:styleId="Footer">
    <w:name w:val="footer"/>
    <w:basedOn w:val="Normal"/>
    <w:link w:val="FooterChar"/>
    <w:rsid w:val="00BC5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52E"/>
    <w:rPr>
      <w:rFonts w:ascii="Times New Roman" w:eastAsia="Times New Roman" w:hAnsi="Times New Roman" w:cs="Times New Roman"/>
      <w:sz w:val="16"/>
      <w:lang w:val="en-US" w:eastAsia="en-US"/>
    </w:rPr>
  </w:style>
  <w:style w:type="paragraph" w:styleId="List">
    <w:name w:val="List"/>
    <w:basedOn w:val="BodyText"/>
    <w:next w:val="BodyText"/>
    <w:rsid w:val="00BC552E"/>
    <w:pPr>
      <w:tabs>
        <w:tab w:val="left" w:pos="340"/>
      </w:tabs>
      <w:spacing w:before="60" w:after="60"/>
      <w:ind w:left="340" w:hanging="340"/>
    </w:pPr>
  </w:style>
  <w:style w:type="paragraph" w:styleId="ListBullet">
    <w:name w:val="List Bullet"/>
    <w:basedOn w:val="List"/>
    <w:rsid w:val="00BC552E"/>
    <w:pPr>
      <w:numPr>
        <w:numId w:val="12"/>
      </w:numPr>
      <w:tabs>
        <w:tab w:val="clear" w:pos="340"/>
      </w:tabs>
      <w:spacing w:before="40" w:after="40"/>
    </w:pPr>
  </w:style>
  <w:style w:type="character" w:customStyle="1" w:styleId="SpecialBold">
    <w:name w:val="Special Bold"/>
    <w:basedOn w:val="DefaultParagraphFont"/>
    <w:rsid w:val="00BC552E"/>
    <w:rPr>
      <w:b/>
      <w:spacing w:val="0"/>
    </w:rPr>
  </w:style>
  <w:style w:type="paragraph" w:styleId="Header">
    <w:name w:val="header"/>
    <w:basedOn w:val="Normal"/>
    <w:link w:val="HeaderChar"/>
    <w:rsid w:val="00BC5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5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52E"/>
    <w:pPr>
      <w:spacing w:before="240" w:after="120"/>
      <w:outlineLvl w:val="0"/>
    </w:pPr>
    <w:rPr>
      <w:rFonts w:ascii="Times New Roman" w:hAnsi="Times New Roman"/>
      <w:b/>
      <w:sz w:val="28"/>
    </w:rPr>
  </w:style>
  <w:style w:type="paragraph" w:customStyle="1" w:styleId="AllowPageBreak">
    <w:name w:val="AllowPageBreak"/>
    <w:rsid w:val="00BC55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552E"/>
    <w:pPr>
      <w:tabs>
        <w:tab w:val="left" w:pos="680"/>
      </w:tabs>
      <w:spacing w:before="60" w:after="60"/>
      <w:ind w:left="680" w:hanging="340"/>
    </w:pPr>
  </w:style>
  <w:style w:type="character" w:customStyle="1" w:styleId="BoldandItalics">
    <w:name w:val="Bold and Italics"/>
    <w:qFormat/>
    <w:rsid w:val="00BC552E"/>
    <w:rPr>
      <w:b/>
      <w:i/>
      <w:u w:val="none"/>
    </w:rPr>
  </w:style>
  <w:style w:type="character" w:customStyle="1" w:styleId="Heading2Char">
    <w:name w:val="Heading 2 Char"/>
    <w:basedOn w:val="DefaultParagraphFont"/>
    <w:link w:val="Heading2"/>
    <w:rsid w:val="00BC5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5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5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52E"/>
    <w:rPr>
      <w:rFonts w:ascii="Courier New" w:eastAsia="Times New Roman" w:hAnsi="Courier New" w:cs="Times New Roman"/>
      <w:i/>
      <w:szCs w:val="20"/>
      <w:lang w:val="en-US" w:eastAsia="en-US"/>
    </w:rPr>
  </w:style>
  <w:style w:type="paragraph" w:customStyle="1" w:styleId="HeadingBase">
    <w:name w:val="Heading Base"/>
    <w:rsid w:val="00BC5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52E"/>
    <w:pPr>
      <w:tabs>
        <w:tab w:val="right" w:leader="dot" w:pos="9072"/>
      </w:tabs>
      <w:ind w:left="567"/>
    </w:pPr>
    <w:rPr>
      <w:szCs w:val="22"/>
    </w:rPr>
  </w:style>
  <w:style w:type="paragraph" w:customStyle="1" w:styleId="TOCBase">
    <w:name w:val="TOC Base"/>
    <w:rsid w:val="00BC5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52E"/>
    <w:pPr>
      <w:tabs>
        <w:tab w:val="right" w:leader="dot" w:pos="9072"/>
      </w:tabs>
      <w:spacing w:before="40" w:after="40"/>
      <w:ind w:left="284"/>
    </w:pPr>
    <w:rPr>
      <w:rFonts w:ascii="Times New Roman" w:hAnsi="Times New Roman"/>
    </w:rPr>
  </w:style>
  <w:style w:type="paragraph" w:styleId="TOC1">
    <w:name w:val="toc 1"/>
    <w:basedOn w:val="TOCBase"/>
    <w:next w:val="Normal"/>
    <w:rsid w:val="00BC55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52E"/>
    <w:pPr>
      <w:spacing w:before="5040"/>
      <w:jc w:val="center"/>
    </w:pPr>
    <w:rPr>
      <w:sz w:val="48"/>
      <w:szCs w:val="72"/>
      <w:lang w:val="en-US"/>
    </w:rPr>
  </w:style>
  <w:style w:type="character" w:customStyle="1" w:styleId="TitleChar">
    <w:name w:val="Title Char"/>
    <w:basedOn w:val="DefaultParagraphFont"/>
    <w:link w:val="Title"/>
    <w:rsid w:val="00BC5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52E"/>
    <w:pPr>
      <w:tabs>
        <w:tab w:val="left" w:pos="3600"/>
        <w:tab w:val="left" w:pos="3958"/>
      </w:tabs>
    </w:pPr>
  </w:style>
  <w:style w:type="paragraph" w:customStyle="1" w:styleId="Note">
    <w:name w:val="Note"/>
    <w:basedOn w:val="BodyText"/>
    <w:rsid w:val="00BC5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52E"/>
    <w:pPr>
      <w:framePr w:wrap="auto" w:hAnchor="text" w:y="6049"/>
    </w:pPr>
    <w:rPr>
      <w:color w:val="000000"/>
      <w:sz w:val="40"/>
    </w:rPr>
  </w:style>
  <w:style w:type="paragraph" w:customStyle="1" w:styleId="TOCTitle">
    <w:name w:val="TOCTitle"/>
    <w:basedOn w:val="Heading1"/>
    <w:rsid w:val="00BC552E"/>
    <w:pPr>
      <w:spacing w:after="240"/>
      <w:jc w:val="center"/>
      <w:outlineLvl w:val="9"/>
    </w:pPr>
    <w:rPr>
      <w:caps/>
    </w:rPr>
  </w:style>
  <w:style w:type="paragraph" w:customStyle="1" w:styleId="Version">
    <w:name w:val="Version"/>
    <w:rsid w:val="00BC55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52E"/>
    <w:pPr>
      <w:numPr>
        <w:numId w:val="13"/>
      </w:numPr>
      <w:tabs>
        <w:tab w:val="clear" w:pos="680"/>
      </w:tabs>
    </w:pPr>
  </w:style>
  <w:style w:type="paragraph" w:styleId="Index1">
    <w:name w:val="index 1"/>
    <w:basedOn w:val="Normal"/>
    <w:next w:val="Normal"/>
    <w:semiHidden/>
    <w:rsid w:val="00BC552E"/>
    <w:pPr>
      <w:keepNext w:val="0"/>
      <w:tabs>
        <w:tab w:val="right" w:pos="4176"/>
      </w:tabs>
      <w:ind w:left="198" w:hanging="198"/>
    </w:pPr>
    <w:rPr>
      <w:rFonts w:ascii="Garamond" w:hAnsi="Garamond"/>
    </w:rPr>
  </w:style>
  <w:style w:type="paragraph" w:styleId="IndexHeading">
    <w:name w:val="index heading"/>
    <w:basedOn w:val="Normal"/>
    <w:next w:val="Index1"/>
    <w:semiHidden/>
    <w:rsid w:val="00BC552E"/>
    <w:pPr>
      <w:spacing w:before="120" w:after="120"/>
    </w:pPr>
    <w:rPr>
      <w:rFonts w:ascii="Arial" w:hAnsi="Arial"/>
      <w:b/>
      <w:color w:val="918585"/>
      <w:sz w:val="24"/>
    </w:rPr>
  </w:style>
  <w:style w:type="paragraph" w:customStyle="1" w:styleId="Chapter">
    <w:name w:val="Chapter"/>
    <w:basedOn w:val="Normal"/>
    <w:rsid w:val="00BC552E"/>
    <w:pPr>
      <w:spacing w:before="240"/>
    </w:pPr>
    <w:rPr>
      <w:rFonts w:ascii="Times New Roman" w:hAnsi="Times New Roman"/>
      <w:smallCaps/>
      <w:spacing w:val="80"/>
      <w:sz w:val="28"/>
    </w:rPr>
  </w:style>
  <w:style w:type="paragraph" w:customStyle="1" w:styleId="InChapter">
    <w:name w:val="InChapter"/>
    <w:basedOn w:val="Heading3"/>
    <w:rsid w:val="00BC552E"/>
    <w:pPr>
      <w:spacing w:after="240"/>
      <w:outlineLvl w:val="9"/>
    </w:pPr>
    <w:rPr>
      <w:noProof/>
    </w:rPr>
  </w:style>
  <w:style w:type="paragraph" w:styleId="Index2">
    <w:name w:val="index 2"/>
    <w:basedOn w:val="Normal"/>
    <w:next w:val="Normal"/>
    <w:semiHidden/>
    <w:rsid w:val="00BC552E"/>
    <w:pPr>
      <w:tabs>
        <w:tab w:val="right" w:pos="4176"/>
      </w:tabs>
      <w:ind w:left="568" w:hanging="284"/>
    </w:pPr>
    <w:rPr>
      <w:rFonts w:ascii="Garamond" w:hAnsi="Garamond"/>
    </w:rPr>
  </w:style>
  <w:style w:type="paragraph" w:customStyle="1" w:styleId="Byline">
    <w:name w:val="Byline"/>
    <w:rsid w:val="00BC5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52E"/>
    <w:pPr>
      <w:tabs>
        <w:tab w:val="clear" w:pos="3600"/>
        <w:tab w:val="clear" w:pos="3958"/>
      </w:tabs>
      <w:jc w:val="right"/>
    </w:pPr>
  </w:style>
  <w:style w:type="character" w:styleId="Emphasis">
    <w:name w:val="Emphasis"/>
    <w:basedOn w:val="DefaultParagraphFont"/>
    <w:qFormat/>
    <w:rsid w:val="00BC552E"/>
    <w:rPr>
      <w:i/>
    </w:rPr>
  </w:style>
  <w:style w:type="paragraph" w:styleId="Caption">
    <w:name w:val="caption"/>
    <w:basedOn w:val="BodyText"/>
    <w:next w:val="Normal"/>
    <w:qFormat/>
    <w:rsid w:val="00BC552E"/>
    <w:pPr>
      <w:framePr w:w="2268" w:hSpace="181" w:vSpace="181" w:wrap="around" w:vAnchor="text" w:hAnchor="page" w:x="1135" w:y="285" w:anchorLock="1"/>
    </w:pPr>
    <w:rPr>
      <w:i/>
    </w:rPr>
  </w:style>
  <w:style w:type="paragraph" w:customStyle="1" w:styleId="MiniTOCTitle">
    <w:name w:val="MiniTOCTitle"/>
    <w:basedOn w:val="Heading4"/>
    <w:rsid w:val="00BC552E"/>
    <w:pPr>
      <w:spacing w:before="240"/>
      <w:outlineLvl w:val="9"/>
    </w:pPr>
    <w:rPr>
      <w:noProof/>
      <w:sz w:val="24"/>
    </w:rPr>
  </w:style>
  <w:style w:type="paragraph" w:customStyle="1" w:styleId="MiniTOCItem">
    <w:name w:val="MiniTOCItem"/>
    <w:basedOn w:val="ListBullet"/>
    <w:rsid w:val="00BC552E"/>
    <w:pPr>
      <w:numPr>
        <w:numId w:val="0"/>
      </w:numPr>
      <w:tabs>
        <w:tab w:val="right" w:leader="dot" w:pos="6521"/>
      </w:tabs>
      <w:spacing w:before="0" w:after="0"/>
    </w:pPr>
  </w:style>
  <w:style w:type="paragraph" w:customStyle="1" w:styleId="TOFTitle">
    <w:name w:val="TOFTitle"/>
    <w:basedOn w:val="TOCTitle"/>
    <w:rsid w:val="00BC552E"/>
  </w:style>
  <w:style w:type="paragraph" w:styleId="TableofFigures">
    <w:name w:val="table of figures"/>
    <w:basedOn w:val="Normal"/>
    <w:next w:val="Normal"/>
    <w:semiHidden/>
    <w:rsid w:val="00BC552E"/>
    <w:pPr>
      <w:tabs>
        <w:tab w:val="right" w:leader="dot" w:pos="9072"/>
      </w:tabs>
      <w:ind w:left="970" w:hanging="403"/>
    </w:pPr>
    <w:rPr>
      <w:rFonts w:ascii="Times New Roman" w:hAnsi="Times New Roman"/>
      <w:b/>
    </w:rPr>
  </w:style>
  <w:style w:type="paragraph" w:styleId="ListNumber">
    <w:name w:val="List Number"/>
    <w:basedOn w:val="List"/>
    <w:rsid w:val="00BC552E"/>
    <w:pPr>
      <w:numPr>
        <w:numId w:val="10"/>
      </w:numPr>
    </w:pPr>
  </w:style>
  <w:style w:type="character" w:customStyle="1" w:styleId="WingdingSymbols">
    <w:name w:val="Wingding Symbols"/>
    <w:rsid w:val="00BC552E"/>
    <w:rPr>
      <w:rFonts w:ascii="Wingdings" w:hAnsi="Wingdings"/>
    </w:rPr>
  </w:style>
  <w:style w:type="paragraph" w:customStyle="1" w:styleId="TableHeading">
    <w:name w:val="Table Heading"/>
    <w:basedOn w:val="HeadingBase"/>
    <w:rsid w:val="00BC552E"/>
    <w:pPr>
      <w:keepLines/>
      <w:pBdr>
        <w:bottom w:val="single" w:sz="6" w:space="1" w:color="918585"/>
      </w:pBdr>
      <w:spacing w:before="240"/>
    </w:pPr>
  </w:style>
  <w:style w:type="character" w:customStyle="1" w:styleId="HotSpot">
    <w:name w:val="HotSpot"/>
    <w:rsid w:val="00BC552E"/>
    <w:rPr>
      <w:color w:val="0033CC"/>
      <w:u w:val="none"/>
    </w:rPr>
  </w:style>
  <w:style w:type="paragraph" w:customStyle="1" w:styleId="BodyTextRight">
    <w:name w:val="Body Text Right"/>
    <w:basedOn w:val="BodyText"/>
    <w:rsid w:val="00BC552E"/>
    <w:pPr>
      <w:spacing w:before="0" w:after="0"/>
      <w:jc w:val="right"/>
    </w:pPr>
  </w:style>
  <w:style w:type="paragraph" w:styleId="Index3">
    <w:name w:val="index 3"/>
    <w:basedOn w:val="ListNumber2"/>
    <w:next w:val="Normal"/>
    <w:semiHidden/>
    <w:rsid w:val="00BC552E"/>
    <w:pPr>
      <w:numPr>
        <w:numId w:val="0"/>
      </w:numPr>
      <w:tabs>
        <w:tab w:val="right" w:leader="dot" w:pos="4176"/>
      </w:tabs>
    </w:pPr>
  </w:style>
  <w:style w:type="paragraph" w:styleId="ListNumber2">
    <w:name w:val="List Number 2"/>
    <w:basedOn w:val="List2"/>
    <w:rsid w:val="00BC552E"/>
    <w:pPr>
      <w:numPr>
        <w:numId w:val="9"/>
      </w:numPr>
      <w:tabs>
        <w:tab w:val="clear" w:pos="1060"/>
      </w:tabs>
    </w:pPr>
  </w:style>
  <w:style w:type="paragraph" w:customStyle="1" w:styleId="MarginNote">
    <w:name w:val="Margin Note"/>
    <w:basedOn w:val="BodyText"/>
    <w:rsid w:val="00BC5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5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52E"/>
    <w:rPr>
      <w:sz w:val="32"/>
    </w:rPr>
  </w:style>
  <w:style w:type="paragraph" w:customStyle="1" w:styleId="HeadingProcedure">
    <w:name w:val="Heading Procedure"/>
    <w:basedOn w:val="HeadingBase"/>
    <w:next w:val="Normal"/>
    <w:rsid w:val="00BC552E"/>
    <w:pPr>
      <w:tabs>
        <w:tab w:val="left" w:pos="0"/>
      </w:tabs>
      <w:spacing w:before="120" w:after="60"/>
    </w:pPr>
    <w:rPr>
      <w:i/>
      <w:color w:val="918585"/>
      <w:sz w:val="22"/>
    </w:rPr>
  </w:style>
  <w:style w:type="paragraph" w:customStyle="1" w:styleId="TableBodyText">
    <w:name w:val="Table Body Text"/>
    <w:basedOn w:val="BodyText"/>
    <w:rsid w:val="00BC552E"/>
    <w:pPr>
      <w:spacing w:before="60" w:after="60"/>
    </w:pPr>
  </w:style>
  <w:style w:type="paragraph" w:styleId="ListContinue">
    <w:name w:val="List Continue"/>
    <w:basedOn w:val="List"/>
    <w:rsid w:val="00BC552E"/>
    <w:pPr>
      <w:ind w:firstLine="0"/>
    </w:pPr>
  </w:style>
  <w:style w:type="paragraph" w:customStyle="1" w:styleId="ListNote">
    <w:name w:val="List Note"/>
    <w:basedOn w:val="List"/>
    <w:rsid w:val="00BC552E"/>
    <w:pPr>
      <w:pBdr>
        <w:top w:val="single" w:sz="6" w:space="2" w:color="918585"/>
        <w:bottom w:val="single" w:sz="6" w:space="2" w:color="918585"/>
      </w:pBdr>
      <w:tabs>
        <w:tab w:val="left" w:pos="1021"/>
      </w:tabs>
      <w:ind w:firstLine="0"/>
    </w:pPr>
  </w:style>
  <w:style w:type="paragraph" w:customStyle="1" w:styleId="Warning">
    <w:name w:val="Warning"/>
    <w:basedOn w:val="BodyText"/>
    <w:rsid w:val="00BC552E"/>
    <w:pPr>
      <w:shd w:val="clear" w:color="auto" w:fill="D9D9D9"/>
      <w:tabs>
        <w:tab w:val="left" w:pos="992"/>
      </w:tabs>
      <w:ind w:left="119" w:right="119"/>
    </w:pPr>
    <w:rPr>
      <w:sz w:val="20"/>
    </w:rPr>
  </w:style>
  <w:style w:type="paragraph" w:customStyle="1" w:styleId="MarginIcons">
    <w:name w:val="Margin Icons"/>
    <w:basedOn w:val="BodyText"/>
    <w:rsid w:val="00BC5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52E"/>
    <w:rPr>
      <w:rFonts w:ascii="Courier New" w:hAnsi="Courier New"/>
    </w:rPr>
  </w:style>
  <w:style w:type="paragraph" w:customStyle="1" w:styleId="NoteBullet">
    <w:name w:val="Note Bullet"/>
    <w:basedOn w:val="Note"/>
    <w:rsid w:val="00BC552E"/>
    <w:pPr>
      <w:tabs>
        <w:tab w:val="clear" w:pos="680"/>
      </w:tabs>
      <w:spacing w:before="60" w:after="60"/>
    </w:pPr>
  </w:style>
  <w:style w:type="paragraph" w:customStyle="1" w:styleId="SubHeading2">
    <w:name w:val="SubHeading2"/>
    <w:basedOn w:val="HeadingBase"/>
    <w:rsid w:val="00BC552E"/>
    <w:pPr>
      <w:spacing w:before="240" w:after="60"/>
    </w:pPr>
    <w:rPr>
      <w:sz w:val="20"/>
    </w:rPr>
  </w:style>
  <w:style w:type="paragraph" w:customStyle="1" w:styleId="SubHeading1">
    <w:name w:val="SubHeading1"/>
    <w:basedOn w:val="HeadingBase"/>
    <w:rsid w:val="00BC552E"/>
    <w:pPr>
      <w:spacing w:before="240" w:after="60"/>
    </w:pPr>
    <w:rPr>
      <w:color w:val="918585"/>
      <w:sz w:val="22"/>
    </w:rPr>
  </w:style>
  <w:style w:type="paragraph" w:customStyle="1" w:styleId="SideHeading">
    <w:name w:val="Side Heading"/>
    <w:basedOn w:val="HeadingBase"/>
    <w:rsid w:val="00BC5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52E"/>
    <w:pPr>
      <w:tabs>
        <w:tab w:val="num" w:pos="360"/>
      </w:tabs>
    </w:pPr>
  </w:style>
  <w:style w:type="paragraph" w:styleId="PlainText">
    <w:name w:val="Plain Text"/>
    <w:basedOn w:val="Normal"/>
    <w:link w:val="PlainTextChar"/>
    <w:rsid w:val="00BC552E"/>
    <w:rPr>
      <w:sz w:val="20"/>
    </w:rPr>
  </w:style>
  <w:style w:type="character" w:customStyle="1" w:styleId="PlainTextChar">
    <w:name w:val="Plain Text Char"/>
    <w:basedOn w:val="DefaultParagraphFont"/>
    <w:link w:val="PlainText"/>
    <w:rsid w:val="00BC55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552E"/>
    <w:rPr>
      <w:b/>
      <w:smallCaps/>
    </w:rPr>
  </w:style>
  <w:style w:type="paragraph" w:customStyle="1" w:styleId="TableListNumber">
    <w:name w:val="Table List Number"/>
    <w:basedOn w:val="ListNumber"/>
    <w:rsid w:val="00BC552E"/>
    <w:pPr>
      <w:numPr>
        <w:numId w:val="0"/>
      </w:numPr>
    </w:pPr>
  </w:style>
  <w:style w:type="paragraph" w:styleId="TOC4">
    <w:name w:val="toc 4"/>
    <w:basedOn w:val="TOCBase"/>
    <w:next w:val="Normal"/>
    <w:semiHidden/>
    <w:rsid w:val="00BC552E"/>
    <w:pPr>
      <w:tabs>
        <w:tab w:val="right" w:leader="dot" w:pos="9071"/>
      </w:tabs>
      <w:ind w:left="1701"/>
    </w:pPr>
  </w:style>
  <w:style w:type="paragraph" w:customStyle="1" w:styleId="ListAlpha">
    <w:name w:val="List Alpha"/>
    <w:basedOn w:val="List"/>
    <w:rsid w:val="00BC552E"/>
    <w:pPr>
      <w:numPr>
        <w:numId w:val="8"/>
      </w:numPr>
    </w:pPr>
  </w:style>
  <w:style w:type="paragraph" w:customStyle="1" w:styleId="ListAlpha2">
    <w:name w:val="List Alpha 2"/>
    <w:basedOn w:val="List2"/>
    <w:rsid w:val="00BC552E"/>
    <w:pPr>
      <w:numPr>
        <w:numId w:val="7"/>
      </w:numPr>
    </w:pPr>
  </w:style>
  <w:style w:type="paragraph" w:styleId="List3">
    <w:name w:val="List 3"/>
    <w:basedOn w:val="BodyText"/>
    <w:rsid w:val="00BC552E"/>
    <w:pPr>
      <w:tabs>
        <w:tab w:val="left" w:pos="1021"/>
      </w:tabs>
      <w:spacing w:before="60" w:after="60"/>
      <w:ind w:left="1020" w:hanging="340"/>
    </w:pPr>
  </w:style>
  <w:style w:type="paragraph" w:styleId="List4">
    <w:name w:val="List 4"/>
    <w:basedOn w:val="BodyText"/>
    <w:rsid w:val="00BC552E"/>
    <w:pPr>
      <w:tabs>
        <w:tab w:val="left" w:pos="1361"/>
      </w:tabs>
      <w:spacing w:before="60" w:after="60"/>
      <w:ind w:left="1361" w:hanging="340"/>
    </w:pPr>
  </w:style>
  <w:style w:type="paragraph" w:styleId="List5">
    <w:name w:val="List 5"/>
    <w:basedOn w:val="BodyText"/>
    <w:rsid w:val="00BC552E"/>
    <w:pPr>
      <w:tabs>
        <w:tab w:val="left" w:pos="1701"/>
      </w:tabs>
      <w:spacing w:before="60" w:after="60"/>
      <w:ind w:left="1701" w:hanging="340"/>
    </w:pPr>
  </w:style>
  <w:style w:type="paragraph" w:styleId="ListBullet3">
    <w:name w:val="List Bullet 3"/>
    <w:basedOn w:val="List3"/>
    <w:rsid w:val="00BC552E"/>
    <w:pPr>
      <w:numPr>
        <w:numId w:val="14"/>
      </w:numPr>
      <w:tabs>
        <w:tab w:val="clear" w:pos="1021"/>
      </w:tabs>
      <w:ind w:left="1037" w:hanging="357"/>
    </w:pPr>
  </w:style>
  <w:style w:type="paragraph" w:styleId="ListBullet4">
    <w:name w:val="List Bullet 4"/>
    <w:basedOn w:val="List4"/>
    <w:rsid w:val="00BC552E"/>
    <w:pPr>
      <w:numPr>
        <w:numId w:val="2"/>
      </w:numPr>
    </w:pPr>
  </w:style>
  <w:style w:type="paragraph" w:styleId="ListBullet5">
    <w:name w:val="List Bullet 5"/>
    <w:basedOn w:val="List5"/>
    <w:rsid w:val="00BC552E"/>
    <w:pPr>
      <w:numPr>
        <w:numId w:val="3"/>
      </w:numPr>
    </w:pPr>
  </w:style>
  <w:style w:type="paragraph" w:styleId="ListContinue2">
    <w:name w:val="List Continue 2"/>
    <w:basedOn w:val="List2"/>
    <w:rsid w:val="00BC552E"/>
    <w:pPr>
      <w:ind w:firstLine="0"/>
    </w:pPr>
  </w:style>
  <w:style w:type="paragraph" w:styleId="ListContinue3">
    <w:name w:val="List Continue 3"/>
    <w:basedOn w:val="List3"/>
    <w:rsid w:val="00BC552E"/>
    <w:pPr>
      <w:ind w:left="1021" w:firstLine="0"/>
    </w:pPr>
  </w:style>
  <w:style w:type="paragraph" w:styleId="ListContinue4">
    <w:name w:val="List Continue 4"/>
    <w:basedOn w:val="List4"/>
    <w:rsid w:val="00BC552E"/>
    <w:pPr>
      <w:ind w:firstLine="0"/>
    </w:pPr>
  </w:style>
  <w:style w:type="paragraph" w:styleId="ListContinue5">
    <w:name w:val="List Continue 5"/>
    <w:basedOn w:val="List5"/>
    <w:rsid w:val="00BC552E"/>
    <w:pPr>
      <w:ind w:firstLine="0"/>
    </w:pPr>
  </w:style>
  <w:style w:type="paragraph" w:styleId="ListNumber3">
    <w:name w:val="List Number 3"/>
    <w:basedOn w:val="List3"/>
    <w:rsid w:val="00BC552E"/>
    <w:pPr>
      <w:numPr>
        <w:numId w:val="4"/>
      </w:numPr>
    </w:pPr>
  </w:style>
  <w:style w:type="paragraph" w:styleId="ListNumber4">
    <w:name w:val="List Number 4"/>
    <w:basedOn w:val="List4"/>
    <w:rsid w:val="00BC552E"/>
    <w:pPr>
      <w:numPr>
        <w:numId w:val="5"/>
      </w:numPr>
    </w:pPr>
  </w:style>
  <w:style w:type="paragraph" w:styleId="ListNumber5">
    <w:name w:val="List Number 5"/>
    <w:basedOn w:val="List5"/>
    <w:rsid w:val="00BC552E"/>
    <w:pPr>
      <w:numPr>
        <w:numId w:val="6"/>
      </w:numPr>
    </w:pPr>
  </w:style>
  <w:style w:type="paragraph" w:styleId="BlockText">
    <w:name w:val="Block Text"/>
    <w:basedOn w:val="Normal"/>
    <w:rsid w:val="00BC552E"/>
    <w:pPr>
      <w:spacing w:after="120"/>
      <w:ind w:left="1440" w:right="1440"/>
    </w:pPr>
  </w:style>
  <w:style w:type="character" w:customStyle="1" w:styleId="Subscript">
    <w:name w:val="Subscript"/>
    <w:basedOn w:val="DefaultParagraphFont"/>
    <w:rsid w:val="00BC552E"/>
    <w:rPr>
      <w:sz w:val="16"/>
      <w:vertAlign w:val="subscript"/>
    </w:rPr>
  </w:style>
  <w:style w:type="character" w:customStyle="1" w:styleId="Superscript">
    <w:name w:val="Superscript"/>
    <w:basedOn w:val="DefaultParagraphFont"/>
    <w:rsid w:val="00BC552E"/>
    <w:rPr>
      <w:sz w:val="16"/>
      <w:vertAlign w:val="superscript"/>
    </w:rPr>
  </w:style>
  <w:style w:type="character" w:customStyle="1" w:styleId="Symbols">
    <w:name w:val="Symbols"/>
    <w:basedOn w:val="DefaultParagraphFont"/>
    <w:rsid w:val="00BC552E"/>
    <w:rPr>
      <w:rFonts w:ascii="Symbol" w:hAnsi="Symbol"/>
    </w:rPr>
  </w:style>
  <w:style w:type="character" w:customStyle="1" w:styleId="MenuOptions">
    <w:name w:val="Menu Options"/>
    <w:basedOn w:val="DefaultParagraphFont"/>
    <w:rsid w:val="00BC552E"/>
    <w:rPr>
      <w:rFonts w:ascii="Arial Narrow" w:hAnsi="Arial Narrow"/>
      <w:smallCaps/>
    </w:rPr>
  </w:style>
  <w:style w:type="character" w:customStyle="1" w:styleId="Buttons">
    <w:name w:val="Buttons"/>
    <w:basedOn w:val="DefaultParagraphFont"/>
    <w:rsid w:val="00BC552E"/>
    <w:rPr>
      <w:b/>
    </w:rPr>
  </w:style>
  <w:style w:type="character" w:customStyle="1" w:styleId="Underlined">
    <w:name w:val="Underlined"/>
    <w:basedOn w:val="DefaultParagraphFont"/>
    <w:rsid w:val="00BC552E"/>
    <w:rPr>
      <w:u w:val="single"/>
    </w:rPr>
  </w:style>
  <w:style w:type="paragraph" w:customStyle="1" w:styleId="TableBodyTextRight">
    <w:name w:val="Table Body Text Right"/>
    <w:basedOn w:val="TableBodyText"/>
    <w:rsid w:val="00BC552E"/>
    <w:pPr>
      <w:widowControl w:val="0"/>
      <w:autoSpaceDE w:val="0"/>
      <w:autoSpaceDN w:val="0"/>
      <w:adjustRightInd w:val="0"/>
      <w:jc w:val="right"/>
    </w:pPr>
    <w:rPr>
      <w:rFonts w:cs="Arial"/>
      <w:szCs w:val="18"/>
    </w:rPr>
  </w:style>
  <w:style w:type="paragraph" w:customStyle="1" w:styleId="CopyrightText">
    <w:name w:val="Copyright Text"/>
    <w:basedOn w:val="BodyText"/>
    <w:rsid w:val="00BC552E"/>
    <w:rPr>
      <w:sz w:val="18"/>
    </w:rPr>
  </w:style>
  <w:style w:type="paragraph" w:customStyle="1" w:styleId="BodySmallRight">
    <w:name w:val="Body Small Right"/>
    <w:basedOn w:val="BodyTextRight"/>
    <w:rsid w:val="00BC552E"/>
    <w:rPr>
      <w:sz w:val="18"/>
      <w:szCs w:val="18"/>
    </w:rPr>
  </w:style>
  <w:style w:type="paragraph" w:customStyle="1" w:styleId="MarginEdition">
    <w:name w:val="Margin Edition"/>
    <w:basedOn w:val="MarginNote"/>
    <w:rsid w:val="00BC552E"/>
    <w:pPr>
      <w:spacing w:before="0" w:after="0"/>
    </w:pPr>
    <w:rPr>
      <w:rFonts w:ascii="Times New Roman" w:hAnsi="Times New Roman"/>
      <w:color w:val="999999"/>
    </w:rPr>
  </w:style>
  <w:style w:type="paragraph" w:customStyle="1" w:styleId="Spacer">
    <w:name w:val="Spacer"/>
    <w:basedOn w:val="Normal"/>
    <w:rsid w:val="00BC552E"/>
    <w:rPr>
      <w:sz w:val="2"/>
      <w:szCs w:val="2"/>
    </w:rPr>
  </w:style>
  <w:style w:type="character" w:customStyle="1" w:styleId="Small">
    <w:name w:val="Small"/>
    <w:basedOn w:val="DefaultParagraphFont"/>
    <w:rsid w:val="00BC552E"/>
    <w:rPr>
      <w:sz w:val="16"/>
    </w:rPr>
  </w:style>
  <w:style w:type="paragraph" w:customStyle="1" w:styleId="WideTable">
    <w:name w:val="Wide Table"/>
    <w:basedOn w:val="Normal"/>
    <w:rsid w:val="00BC552E"/>
    <w:pPr>
      <w:ind w:left="-1418"/>
    </w:pPr>
    <w:rPr>
      <w:sz w:val="2"/>
      <w:szCs w:val="2"/>
    </w:rPr>
  </w:style>
  <w:style w:type="character" w:styleId="PageNumber">
    <w:name w:val="page number"/>
    <w:basedOn w:val="DefaultParagraphFont"/>
    <w:rsid w:val="00BC552E"/>
  </w:style>
  <w:style w:type="paragraph" w:styleId="Quote">
    <w:name w:val="Quote"/>
    <w:basedOn w:val="Heading1"/>
    <w:link w:val="QuoteChar"/>
    <w:qFormat/>
    <w:rsid w:val="00BC552E"/>
    <w:rPr>
      <w:b w:val="0"/>
      <w:sz w:val="72"/>
      <w:szCs w:val="72"/>
      <w:lang w:val="en-NZ"/>
    </w:rPr>
  </w:style>
  <w:style w:type="character" w:customStyle="1" w:styleId="QuoteChar">
    <w:name w:val="Quote Char"/>
    <w:basedOn w:val="DefaultParagraphFont"/>
    <w:link w:val="Quote"/>
    <w:rsid w:val="00BC5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52E"/>
    <w:pPr>
      <w:pageBreakBefore/>
    </w:pPr>
  </w:style>
  <w:style w:type="paragraph" w:customStyle="1" w:styleId="Border">
    <w:name w:val="Border"/>
    <w:basedOn w:val="Normal"/>
    <w:qFormat/>
    <w:rsid w:val="00BC5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52E"/>
    <w:rPr>
      <w:b/>
      <w:bCs/>
      <w:i/>
      <w:iCs/>
      <w:color w:val="auto"/>
    </w:rPr>
  </w:style>
  <w:style w:type="paragraph" w:styleId="IntenseQuote">
    <w:name w:val="Intense Quote"/>
    <w:basedOn w:val="Normal"/>
    <w:next w:val="Normal"/>
    <w:link w:val="IntenseQuoteChar"/>
    <w:uiPriority w:val="30"/>
    <w:qFormat/>
    <w:rsid w:val="00BC5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5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552E"/>
    <w:rPr>
      <w:smallCaps/>
      <w:color w:val="auto"/>
      <w:u w:val="single"/>
    </w:rPr>
  </w:style>
  <w:style w:type="character" w:styleId="IntenseReference">
    <w:name w:val="Intense Reference"/>
    <w:basedOn w:val="DefaultParagraphFont"/>
    <w:uiPriority w:val="32"/>
    <w:qFormat/>
    <w:rsid w:val="00BC552E"/>
    <w:rPr>
      <w:b/>
      <w:bCs/>
      <w:smallCaps/>
      <w:color w:val="auto"/>
      <w:spacing w:val="5"/>
      <w:u w:val="single"/>
    </w:rPr>
  </w:style>
  <w:style w:type="paragraph" w:customStyle="1" w:styleId="2ColumnHeading">
    <w:name w:val="2Column Heading"/>
    <w:basedOn w:val="BodyText"/>
    <w:qFormat/>
    <w:rsid w:val="00BC552E"/>
    <w:pPr>
      <w:spacing w:after="60"/>
      <w:ind w:left="-2268"/>
    </w:pPr>
    <w:rPr>
      <w:b/>
    </w:rPr>
  </w:style>
  <w:style w:type="paragraph" w:customStyle="1" w:styleId="Heading1TOC">
    <w:name w:val="Heading1 TOC"/>
    <w:basedOn w:val="Normal"/>
    <w:qFormat/>
    <w:rsid w:val="00BC552E"/>
    <w:pPr>
      <w:spacing w:before="240" w:after="120"/>
    </w:pPr>
    <w:rPr>
      <w:rFonts w:ascii="Times New Roman" w:hAnsi="Times New Roman"/>
      <w:b/>
      <w:sz w:val="32"/>
    </w:rPr>
  </w:style>
  <w:style w:type="paragraph" w:customStyle="1" w:styleId="Heading2TOC">
    <w:name w:val="Heading2 TOC"/>
    <w:basedOn w:val="Normal"/>
    <w:qFormat/>
    <w:rsid w:val="00BC552E"/>
    <w:pPr>
      <w:spacing w:before="240" w:after="60"/>
    </w:pPr>
    <w:rPr>
      <w:rFonts w:ascii="Times New Roman" w:hAnsi="Times New Roman"/>
      <w:b/>
      <w:sz w:val="28"/>
    </w:rPr>
  </w:style>
  <w:style w:type="character" w:customStyle="1" w:styleId="Underline">
    <w:name w:val="Underline"/>
    <w:basedOn w:val="DefaultParagraphFont"/>
    <w:qFormat/>
    <w:rsid w:val="00BC552E"/>
    <w:rPr>
      <w:u w:val="single"/>
    </w:rPr>
  </w:style>
  <w:style w:type="paragraph" w:styleId="BalloonText">
    <w:name w:val="Balloon Text"/>
    <w:basedOn w:val="Normal"/>
    <w:link w:val="BalloonTextChar"/>
    <w:rsid w:val="00BC552E"/>
    <w:rPr>
      <w:rFonts w:ascii="Tahoma" w:hAnsi="Tahoma" w:cs="Tahoma"/>
      <w:sz w:val="16"/>
      <w:szCs w:val="16"/>
    </w:rPr>
  </w:style>
  <w:style w:type="character" w:customStyle="1" w:styleId="BalloonTextChar">
    <w:name w:val="Balloon Text Char"/>
    <w:basedOn w:val="DefaultParagraphFont"/>
    <w:link w:val="BalloonText"/>
    <w:rsid w:val="00BC55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55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1530</Words>
  <Characters>9325</Characters>
  <Application>Microsoft Office Word</Application>
  <DocSecurity>0</DocSecurity>
  <Lines>337</Lines>
  <Paragraphs>147</Paragraphs>
  <ScaleCrop>false</ScaleCrop>
  <Company>Author-it Software Corporation Ltd.</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CUESOU11B Set up and operate stage monitor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2012-05-26T23:19:00Z</dcterms:created>
  <dcterms:modified xsi:type="dcterms:W3CDTF">2012-05-26T23:19:00Z</dcterms:modified>
</cp:coreProperties>
</file>