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EF1" w:rsidP="004E1EF1">
      <w:pPr>
        <w:pStyle w:val="Title"/>
      </w:pPr>
      <w:r>
        <w:fldChar w:fldCharType="begin"/>
      </w:r>
      <w:r>
        <w:instrText xml:space="preserve"> TITLE   \* MERGEFORMAT </w:instrText>
      </w:r>
      <w:r>
        <w:fldChar w:fldCharType="separate"/>
      </w:r>
      <w:r>
        <w:t>CUESCE05B Apply a general knowledge of scenic art</w:t>
      </w:r>
      <w:r>
        <w:fldChar w:fldCharType="end"/>
      </w:r>
    </w:p>
    <w:p w:rsidR="004E1EF1" w:rsidP="004E1EF1">
      <w:pPr>
        <w:pStyle w:val="Version"/>
        <w:sectPr w:rsidSect="003734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734C4" w:rsidP="003734C4">
      <w:pPr>
        <w:pStyle w:val="SuperHeading"/>
      </w:pPr>
      <w:r w:rsidRPr="003734C4">
        <w:t>CUESCE05B Apply a general knowledge of scenic art</w:t>
      </w:r>
    </w:p>
    <w:p w:rsidR="00000000" w:rsidRPr="003734C4" w:rsidP="003734C4">
      <w:pPr>
        <w:pStyle w:val="SuperHeading"/>
      </w:pPr>
    </w:p>
    <w:p w:rsidR="00000000" w:rsidRPr="003734C4" w:rsidP="003734C4">
      <w:pPr>
        <w:pStyle w:val="Heading1"/>
      </w:pPr>
      <w:bookmarkStart w:id="1" w:name="O_70059"/>
      <w:bookmarkEnd w:id="1"/>
      <w:r w:rsidRPr="003734C4">
        <w:t>Modification History</w:t>
      </w:r>
    </w:p>
    <w:p w:rsidR="00000000" w:rsidRPr="003734C4" w:rsidP="003734C4">
      <w:pPr>
        <w:pStyle w:val="BodyText"/>
      </w:pPr>
      <w:r w:rsidRPr="003734C4">
        <w:t>Not applicable.</w:t>
      </w:r>
    </w:p>
    <w:p w:rsidR="00000000" w:rsidRPr="003734C4" w:rsidP="003734C4">
      <w:pPr>
        <w:pStyle w:val="AllowPageBreak"/>
      </w:pPr>
    </w:p>
    <w:p w:rsidR="00000000" w:rsidRPr="003734C4" w:rsidP="003734C4">
      <w:pPr>
        <w:pStyle w:val="Heading1"/>
      </w:pPr>
      <w:bookmarkStart w:id="2" w:name="O_70060"/>
      <w:bookmarkEnd w:id="2"/>
      <w:r w:rsidRPr="003734C4">
        <w:t>Unit Descriptor</w:t>
      </w:r>
    </w:p>
    <w:tbl>
      <w:tblPr>
        <w:tblW w:w="0" w:type="auto"/>
        <w:tblLayout w:type="fixed"/>
        <w:tblCellMar>
          <w:left w:w="62" w:type="dxa"/>
          <w:right w:w="62" w:type="dxa"/>
        </w:tblCellMar>
        <w:tblLook w:val="0000"/>
      </w:tblPr>
      <w:tblGrid>
        <w:gridCol w:w="2668"/>
        <w:gridCol w:w="5854"/>
      </w:tblGrid>
      <w:tr w:rsidTr="004E1EF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This unit describes the foundation skills and knowledge required to use a range of techniques, material</w:t>
            </w:r>
            <w:r w:rsidRPr="003734C4">
              <w:t xml:space="preserve">s and equipment for the production of scenic art. </w:t>
            </w:r>
          </w:p>
          <w:p w:rsidR="00000000" w:rsidRPr="003734C4" w:rsidP="003734C4">
            <w:pPr>
              <w:pStyle w:val="BodyText"/>
            </w:pPr>
          </w:p>
          <w:p w:rsidR="00000000" w:rsidRPr="003734C4" w:rsidP="003734C4">
            <w:pPr>
              <w:pStyle w:val="BodyText"/>
            </w:pPr>
            <w:r w:rsidRPr="003734C4">
              <w:t>No licensing, legislative, regulatory or certification requirements apply to this unit at the time of endorsement.</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3" w:name="O_70061"/>
      <w:bookmarkEnd w:id="3"/>
      <w:r w:rsidRPr="003734C4">
        <w:t>Application of the Unit</w:t>
      </w:r>
    </w:p>
    <w:tbl>
      <w:tblPr>
        <w:tblW w:w="0" w:type="auto"/>
        <w:tblLayout w:type="fixed"/>
        <w:tblCellMar>
          <w:left w:w="62" w:type="dxa"/>
          <w:right w:w="62" w:type="dxa"/>
        </w:tblCellMar>
        <w:tblLook w:val="0000"/>
      </w:tblPr>
      <w:tblGrid>
        <w:gridCol w:w="2753"/>
        <w:gridCol w:w="5769"/>
      </w:tblGrid>
      <w:tr w:rsidTr="004E1EF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People assisting with creating scenic art in the screen, media and entertainment industries apply the skills and knowledge outlined in this unit. At this level their work would be closely supervised. The role includes the need for an understanding of basic</w:t>
            </w:r>
            <w:r w:rsidRPr="003734C4">
              <w:t xml:space="preserve"> techniques for producing scenic art.</w:t>
            </w:r>
          </w:p>
          <w:p w:rsidR="00000000" w:rsidRPr="003734C4" w:rsidP="003734C4">
            <w:pPr>
              <w:pStyle w:val="BodyText"/>
            </w:pPr>
          </w:p>
          <w:p w:rsidR="00000000" w:rsidRPr="003734C4" w:rsidP="003734C4">
            <w:pPr>
              <w:pStyle w:val="BodyText"/>
            </w:pPr>
            <w:r w:rsidRPr="003734C4">
              <w:t>This unit underpins all other scenic art units and also has linkages to units within the Visual Arts Craft and Design Training Package. Combined assessment and/or training with those units would be appropriate.</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4" w:name="O_70062"/>
      <w:bookmarkEnd w:id="4"/>
      <w:r w:rsidRPr="003734C4">
        <w:t>Licensing/Regulatory Information</w:t>
      </w:r>
    </w:p>
    <w:p w:rsidR="00000000" w:rsidRPr="003734C4" w:rsidP="003734C4">
      <w:pPr>
        <w:pStyle w:val="BodyText"/>
      </w:pPr>
      <w:r w:rsidRPr="003734C4">
        <w:t>Not applicable.</w:t>
      </w:r>
    </w:p>
    <w:p w:rsidR="00000000" w:rsidRPr="003734C4" w:rsidP="003734C4">
      <w:pPr>
        <w:pStyle w:val="AllowPageBreak"/>
      </w:pPr>
    </w:p>
    <w:p w:rsidR="00000000" w:rsidRPr="003734C4" w:rsidP="003734C4">
      <w:pPr>
        <w:pStyle w:val="Heading1"/>
      </w:pPr>
      <w:bookmarkStart w:id="5" w:name="O_70063"/>
      <w:bookmarkEnd w:id="5"/>
      <w:r w:rsidRPr="003734C4">
        <w:t>Pre-Requisites</w:t>
      </w:r>
    </w:p>
    <w:tbl>
      <w:tblPr>
        <w:tblW w:w="0" w:type="auto"/>
        <w:tblLayout w:type="fixed"/>
        <w:tblCellMar>
          <w:left w:w="62" w:type="dxa"/>
          <w:right w:w="62" w:type="dxa"/>
        </w:tblCellMar>
        <w:tblLook w:val="0000"/>
      </w:tblPr>
      <w:tblGrid>
        <w:gridCol w:w="2775"/>
        <w:gridCol w:w="1295"/>
        <w:gridCol w:w="4452"/>
      </w:tblGrid>
      <w:tr w:rsidTr="004E1EF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p>
        </w:tc>
      </w:tr>
      <w:tr w:rsidTr="004E1E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p>
        </w:tc>
      </w:tr>
      <w:tr w:rsidTr="004E1EF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6" w:name="O_70064"/>
      <w:bookmarkEnd w:id="6"/>
      <w:r w:rsidRPr="003734C4">
        <w:t>Employability Skills Information</w:t>
      </w:r>
    </w:p>
    <w:tbl>
      <w:tblPr>
        <w:tblW w:w="0" w:type="auto"/>
        <w:tblLayout w:type="fixed"/>
        <w:tblCellMar>
          <w:left w:w="62" w:type="dxa"/>
          <w:right w:w="62" w:type="dxa"/>
        </w:tblCellMar>
        <w:tblLook w:val="0000"/>
      </w:tblPr>
      <w:tblGrid>
        <w:gridCol w:w="2802"/>
        <w:gridCol w:w="5720"/>
      </w:tblGrid>
      <w:tr w:rsidTr="004E1EF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This unit contains employability skills.</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7" w:name="O_70065"/>
      <w:bookmarkEnd w:id="7"/>
      <w:r w:rsidRPr="003734C4">
        <w:t>Elements and Performance Criteria Pre-Content</w:t>
      </w:r>
    </w:p>
    <w:tbl>
      <w:tblPr>
        <w:tblW w:w="0" w:type="auto"/>
        <w:tblLayout w:type="fixed"/>
        <w:tblCellMar>
          <w:left w:w="62" w:type="dxa"/>
          <w:right w:w="62" w:type="dxa"/>
        </w:tblCellMar>
        <w:tblLook w:val="0000"/>
      </w:tblPr>
      <w:tblGrid>
        <w:gridCol w:w="2581"/>
        <w:gridCol w:w="5941"/>
      </w:tblGrid>
      <w:tr w:rsidTr="004E1EF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Performance criteria describe the performance needed to demonstrate achievement of the element. Where bold italicised text is used, further info</w:t>
            </w:r>
            <w:r w:rsidRPr="003734C4">
              <w:t>rmation is detailed in the required skills and knowledge section and the range statement. Assessment of performance is to be consistent with the evidence guide.</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8" w:name="O_70066"/>
      <w:bookmarkEnd w:id="8"/>
      <w:r w:rsidRPr="003734C4">
        <w:t>Elements and Performance Criteria</w:t>
      </w:r>
    </w:p>
    <w:tbl>
      <w:tblPr>
        <w:tblW w:w="0" w:type="auto"/>
        <w:tblLayout w:type="fixed"/>
        <w:tblCellMar>
          <w:left w:w="62" w:type="dxa"/>
          <w:right w:w="62" w:type="dxa"/>
        </w:tblCellMar>
        <w:tblLook w:val="0000"/>
      </w:tblPr>
      <w:tblGrid>
        <w:gridCol w:w="2581"/>
        <w:gridCol w:w="5941"/>
      </w:tblGrid>
      <w:tr w:rsidTr="004E1EF1">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PERFORMANCE CRITERIA</w:t>
            </w:r>
          </w:p>
        </w:tc>
      </w:tr>
      <w:tr w:rsidTr="004E1EF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List"/>
              <w:rPr>
                <w:lang w:val="en-NZ"/>
              </w:rPr>
            </w:pPr>
            <w:r w:rsidRPr="003734C4">
              <w:t>1.</w:t>
            </w:r>
            <w:r w:rsidRPr="003734C4">
              <w:tab/>
            </w:r>
            <w:r w:rsidRPr="003734C4">
              <w:t>Make preparations for scenic art production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 xml:space="preserve">Liaise with supervisor to determine the nature of </w:t>
            </w:r>
            <w:r w:rsidRPr="003734C4">
              <w:rPr>
                <w:rStyle w:val="BoldandItalics"/>
              </w:rPr>
              <w:t>scenic art</w:t>
            </w:r>
            <w:r w:rsidRPr="003734C4">
              <w:t xml:space="preserve"> to be created</w:t>
            </w:r>
          </w:p>
          <w:p w:rsidR="00000000" w:rsidRPr="003734C4" w:rsidP="003734C4">
            <w:pPr>
              <w:pStyle w:val="ListBullet"/>
            </w:pPr>
            <w:r w:rsidRPr="003734C4">
              <w:t xml:space="preserve">Correctly identify and select appropriate </w:t>
            </w:r>
            <w:r w:rsidRPr="003734C4">
              <w:rPr>
                <w:rStyle w:val="BoldandItalics"/>
              </w:rPr>
              <w:t>materials</w:t>
            </w:r>
            <w:r w:rsidRPr="003734C4">
              <w:t xml:space="preserve"> for scenic art production in accordance with instructions and the intended use for t</w:t>
            </w:r>
            <w:r w:rsidRPr="003734C4">
              <w:t>he piece</w:t>
            </w:r>
          </w:p>
          <w:p w:rsidR="00000000" w:rsidRPr="003734C4" w:rsidP="003734C4">
            <w:pPr>
              <w:pStyle w:val="ListBullet"/>
            </w:pPr>
            <w:r w:rsidRPr="003734C4">
              <w:t>Calculate correct quantities of materials required and minimise waste where possible</w:t>
            </w:r>
          </w:p>
          <w:p w:rsidR="00000000" w:rsidP="003734C4">
            <w:pPr>
              <w:pStyle w:val="ListBullet"/>
              <w:rPr>
                <w:lang w:val="en-NZ"/>
              </w:rPr>
            </w:pPr>
            <w:r w:rsidRPr="003734C4">
              <w:t xml:space="preserve">Select appropriate </w:t>
            </w:r>
            <w:r w:rsidRPr="003734C4">
              <w:rPr>
                <w:rStyle w:val="BoldandItalics"/>
              </w:rPr>
              <w:t>equipment</w:t>
            </w:r>
            <w:r w:rsidRPr="003734C4">
              <w:t xml:space="preserve"> and tools in accordance with materials being used and type of scenic art</w:t>
            </w:r>
          </w:p>
        </w:tc>
      </w:tr>
      <w:tr w:rsidTr="004E1EF1">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List"/>
              <w:rPr>
                <w:lang w:val="en-NZ"/>
              </w:rPr>
            </w:pPr>
            <w:r w:rsidRPr="003734C4">
              <w:t>2.</w:t>
            </w:r>
            <w:r w:rsidRPr="003734C4">
              <w:tab/>
            </w:r>
            <w:r w:rsidRPr="003734C4">
              <w:t>Complete tasks using scenic art tools, equipment and materials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Correctly and safely use techniques for the production of scenic art</w:t>
            </w:r>
          </w:p>
          <w:p w:rsidR="00000000" w:rsidRPr="003734C4" w:rsidP="003734C4">
            <w:pPr>
              <w:pStyle w:val="ListBullet"/>
            </w:pPr>
            <w:r w:rsidRPr="003734C4">
              <w:t>Complete production processes in a logical manner</w:t>
            </w:r>
          </w:p>
          <w:p w:rsidR="00000000" w:rsidRPr="003734C4" w:rsidP="003734C4">
            <w:pPr>
              <w:pStyle w:val="ListBullet"/>
            </w:pPr>
            <w:r w:rsidRPr="003734C4">
              <w:t>Follow appropriate safety procedures throughout the process in accordance</w:t>
            </w:r>
            <w:r w:rsidRPr="003734C4">
              <w:t xml:space="preserve"> with organisational and legislative requirements</w:t>
            </w:r>
          </w:p>
          <w:p w:rsidR="00000000" w:rsidRPr="003734C4" w:rsidP="003734C4">
            <w:pPr>
              <w:pStyle w:val="ListBullet"/>
            </w:pPr>
            <w:r w:rsidRPr="003734C4">
              <w:t>Work cooperatively with other team members to ensure efficiency and quality in the production process</w:t>
            </w:r>
          </w:p>
          <w:p w:rsidR="00000000" w:rsidRPr="003734C4" w:rsidP="003734C4">
            <w:pPr>
              <w:pStyle w:val="ListBullet"/>
            </w:pPr>
            <w:r w:rsidRPr="003734C4">
              <w:t>Identify any problems with processes promptly and take appropriate action within the scope of individual</w:t>
            </w:r>
            <w:r w:rsidRPr="003734C4">
              <w:t xml:space="preserve"> responsibility</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9" w:name="O_70067"/>
      <w:bookmarkEnd w:id="9"/>
      <w:r w:rsidRPr="003734C4">
        <w:t>Required Skills and Knowledge</w:t>
      </w:r>
    </w:p>
    <w:tbl>
      <w:tblPr>
        <w:tblW w:w="0" w:type="auto"/>
        <w:tblLayout w:type="fixed"/>
        <w:tblCellMar>
          <w:left w:w="62" w:type="dxa"/>
          <w:right w:w="62" w:type="dxa"/>
        </w:tblCellMar>
        <w:tblLook w:val="0000"/>
      </w:tblPr>
      <w:tblGrid>
        <w:gridCol w:w="8522"/>
      </w:tblGrid>
      <w:tr w:rsidTr="004E1EF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REQUIRED SKILLS AND KNOWLEDGE</w:t>
            </w:r>
          </w:p>
        </w:tc>
      </w:tr>
      <w:tr w:rsidTr="004E1EF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t>This section describes the skills and knowledge required for this unit.</w:t>
            </w:r>
          </w:p>
        </w:tc>
      </w:tr>
      <w:tr w:rsidTr="004E1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Required skills</w:t>
            </w:r>
          </w:p>
        </w:tc>
      </w:tr>
      <w:tr w:rsidTr="004E1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literacy skills sufficient to interpret production documentation and read product labels</w:t>
            </w:r>
          </w:p>
          <w:p w:rsidR="00000000" w:rsidP="003734C4">
            <w:pPr>
              <w:pStyle w:val="ListBullet"/>
              <w:rPr>
                <w:lang w:val="en-NZ"/>
              </w:rPr>
            </w:pPr>
            <w:r w:rsidRPr="003734C4">
              <w:t>numeracy skills sufficient to calculate quantities of materials and take basic measurements</w:t>
            </w:r>
          </w:p>
        </w:tc>
      </w:tr>
      <w:tr w:rsidTr="004E1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Required knowledge</w:t>
            </w:r>
          </w:p>
        </w:tc>
      </w:tr>
      <w:tr w:rsidTr="004E1EF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the general scope of scenic art items that may be required for different types of production</w:t>
            </w:r>
          </w:p>
          <w:p w:rsidR="00000000" w:rsidRPr="003734C4" w:rsidP="003734C4">
            <w:pPr>
              <w:pStyle w:val="ListBullet"/>
            </w:pPr>
            <w:r w:rsidRPr="003734C4">
              <w:t>general understanding of the scenic art design process and how it relates to other production aspects</w:t>
            </w:r>
          </w:p>
          <w:p w:rsidR="00000000" w:rsidRPr="003734C4" w:rsidP="003734C4">
            <w:pPr>
              <w:pStyle w:val="ListBullet"/>
            </w:pPr>
            <w:r w:rsidRPr="003734C4">
              <w:t>the role of scenic art in theatre, film, TV and other context</w:t>
            </w:r>
            <w:r w:rsidRPr="003734C4">
              <w:t>s, e.g. corporate</w:t>
            </w:r>
          </w:p>
          <w:p w:rsidR="00000000" w:rsidRPr="003734C4" w:rsidP="003734C4">
            <w:pPr>
              <w:pStyle w:val="ListBullet"/>
            </w:pPr>
            <w:r w:rsidRPr="003734C4">
              <w:t>general understanding of the range of equipment and techniques used in scenic art</w:t>
            </w:r>
          </w:p>
          <w:p w:rsidR="00000000" w:rsidRPr="003734C4" w:rsidP="003734C4">
            <w:pPr>
              <w:pStyle w:val="ListBullet"/>
            </w:pPr>
            <w:r w:rsidRPr="003734C4">
              <w:t>general knowledge of the range of materials used in scenic art, including paints and cloths and their major properties and applications</w:t>
            </w:r>
          </w:p>
          <w:p w:rsidR="00000000" w:rsidRPr="003734C4" w:rsidP="003734C4">
            <w:pPr>
              <w:pStyle w:val="ListBullet"/>
            </w:pPr>
            <w:r w:rsidRPr="003734C4">
              <w:t>overview of basic co</w:t>
            </w:r>
            <w:r w:rsidRPr="003734C4">
              <w:t>lour theory</w:t>
            </w:r>
          </w:p>
          <w:p w:rsidR="00000000" w:rsidRPr="003734C4" w:rsidP="003734C4">
            <w:pPr>
              <w:pStyle w:val="ListBullet"/>
            </w:pPr>
            <w:r w:rsidRPr="003734C4">
              <w:t>safety and environmental issues and legislation associated with the production of scenic art</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10" w:name="O_70068"/>
      <w:bookmarkEnd w:id="10"/>
      <w:r w:rsidRPr="003734C4">
        <w:t>Evidence Guide</w:t>
      </w:r>
    </w:p>
    <w:tbl>
      <w:tblPr>
        <w:tblW w:w="9570" w:type="dxa"/>
        <w:tblLayout w:type="fixed"/>
        <w:tblCellMar>
          <w:left w:w="62" w:type="dxa"/>
          <w:right w:w="62" w:type="dxa"/>
        </w:tblCellMar>
        <w:tblLook w:val="0000"/>
      </w:tblPr>
      <w:tblGrid>
        <w:gridCol w:w="3908"/>
        <w:gridCol w:w="5662"/>
      </w:tblGrid>
      <w:tr w:rsidTr="004E1EF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EVIDENCE GUIDE</w:t>
            </w:r>
          </w:p>
        </w:tc>
      </w:tr>
      <w:tr w:rsidTr="004E1EF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t>The Evidence Guide provides advice on assessment and must be read in conjunction with the performance criteria, required skills and knowledge, range statement and the Assessment Guidelines for the Training Package.</w:t>
            </w:r>
          </w:p>
        </w:tc>
      </w:tr>
      <w:tr w:rsidTr="004E1E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p>
        </w:tc>
      </w:tr>
      <w:tr w:rsidTr="004E1E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The following evidence is critical to the judgement of competence in this unit:</w:t>
            </w:r>
          </w:p>
          <w:p w:rsidR="00000000" w:rsidRPr="003734C4" w:rsidP="003734C4">
            <w:pPr>
              <w:pStyle w:val="ListBullet"/>
            </w:pPr>
            <w:r w:rsidRPr="003734C4">
              <w:t>ability to safely use scenic art techniques, materials and equipment</w:t>
            </w:r>
          </w:p>
          <w:p w:rsidR="00000000" w:rsidP="003734C4">
            <w:pPr>
              <w:pStyle w:val="ListBullet"/>
              <w:rPr>
                <w:lang w:val="en-NZ"/>
              </w:rPr>
            </w:pPr>
            <w:r w:rsidRPr="003734C4">
              <w:t xml:space="preserve">knowledge of </w:t>
            </w:r>
            <w:r w:rsidRPr="003734C4">
              <w:t>the properties and applications of different materials, tools and equipment used in scenic art production.</w:t>
            </w:r>
          </w:p>
        </w:tc>
      </w:tr>
      <w:tr w:rsidTr="004E1E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The assessment context must provide for:</w:t>
            </w:r>
          </w:p>
          <w:p w:rsidR="00000000" w:rsidP="003734C4">
            <w:pPr>
              <w:pStyle w:val="ListBullet"/>
              <w:rPr>
                <w:lang w:val="en-NZ"/>
              </w:rPr>
            </w:pPr>
            <w:r w:rsidRPr="003734C4">
              <w:t>practical demonstration of skills through the use of tech</w:t>
            </w:r>
            <w:r w:rsidRPr="003734C4">
              <w:t>niques, materials and equipment to contribute to scenic art production.</w:t>
            </w:r>
          </w:p>
        </w:tc>
      </w:tr>
      <w:tr w:rsidTr="004E1E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Assessment may incorporate a range of methods to assess performance and the application of essential underpinning knowledge, and might include:</w:t>
            </w:r>
          </w:p>
          <w:p w:rsidR="00000000" w:rsidRPr="003734C4" w:rsidP="003734C4">
            <w:pPr>
              <w:pStyle w:val="ListBullet"/>
            </w:pPr>
            <w:r w:rsidRPr="003734C4">
              <w:t>direct observatio</w:t>
            </w:r>
            <w:r w:rsidRPr="003734C4">
              <w:t>n of the candidate using particular techniques, tools and equipment</w:t>
            </w:r>
          </w:p>
          <w:p w:rsidR="00000000" w:rsidRPr="003734C4" w:rsidP="003734C4">
            <w:pPr>
              <w:pStyle w:val="ListBullet"/>
            </w:pPr>
            <w:r w:rsidRPr="003734C4">
              <w:t>review of items prepared by the candidate in terms of quality of finish/readiness for painting</w:t>
            </w:r>
          </w:p>
          <w:p w:rsidR="00000000" w:rsidRPr="003734C4" w:rsidP="003734C4">
            <w:pPr>
              <w:pStyle w:val="ListBullet"/>
            </w:pPr>
            <w:r w:rsidRPr="003734C4">
              <w:t>oral or written questioning to assess knowledge of materials and safety issues</w:t>
            </w:r>
          </w:p>
          <w:p w:rsidR="00000000" w:rsidP="003734C4">
            <w:pPr>
              <w:pStyle w:val="ListBullet"/>
              <w:rPr>
                <w:lang w:val="en-NZ"/>
              </w:rPr>
            </w:pPr>
            <w:r w:rsidRPr="003734C4">
              <w:t>review of port</w:t>
            </w:r>
            <w:r w:rsidRPr="003734C4">
              <w:t>folios of evidence and third party workplace reports of on-the-job performance by the candidate.</w:t>
            </w:r>
          </w:p>
        </w:tc>
      </w:tr>
      <w:tr w:rsidTr="004E1EF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This unit requires access to:</w:t>
            </w:r>
          </w:p>
          <w:p w:rsidR="00000000" w:rsidRPr="003734C4" w:rsidP="003734C4">
            <w:pPr>
              <w:pStyle w:val="ListBullet"/>
            </w:pPr>
            <w:r w:rsidRPr="003734C4">
              <w:t>materials, tools and equipment commonly used in scenic art production</w:t>
            </w:r>
          </w:p>
          <w:p w:rsidR="00000000" w:rsidRPr="003734C4" w:rsidP="003734C4">
            <w:pPr>
              <w:pStyle w:val="ListBullet"/>
            </w:pPr>
            <w:r w:rsidRPr="003734C4">
              <w:t>a work space in which scenic art can be produced.</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11" w:name="O_70069"/>
      <w:bookmarkEnd w:id="11"/>
      <w:r w:rsidRPr="003734C4">
        <w:t>Range Statement</w:t>
      </w:r>
    </w:p>
    <w:tbl>
      <w:tblPr>
        <w:tblW w:w="0" w:type="auto"/>
        <w:tblLayout w:type="fixed"/>
        <w:tblCellMar>
          <w:left w:w="62" w:type="dxa"/>
          <w:right w:w="62" w:type="dxa"/>
        </w:tblCellMar>
        <w:tblLook w:val="0000"/>
      </w:tblPr>
      <w:tblGrid>
        <w:gridCol w:w="3493"/>
        <w:gridCol w:w="5029"/>
      </w:tblGrid>
      <w:tr w:rsidTr="004E1EF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RANGE STATEMENT</w:t>
            </w:r>
          </w:p>
        </w:tc>
      </w:tr>
      <w:tr w:rsidTr="004E1EF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t xml:space="preserve">The range statement relates to the unit of competency as a whole. It allows for different work environments and situations that may affect </w:t>
            </w:r>
            <w:r w:rsidRPr="003734C4">
              <w:t>performance. Bold italicised wording, if used in the performance criteria, is detailed below. Essential operating conditions that may be present with training and assessment (depending on the work situation, needs of the candidate, accessibility of the ite</w:t>
            </w:r>
            <w:r w:rsidRPr="003734C4">
              <w:t>m, and local industry and regional contexts) may also be included.</w:t>
            </w:r>
          </w:p>
        </w:tc>
      </w:tr>
      <w:tr w:rsidTr="004E1EF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BoldandItalics"/>
              </w:rPr>
              <w:t>Scenic art</w:t>
            </w:r>
            <w:r w:rsidRPr="003734C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back drops</w:t>
            </w:r>
          </w:p>
          <w:p w:rsidR="00000000" w:rsidRPr="003734C4" w:rsidP="003734C4">
            <w:pPr>
              <w:pStyle w:val="ListBullet"/>
            </w:pPr>
            <w:r w:rsidRPr="003734C4">
              <w:t>construction of scenic art cloths</w:t>
            </w:r>
          </w:p>
          <w:p w:rsidR="00000000" w:rsidRPr="003734C4" w:rsidP="003734C4">
            <w:pPr>
              <w:pStyle w:val="ListBullet"/>
            </w:pPr>
            <w:r w:rsidRPr="003734C4">
              <w:t>cycloramas</w:t>
            </w:r>
          </w:p>
          <w:p w:rsidR="00000000" w:rsidRPr="003734C4" w:rsidP="003734C4">
            <w:pPr>
              <w:pStyle w:val="ListBullet"/>
            </w:pPr>
            <w:r w:rsidRPr="003734C4">
              <w:t>drops</w:t>
            </w:r>
          </w:p>
          <w:p w:rsidR="00000000" w:rsidRPr="003734C4" w:rsidP="003734C4">
            <w:pPr>
              <w:pStyle w:val="ListBullet"/>
            </w:pPr>
            <w:r w:rsidRPr="003734C4">
              <w:t>flats</w:t>
            </w:r>
          </w:p>
          <w:p w:rsidR="00000000" w:rsidRPr="003734C4" w:rsidP="003734C4">
            <w:pPr>
              <w:pStyle w:val="ListBullet"/>
            </w:pPr>
            <w:r w:rsidRPr="003734C4">
              <w:t xml:space="preserve">flooring and floor cladding </w:t>
            </w:r>
          </w:p>
          <w:p w:rsidR="00000000" w:rsidRPr="003734C4" w:rsidP="003734C4">
            <w:pPr>
              <w:pStyle w:val="ListBullet"/>
            </w:pPr>
            <w:r w:rsidRPr="003734C4">
              <w:t>flown pieces</w:t>
            </w:r>
          </w:p>
          <w:p w:rsidR="00000000" w:rsidRPr="003734C4" w:rsidP="003734C4">
            <w:pPr>
              <w:pStyle w:val="ListBullet"/>
            </w:pPr>
            <w:r w:rsidRPr="003734C4">
              <w:t>large props, e.g. furniture</w:t>
            </w:r>
          </w:p>
          <w:p w:rsidR="00000000" w:rsidRPr="003734C4" w:rsidP="003734C4">
            <w:pPr>
              <w:pStyle w:val="ListBullet"/>
            </w:pPr>
            <w:r w:rsidRPr="003734C4">
              <w:t>preparation and primi</w:t>
            </w:r>
            <w:r w:rsidRPr="003734C4">
              <w:t>ng of materials</w:t>
            </w:r>
          </w:p>
          <w:p w:rsidR="00000000" w:rsidRPr="003734C4" w:rsidP="003734C4">
            <w:pPr>
              <w:pStyle w:val="ListBullet"/>
            </w:pPr>
            <w:r w:rsidRPr="003734C4">
              <w:t>rakes</w:t>
            </w:r>
          </w:p>
          <w:p w:rsidR="00000000" w:rsidRPr="003734C4" w:rsidP="003734C4">
            <w:pPr>
              <w:pStyle w:val="ListBullet"/>
            </w:pPr>
            <w:r w:rsidRPr="003734C4">
              <w:t>rostra</w:t>
            </w:r>
          </w:p>
          <w:p w:rsidR="00000000" w:rsidRPr="003734C4" w:rsidP="003734C4">
            <w:pPr>
              <w:pStyle w:val="ListBullet"/>
            </w:pPr>
            <w:r w:rsidRPr="003734C4">
              <w:t xml:space="preserve">scaffolding </w:t>
            </w:r>
          </w:p>
          <w:p w:rsidR="00000000" w:rsidRPr="003734C4" w:rsidP="003734C4">
            <w:pPr>
              <w:pStyle w:val="ListBullet"/>
            </w:pPr>
            <w:r w:rsidRPr="003734C4">
              <w:t xml:space="preserve">soft drapes </w:t>
            </w:r>
          </w:p>
          <w:p w:rsidR="00000000" w:rsidRPr="003734C4" w:rsidP="003734C4">
            <w:pPr>
              <w:pStyle w:val="ListBullet"/>
            </w:pPr>
            <w:r w:rsidRPr="003734C4">
              <w:t>stairs</w:t>
            </w:r>
          </w:p>
          <w:p w:rsidR="00000000" w:rsidRPr="003734C4" w:rsidP="003734C4">
            <w:pPr>
              <w:pStyle w:val="ListBullet"/>
            </w:pPr>
            <w:r w:rsidRPr="003734C4">
              <w:t>treads</w:t>
            </w:r>
          </w:p>
          <w:p w:rsidR="00000000" w:rsidP="003734C4">
            <w:pPr>
              <w:pStyle w:val="ListBullet"/>
              <w:rPr>
                <w:lang w:val="en-NZ"/>
              </w:rPr>
            </w:pPr>
            <w:r w:rsidRPr="003734C4">
              <w:t>use of basic painting techniques</w:t>
            </w:r>
          </w:p>
        </w:tc>
      </w:tr>
      <w:tr w:rsidTr="004E1EF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BoldandItalics"/>
              </w:rPr>
              <w:t>Materials</w:t>
            </w:r>
            <w:r w:rsidRPr="003734C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adhesives</w:t>
            </w:r>
          </w:p>
          <w:p w:rsidR="00000000" w:rsidRPr="003734C4" w:rsidP="003734C4">
            <w:pPr>
              <w:pStyle w:val="ListBullet"/>
            </w:pPr>
            <w:r w:rsidRPr="003734C4">
              <w:t>dyes</w:t>
            </w:r>
          </w:p>
          <w:p w:rsidR="00000000" w:rsidRPr="003734C4" w:rsidP="003734C4">
            <w:pPr>
              <w:pStyle w:val="ListBullet"/>
            </w:pPr>
            <w:r w:rsidRPr="003734C4">
              <w:t>fire retardant</w:t>
            </w:r>
          </w:p>
          <w:p w:rsidR="00000000" w:rsidRPr="003734C4" w:rsidP="003734C4">
            <w:pPr>
              <w:pStyle w:val="ListBullet"/>
            </w:pPr>
            <w:r w:rsidRPr="003734C4">
              <w:t>primer</w:t>
            </w:r>
          </w:p>
          <w:p w:rsidR="00000000" w:rsidRPr="003734C4" w:rsidP="003734C4">
            <w:pPr>
              <w:pStyle w:val="ListBullet"/>
            </w:pPr>
            <w:r w:rsidRPr="003734C4">
              <w:t>solvent-based paints</w:t>
            </w:r>
          </w:p>
          <w:p w:rsidR="00000000" w:rsidRPr="003734C4" w:rsidP="003734C4">
            <w:pPr>
              <w:pStyle w:val="ListBullet"/>
            </w:pPr>
            <w:r w:rsidRPr="003734C4">
              <w:t>stains</w:t>
            </w:r>
          </w:p>
          <w:p w:rsidR="00000000" w:rsidRPr="003734C4" w:rsidP="003734C4">
            <w:pPr>
              <w:pStyle w:val="ListBullet"/>
            </w:pPr>
            <w:r w:rsidRPr="003734C4">
              <w:t>texture mediums</w:t>
            </w:r>
          </w:p>
          <w:p w:rsidR="00000000" w:rsidP="003734C4">
            <w:pPr>
              <w:pStyle w:val="ListBullet"/>
              <w:rPr>
                <w:lang w:val="en-NZ"/>
              </w:rPr>
            </w:pPr>
            <w:r w:rsidRPr="003734C4">
              <w:t>water-based paints</w:t>
            </w:r>
          </w:p>
        </w:tc>
      </w:tr>
      <w:tr w:rsidTr="004E1EF1">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BoldandItalics"/>
              </w:rPr>
              <w:t>Equipment</w:t>
            </w:r>
            <w:r w:rsidRPr="003734C4">
              <w:t xml:space="preserve"> may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ListBullet"/>
            </w:pPr>
            <w:r w:rsidRPr="003734C4">
              <w:t>brushes</w:t>
            </w:r>
          </w:p>
          <w:p w:rsidR="00000000" w:rsidRPr="003734C4" w:rsidP="003734C4">
            <w:pPr>
              <w:pStyle w:val="ListBullet"/>
            </w:pPr>
            <w:r w:rsidRPr="003734C4">
              <w:t>charcoal sticks</w:t>
            </w:r>
          </w:p>
          <w:p w:rsidR="00000000" w:rsidRPr="003734C4" w:rsidP="003734C4">
            <w:pPr>
              <w:pStyle w:val="ListBullet"/>
            </w:pPr>
            <w:r w:rsidRPr="003734C4">
              <w:t>cutting boards and tables</w:t>
            </w:r>
          </w:p>
          <w:p w:rsidR="00000000" w:rsidRPr="003734C4" w:rsidP="003734C4">
            <w:pPr>
              <w:pStyle w:val="ListBullet"/>
            </w:pPr>
            <w:r w:rsidRPr="003734C4">
              <w:t>dyeing facilities</w:t>
            </w:r>
          </w:p>
          <w:p w:rsidR="00000000" w:rsidRPr="003734C4" w:rsidP="003734C4">
            <w:pPr>
              <w:pStyle w:val="ListBullet"/>
            </w:pPr>
            <w:r w:rsidRPr="003734C4">
              <w:t>glue guns</w:t>
            </w:r>
          </w:p>
          <w:p w:rsidR="00000000" w:rsidRPr="003734C4" w:rsidP="003734C4">
            <w:pPr>
              <w:pStyle w:val="ListBullet"/>
            </w:pPr>
            <w:r w:rsidRPr="003734C4">
              <w:t>graining combs</w:t>
            </w:r>
          </w:p>
          <w:p w:rsidR="00000000" w:rsidRPr="003734C4" w:rsidP="003734C4">
            <w:pPr>
              <w:pStyle w:val="ListBullet"/>
            </w:pPr>
            <w:r w:rsidRPr="003734C4">
              <w:t>hammers</w:t>
            </w:r>
          </w:p>
          <w:p w:rsidR="00000000" w:rsidRPr="003734C4" w:rsidP="003734C4">
            <w:pPr>
              <w:pStyle w:val="ListBullet"/>
            </w:pPr>
            <w:r w:rsidRPr="003734C4">
              <w:t>hopper gun</w:t>
            </w:r>
          </w:p>
          <w:p w:rsidR="00000000" w:rsidRPr="003734C4" w:rsidP="003734C4">
            <w:pPr>
              <w:pStyle w:val="ListBullet"/>
            </w:pPr>
            <w:r w:rsidRPr="003734C4">
              <w:t>rollers</w:t>
            </w:r>
          </w:p>
          <w:p w:rsidR="00000000" w:rsidRPr="003734C4" w:rsidP="003734C4">
            <w:pPr>
              <w:pStyle w:val="ListBullet"/>
            </w:pPr>
            <w:r w:rsidRPr="003734C4">
              <w:t>scissors and cutters</w:t>
            </w:r>
          </w:p>
          <w:p w:rsidR="00000000" w:rsidRPr="003734C4" w:rsidP="003734C4">
            <w:pPr>
              <w:pStyle w:val="ListBullet"/>
            </w:pPr>
            <w:r w:rsidRPr="003734C4">
              <w:t>sponges</w:t>
            </w:r>
          </w:p>
          <w:p w:rsidR="00000000" w:rsidRPr="003734C4" w:rsidP="003734C4">
            <w:pPr>
              <w:pStyle w:val="ListBullet"/>
            </w:pPr>
            <w:r w:rsidRPr="003734C4">
              <w:t>spray guns</w:t>
            </w:r>
          </w:p>
          <w:p w:rsidR="00000000" w:rsidRPr="003734C4" w:rsidP="003734C4">
            <w:pPr>
              <w:pStyle w:val="ListBullet"/>
            </w:pPr>
            <w:r w:rsidRPr="003734C4">
              <w:t>stamps</w:t>
            </w:r>
          </w:p>
          <w:p w:rsidR="00000000" w:rsidRPr="003734C4" w:rsidP="003734C4">
            <w:pPr>
              <w:pStyle w:val="ListBullet"/>
            </w:pPr>
            <w:r w:rsidRPr="003734C4">
              <w:t>tacks</w:t>
            </w:r>
          </w:p>
          <w:p w:rsidR="00000000" w:rsidRPr="003734C4" w:rsidP="003734C4">
            <w:pPr>
              <w:pStyle w:val="ListBullet"/>
            </w:pPr>
            <w:r w:rsidRPr="003734C4">
              <w:t>tools, e.g. wire cutters, hammers, pliers</w:t>
            </w:r>
          </w:p>
        </w:tc>
      </w:tr>
    </w:tbl>
    <w:p w:rsidR="004E1EF1" w:rsidP="003734C4">
      <w:pPr>
        <w:pStyle w:val="BodyText"/>
      </w:pPr>
    </w:p>
    <w:p w:rsidR="004E1EF1" w:rsidP="003734C4">
      <w:pPr>
        <w:pStyle w:val="BodyText"/>
      </w:pPr>
    </w:p>
    <w:p w:rsidR="00000000" w:rsidRPr="003734C4" w:rsidP="003734C4">
      <w:pPr>
        <w:pStyle w:val="Heading1"/>
      </w:pPr>
      <w:bookmarkStart w:id="12" w:name="O_70070"/>
      <w:bookmarkEnd w:id="12"/>
      <w:r w:rsidRPr="003734C4">
        <w:t>Unit Sector(s)</w:t>
      </w:r>
    </w:p>
    <w:tbl>
      <w:tblPr>
        <w:tblW w:w="0" w:type="auto"/>
        <w:tblLayout w:type="fixed"/>
        <w:tblCellMar>
          <w:left w:w="62" w:type="dxa"/>
          <w:right w:w="62" w:type="dxa"/>
        </w:tblCellMar>
        <w:tblLook w:val="0000"/>
      </w:tblPr>
      <w:tblGrid>
        <w:gridCol w:w="2654"/>
        <w:gridCol w:w="5868"/>
      </w:tblGrid>
      <w:tr w:rsidTr="004E1EF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13" w:name="O_154969"/>
      <w:bookmarkEnd w:id="13"/>
      <w:r w:rsidRPr="003734C4">
        <w:t>Competency field</w:t>
      </w:r>
    </w:p>
    <w:tbl>
      <w:tblPr>
        <w:tblW w:w="0" w:type="auto"/>
        <w:tblLayout w:type="fixed"/>
        <w:tblCellMar>
          <w:left w:w="62" w:type="dxa"/>
          <w:right w:w="62" w:type="dxa"/>
        </w:tblCellMar>
        <w:tblLook w:val="0000"/>
      </w:tblPr>
      <w:tblGrid>
        <w:gridCol w:w="2778"/>
        <w:gridCol w:w="5744"/>
      </w:tblGrid>
      <w:tr w:rsidTr="004E1EF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r w:rsidRPr="003734C4">
              <w:t>Visual communication - scenic art</w:t>
            </w:r>
          </w:p>
        </w:tc>
      </w:tr>
    </w:tbl>
    <w:p w:rsidR="00000000" w:rsidRPr="003734C4" w:rsidP="003734C4">
      <w:pPr>
        <w:pStyle w:val="BodyText"/>
      </w:pPr>
    </w:p>
    <w:p w:rsidR="00000000" w:rsidRPr="003734C4" w:rsidP="003734C4">
      <w:pPr>
        <w:pStyle w:val="AllowPageBreak"/>
      </w:pPr>
    </w:p>
    <w:p w:rsidR="00000000" w:rsidRPr="003734C4" w:rsidP="003734C4">
      <w:pPr>
        <w:pStyle w:val="Heading1"/>
      </w:pPr>
      <w:bookmarkStart w:id="14" w:name="O_154968"/>
      <w:bookmarkEnd w:id="14"/>
      <w:r w:rsidRPr="003734C4">
        <w:t>Co-requisite units</w:t>
      </w:r>
    </w:p>
    <w:tbl>
      <w:tblPr>
        <w:tblW w:w="0" w:type="auto"/>
        <w:tblLayout w:type="fixed"/>
        <w:tblCellMar>
          <w:left w:w="62" w:type="dxa"/>
          <w:right w:w="62" w:type="dxa"/>
        </w:tblCellMar>
        <w:tblLook w:val="0000"/>
      </w:tblPr>
      <w:tblGrid>
        <w:gridCol w:w="2641"/>
        <w:gridCol w:w="1322"/>
        <w:gridCol w:w="4559"/>
      </w:tblGrid>
      <w:tr w:rsidTr="004E1EF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r w:rsidRPr="003734C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E1E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4C4">
            <w:pPr>
              <w:pStyle w:val="BodyText"/>
              <w:rPr>
                <w:lang w:val="en-NZ"/>
              </w:rPr>
            </w:pPr>
          </w:p>
        </w:tc>
      </w:tr>
      <w:tr w:rsidTr="004E1EF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4C4" w:rsidP="003734C4">
            <w:pPr>
              <w:pStyle w:val="BodyText"/>
            </w:pPr>
          </w:p>
        </w:tc>
      </w:tr>
    </w:tbl>
    <w:p w:rsidR="00000000" w:rsidRPr="003734C4" w:rsidP="003734C4">
      <w:pPr>
        <w:pStyle w:val="BodyText"/>
      </w:pPr>
    </w:p>
    <w:p w:rsidR="00000000" w:rsidRPr="003734C4" w:rsidP="003734C4"/>
    <w:sectPr w:rsidSect="003734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EF1" w:rsidP="004E1E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F1" w:rsidP="003734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E1EF1" w:rsidP="003734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E1EF1" w:rsidP="003734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1EF1" w:rsidP="004E1EF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4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EF1" w:rsidP="003734C4">
    <w:pPr>
      <w:pStyle w:val="Header"/>
      <w:framePr w:wrap="around"/>
    </w:pPr>
    <w:r>
      <w:fldChar w:fldCharType="begin"/>
    </w:r>
    <w:r>
      <w:instrText xml:space="preserve"> TITLE   \* MERGEFORMAT </w:instrText>
    </w:r>
    <w:r>
      <w:fldChar w:fldCharType="separate"/>
    </w:r>
    <w:r>
      <w:t>CUESCE05B Apply a general knowledge of scenic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E1EF1" w:rsidP="003734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04B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2B8C48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4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4C4"/>
    <w:pPr>
      <w:spacing w:before="360" w:after="60"/>
      <w:outlineLvl w:val="0"/>
    </w:pPr>
    <w:rPr>
      <w:sz w:val="32"/>
    </w:rPr>
  </w:style>
  <w:style w:type="paragraph" w:styleId="Heading2">
    <w:name w:val="heading 2"/>
    <w:basedOn w:val="HeadingBase"/>
    <w:next w:val="BodyText"/>
    <w:link w:val="Heading2Char"/>
    <w:qFormat/>
    <w:rsid w:val="003734C4"/>
    <w:pPr>
      <w:keepLines/>
      <w:spacing w:before="240" w:after="120"/>
      <w:outlineLvl w:val="1"/>
    </w:pPr>
    <w:rPr>
      <w:sz w:val="28"/>
      <w:szCs w:val="40"/>
    </w:rPr>
  </w:style>
  <w:style w:type="paragraph" w:styleId="Heading3">
    <w:name w:val="heading 3"/>
    <w:basedOn w:val="HeadingBase"/>
    <w:next w:val="BodyText"/>
    <w:link w:val="Heading3Char"/>
    <w:qFormat/>
    <w:rsid w:val="003734C4"/>
    <w:pPr>
      <w:spacing w:before="180" w:after="120"/>
      <w:outlineLvl w:val="2"/>
    </w:pPr>
    <w:rPr>
      <w:spacing w:val="-10"/>
      <w:kern w:val="32"/>
    </w:rPr>
  </w:style>
  <w:style w:type="paragraph" w:styleId="Heading4">
    <w:name w:val="heading 4"/>
    <w:basedOn w:val="HeadingBase"/>
    <w:next w:val="BodyText"/>
    <w:link w:val="Heading4Char"/>
    <w:qFormat/>
    <w:rsid w:val="003734C4"/>
    <w:pPr>
      <w:spacing w:before="160" w:after="120"/>
      <w:outlineLvl w:val="3"/>
    </w:pPr>
    <w:rPr>
      <w:sz w:val="22"/>
    </w:rPr>
  </w:style>
  <w:style w:type="paragraph" w:styleId="Heading5">
    <w:name w:val="heading 5"/>
    <w:basedOn w:val="HeadingBase"/>
    <w:next w:val="Normal"/>
    <w:link w:val="Heading5Char"/>
    <w:qFormat/>
    <w:rsid w:val="003734C4"/>
    <w:pPr>
      <w:spacing w:before="80"/>
      <w:outlineLvl w:val="4"/>
    </w:pPr>
    <w:rPr>
      <w:color w:val="918585"/>
      <w:sz w:val="20"/>
    </w:rPr>
  </w:style>
  <w:style w:type="paragraph" w:styleId="Heading6">
    <w:name w:val="heading 6"/>
    <w:basedOn w:val="HeadingBase"/>
    <w:next w:val="Normal"/>
    <w:link w:val="Heading6Char"/>
    <w:qFormat/>
    <w:rsid w:val="003734C4"/>
    <w:pPr>
      <w:spacing w:before="60"/>
      <w:outlineLvl w:val="5"/>
    </w:pPr>
    <w:rPr>
      <w:color w:val="918585"/>
      <w:sz w:val="20"/>
    </w:rPr>
  </w:style>
  <w:style w:type="paragraph" w:styleId="Heading7">
    <w:name w:val="heading 7"/>
    <w:basedOn w:val="Normal"/>
    <w:next w:val="Normal"/>
    <w:link w:val="Heading7Char"/>
    <w:qFormat/>
    <w:rsid w:val="003734C4"/>
    <w:pPr>
      <w:ind w:left="720"/>
      <w:outlineLvl w:val="6"/>
    </w:pPr>
    <w:rPr>
      <w:i/>
    </w:rPr>
  </w:style>
  <w:style w:type="paragraph" w:styleId="Heading8">
    <w:name w:val="heading 8"/>
    <w:basedOn w:val="Normal"/>
    <w:next w:val="Normal"/>
    <w:link w:val="Heading8Char"/>
    <w:qFormat/>
    <w:rsid w:val="003734C4"/>
    <w:pPr>
      <w:ind w:left="720"/>
      <w:outlineLvl w:val="7"/>
    </w:pPr>
    <w:rPr>
      <w:i/>
    </w:rPr>
  </w:style>
  <w:style w:type="paragraph" w:styleId="Heading9">
    <w:name w:val="heading 9"/>
    <w:basedOn w:val="Normal"/>
    <w:next w:val="Normal"/>
    <w:link w:val="Heading9Char"/>
    <w:qFormat/>
    <w:rsid w:val="003734C4"/>
    <w:pPr>
      <w:ind w:left="720"/>
      <w:outlineLvl w:val="8"/>
    </w:pPr>
    <w:rPr>
      <w:i/>
    </w:rPr>
  </w:style>
  <w:style w:type="character" w:default="1" w:styleId="DefaultParagraphFont">
    <w:name w:val="Default Paragraph Font"/>
    <w:uiPriority w:val="1"/>
    <w:unhideWhenUsed/>
    <w:rsid w:val="003734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4C4"/>
  </w:style>
  <w:style w:type="character" w:customStyle="1" w:styleId="Heading1Char">
    <w:name w:val="Heading 1 Char"/>
    <w:basedOn w:val="DefaultParagraphFont"/>
    <w:link w:val="Heading1"/>
    <w:rsid w:val="003734C4"/>
    <w:rPr>
      <w:rFonts w:ascii="Times New Roman" w:eastAsia="Times New Roman" w:hAnsi="Times New Roman" w:cs="Times New Roman"/>
      <w:b/>
      <w:sz w:val="32"/>
      <w:szCs w:val="20"/>
      <w:lang w:eastAsia="en-US"/>
    </w:rPr>
  </w:style>
  <w:style w:type="paragraph" w:styleId="BodyText">
    <w:name w:val="Body Text"/>
    <w:basedOn w:val="Normal"/>
    <w:link w:val="BodyTextChar"/>
    <w:rsid w:val="003734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4C4"/>
    <w:rPr>
      <w:rFonts w:ascii="Times New Roman" w:eastAsia="Times New Roman" w:hAnsi="Times New Roman" w:cs="Times New Roman"/>
      <w:sz w:val="24"/>
      <w:lang w:val="en-US" w:eastAsia="en-US"/>
    </w:rPr>
  </w:style>
  <w:style w:type="paragraph" w:styleId="Footer">
    <w:name w:val="footer"/>
    <w:basedOn w:val="Normal"/>
    <w:link w:val="FooterChar"/>
    <w:rsid w:val="003734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4C4"/>
    <w:rPr>
      <w:rFonts w:ascii="Times New Roman" w:eastAsia="Times New Roman" w:hAnsi="Times New Roman" w:cs="Times New Roman"/>
      <w:sz w:val="16"/>
      <w:lang w:val="en-US" w:eastAsia="en-US"/>
    </w:rPr>
  </w:style>
  <w:style w:type="paragraph" w:styleId="List">
    <w:name w:val="List"/>
    <w:basedOn w:val="BodyText"/>
    <w:next w:val="BodyText"/>
    <w:rsid w:val="003734C4"/>
    <w:pPr>
      <w:tabs>
        <w:tab w:val="left" w:pos="340"/>
      </w:tabs>
      <w:spacing w:before="60" w:after="60"/>
      <w:ind w:left="340" w:hanging="340"/>
    </w:pPr>
  </w:style>
  <w:style w:type="paragraph" w:styleId="ListBullet">
    <w:name w:val="List Bullet"/>
    <w:basedOn w:val="List"/>
    <w:rsid w:val="003734C4"/>
    <w:pPr>
      <w:numPr>
        <w:numId w:val="12"/>
      </w:numPr>
      <w:tabs>
        <w:tab w:val="clear" w:pos="340"/>
      </w:tabs>
      <w:spacing w:before="40" w:after="40"/>
    </w:pPr>
  </w:style>
  <w:style w:type="character" w:customStyle="1" w:styleId="SpecialBold">
    <w:name w:val="Special Bold"/>
    <w:basedOn w:val="DefaultParagraphFont"/>
    <w:rsid w:val="003734C4"/>
    <w:rPr>
      <w:b/>
      <w:spacing w:val="0"/>
    </w:rPr>
  </w:style>
  <w:style w:type="paragraph" w:styleId="Header">
    <w:name w:val="header"/>
    <w:basedOn w:val="Normal"/>
    <w:link w:val="HeaderChar"/>
    <w:rsid w:val="003734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4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4C4"/>
    <w:pPr>
      <w:spacing w:before="240" w:after="120"/>
      <w:outlineLvl w:val="0"/>
    </w:pPr>
    <w:rPr>
      <w:rFonts w:ascii="Times New Roman" w:hAnsi="Times New Roman"/>
      <w:b/>
      <w:sz w:val="28"/>
    </w:rPr>
  </w:style>
  <w:style w:type="paragraph" w:customStyle="1" w:styleId="AllowPageBreak">
    <w:name w:val="AllowPageBreak"/>
    <w:rsid w:val="003734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734C4"/>
    <w:rPr>
      <w:b/>
      <w:i/>
      <w:u w:val="none"/>
    </w:rPr>
  </w:style>
  <w:style w:type="character" w:customStyle="1" w:styleId="Heading2Char">
    <w:name w:val="Heading 2 Char"/>
    <w:basedOn w:val="DefaultParagraphFont"/>
    <w:link w:val="Heading2"/>
    <w:rsid w:val="003734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4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4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4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4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4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4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4C4"/>
    <w:rPr>
      <w:rFonts w:ascii="Courier New" w:eastAsia="Times New Roman" w:hAnsi="Courier New" w:cs="Times New Roman"/>
      <w:i/>
      <w:szCs w:val="20"/>
      <w:lang w:val="en-US" w:eastAsia="en-US"/>
    </w:rPr>
  </w:style>
  <w:style w:type="paragraph" w:customStyle="1" w:styleId="HeadingBase">
    <w:name w:val="Heading Base"/>
    <w:rsid w:val="003734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4C4"/>
    <w:pPr>
      <w:tabs>
        <w:tab w:val="right" w:leader="dot" w:pos="9072"/>
      </w:tabs>
      <w:ind w:left="567"/>
    </w:pPr>
    <w:rPr>
      <w:szCs w:val="22"/>
    </w:rPr>
  </w:style>
  <w:style w:type="paragraph" w:customStyle="1" w:styleId="TOCBase">
    <w:name w:val="TOC Base"/>
    <w:rsid w:val="003734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4C4"/>
    <w:pPr>
      <w:tabs>
        <w:tab w:val="right" w:leader="dot" w:pos="9072"/>
      </w:tabs>
      <w:spacing w:before="40" w:after="40"/>
      <w:ind w:left="284"/>
    </w:pPr>
    <w:rPr>
      <w:rFonts w:ascii="Times New Roman" w:hAnsi="Times New Roman"/>
    </w:rPr>
  </w:style>
  <w:style w:type="paragraph" w:styleId="TOC1">
    <w:name w:val="toc 1"/>
    <w:basedOn w:val="TOCBase"/>
    <w:next w:val="Normal"/>
    <w:rsid w:val="003734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4C4"/>
    <w:pPr>
      <w:spacing w:before="5040"/>
      <w:jc w:val="center"/>
    </w:pPr>
    <w:rPr>
      <w:sz w:val="48"/>
      <w:szCs w:val="72"/>
      <w:lang w:val="en-US"/>
    </w:rPr>
  </w:style>
  <w:style w:type="character" w:customStyle="1" w:styleId="TitleChar">
    <w:name w:val="Title Char"/>
    <w:basedOn w:val="DefaultParagraphFont"/>
    <w:link w:val="Title"/>
    <w:rsid w:val="003734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4C4"/>
    <w:pPr>
      <w:tabs>
        <w:tab w:val="left" w:pos="3600"/>
        <w:tab w:val="left" w:pos="3958"/>
      </w:tabs>
    </w:pPr>
  </w:style>
  <w:style w:type="paragraph" w:customStyle="1" w:styleId="Note">
    <w:name w:val="Note"/>
    <w:basedOn w:val="BodyText"/>
    <w:rsid w:val="003734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4C4"/>
    <w:pPr>
      <w:framePr w:wrap="auto" w:hAnchor="text" w:y="6049"/>
    </w:pPr>
    <w:rPr>
      <w:color w:val="000000"/>
      <w:sz w:val="40"/>
    </w:rPr>
  </w:style>
  <w:style w:type="paragraph" w:customStyle="1" w:styleId="TOCTitle">
    <w:name w:val="TOCTitle"/>
    <w:basedOn w:val="Heading1"/>
    <w:rsid w:val="003734C4"/>
    <w:pPr>
      <w:spacing w:after="240"/>
      <w:jc w:val="center"/>
      <w:outlineLvl w:val="9"/>
    </w:pPr>
    <w:rPr>
      <w:caps/>
    </w:rPr>
  </w:style>
  <w:style w:type="paragraph" w:customStyle="1" w:styleId="Version">
    <w:name w:val="Version"/>
    <w:rsid w:val="003734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34C4"/>
    <w:pPr>
      <w:numPr>
        <w:numId w:val="13"/>
      </w:numPr>
      <w:tabs>
        <w:tab w:val="clear" w:pos="680"/>
      </w:tabs>
    </w:pPr>
  </w:style>
  <w:style w:type="paragraph" w:styleId="Index1">
    <w:name w:val="index 1"/>
    <w:basedOn w:val="Normal"/>
    <w:next w:val="Normal"/>
    <w:semiHidden/>
    <w:rsid w:val="003734C4"/>
    <w:pPr>
      <w:keepNext w:val="0"/>
      <w:tabs>
        <w:tab w:val="right" w:pos="4176"/>
      </w:tabs>
      <w:ind w:left="198" w:hanging="198"/>
    </w:pPr>
    <w:rPr>
      <w:rFonts w:ascii="Garamond" w:hAnsi="Garamond"/>
    </w:rPr>
  </w:style>
  <w:style w:type="paragraph" w:styleId="IndexHeading">
    <w:name w:val="index heading"/>
    <w:basedOn w:val="Normal"/>
    <w:next w:val="Index1"/>
    <w:semiHidden/>
    <w:rsid w:val="003734C4"/>
    <w:pPr>
      <w:spacing w:before="120" w:after="120"/>
    </w:pPr>
    <w:rPr>
      <w:rFonts w:ascii="Arial" w:hAnsi="Arial"/>
      <w:b/>
      <w:color w:val="918585"/>
      <w:sz w:val="24"/>
    </w:rPr>
  </w:style>
  <w:style w:type="paragraph" w:customStyle="1" w:styleId="Chapter">
    <w:name w:val="Chapter"/>
    <w:basedOn w:val="Normal"/>
    <w:rsid w:val="003734C4"/>
    <w:pPr>
      <w:spacing w:before="240"/>
    </w:pPr>
    <w:rPr>
      <w:rFonts w:ascii="Times New Roman" w:hAnsi="Times New Roman"/>
      <w:smallCaps/>
      <w:spacing w:val="80"/>
      <w:sz w:val="28"/>
    </w:rPr>
  </w:style>
  <w:style w:type="paragraph" w:customStyle="1" w:styleId="InChapter">
    <w:name w:val="InChapter"/>
    <w:basedOn w:val="Heading3"/>
    <w:rsid w:val="003734C4"/>
    <w:pPr>
      <w:spacing w:after="240"/>
      <w:outlineLvl w:val="9"/>
    </w:pPr>
    <w:rPr>
      <w:noProof/>
    </w:rPr>
  </w:style>
  <w:style w:type="paragraph" w:styleId="Index2">
    <w:name w:val="index 2"/>
    <w:basedOn w:val="Normal"/>
    <w:next w:val="Normal"/>
    <w:semiHidden/>
    <w:rsid w:val="003734C4"/>
    <w:pPr>
      <w:tabs>
        <w:tab w:val="right" w:pos="4176"/>
      </w:tabs>
      <w:ind w:left="568" w:hanging="284"/>
    </w:pPr>
    <w:rPr>
      <w:rFonts w:ascii="Garamond" w:hAnsi="Garamond"/>
    </w:rPr>
  </w:style>
  <w:style w:type="paragraph" w:customStyle="1" w:styleId="Byline">
    <w:name w:val="Byline"/>
    <w:rsid w:val="003734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4C4"/>
    <w:pPr>
      <w:tabs>
        <w:tab w:val="clear" w:pos="3600"/>
        <w:tab w:val="clear" w:pos="3958"/>
      </w:tabs>
      <w:jc w:val="right"/>
    </w:pPr>
  </w:style>
  <w:style w:type="character" w:styleId="Emphasis">
    <w:name w:val="Emphasis"/>
    <w:basedOn w:val="DefaultParagraphFont"/>
    <w:qFormat/>
    <w:rsid w:val="003734C4"/>
    <w:rPr>
      <w:i/>
    </w:rPr>
  </w:style>
  <w:style w:type="paragraph" w:styleId="Caption">
    <w:name w:val="caption"/>
    <w:basedOn w:val="BodyText"/>
    <w:next w:val="Normal"/>
    <w:qFormat/>
    <w:rsid w:val="003734C4"/>
    <w:pPr>
      <w:framePr w:w="2268" w:hSpace="181" w:vSpace="181" w:wrap="around" w:vAnchor="text" w:hAnchor="page" w:x="1135" w:y="285" w:anchorLock="1"/>
    </w:pPr>
    <w:rPr>
      <w:i/>
    </w:rPr>
  </w:style>
  <w:style w:type="paragraph" w:customStyle="1" w:styleId="MiniTOCTitle">
    <w:name w:val="MiniTOCTitle"/>
    <w:basedOn w:val="Heading4"/>
    <w:rsid w:val="003734C4"/>
    <w:pPr>
      <w:spacing w:before="240"/>
      <w:outlineLvl w:val="9"/>
    </w:pPr>
    <w:rPr>
      <w:noProof/>
      <w:sz w:val="24"/>
    </w:rPr>
  </w:style>
  <w:style w:type="paragraph" w:customStyle="1" w:styleId="MiniTOCItem">
    <w:name w:val="MiniTOCItem"/>
    <w:basedOn w:val="ListBullet"/>
    <w:rsid w:val="003734C4"/>
    <w:pPr>
      <w:numPr>
        <w:numId w:val="0"/>
      </w:numPr>
      <w:tabs>
        <w:tab w:val="right" w:leader="dot" w:pos="6521"/>
      </w:tabs>
      <w:spacing w:before="0" w:after="0"/>
    </w:pPr>
  </w:style>
  <w:style w:type="paragraph" w:customStyle="1" w:styleId="TOFTitle">
    <w:name w:val="TOFTitle"/>
    <w:basedOn w:val="TOCTitle"/>
    <w:rsid w:val="003734C4"/>
  </w:style>
  <w:style w:type="paragraph" w:styleId="TableofFigures">
    <w:name w:val="table of figures"/>
    <w:basedOn w:val="Normal"/>
    <w:next w:val="Normal"/>
    <w:semiHidden/>
    <w:rsid w:val="003734C4"/>
    <w:pPr>
      <w:tabs>
        <w:tab w:val="right" w:leader="dot" w:pos="9072"/>
      </w:tabs>
      <w:ind w:left="970" w:hanging="403"/>
    </w:pPr>
    <w:rPr>
      <w:rFonts w:ascii="Times New Roman" w:hAnsi="Times New Roman"/>
      <w:b/>
    </w:rPr>
  </w:style>
  <w:style w:type="paragraph" w:styleId="ListNumber">
    <w:name w:val="List Number"/>
    <w:basedOn w:val="List"/>
    <w:rsid w:val="003734C4"/>
    <w:pPr>
      <w:numPr>
        <w:numId w:val="10"/>
      </w:numPr>
    </w:pPr>
  </w:style>
  <w:style w:type="character" w:customStyle="1" w:styleId="WingdingSymbols">
    <w:name w:val="Wingding Symbols"/>
    <w:rsid w:val="003734C4"/>
    <w:rPr>
      <w:rFonts w:ascii="Wingdings" w:hAnsi="Wingdings"/>
    </w:rPr>
  </w:style>
  <w:style w:type="paragraph" w:customStyle="1" w:styleId="TableHeading">
    <w:name w:val="Table Heading"/>
    <w:basedOn w:val="HeadingBase"/>
    <w:rsid w:val="003734C4"/>
    <w:pPr>
      <w:keepLines/>
      <w:pBdr>
        <w:bottom w:val="single" w:sz="6" w:space="1" w:color="918585"/>
      </w:pBdr>
      <w:spacing w:before="240"/>
    </w:pPr>
  </w:style>
  <w:style w:type="character" w:customStyle="1" w:styleId="HotSpot">
    <w:name w:val="HotSpot"/>
    <w:rsid w:val="003734C4"/>
    <w:rPr>
      <w:color w:val="0033CC"/>
      <w:u w:val="none"/>
    </w:rPr>
  </w:style>
  <w:style w:type="paragraph" w:customStyle="1" w:styleId="BodyTextRight">
    <w:name w:val="Body Text Right"/>
    <w:basedOn w:val="BodyText"/>
    <w:rsid w:val="003734C4"/>
    <w:pPr>
      <w:spacing w:before="0" w:after="0"/>
      <w:jc w:val="right"/>
    </w:pPr>
  </w:style>
  <w:style w:type="paragraph" w:styleId="Index3">
    <w:name w:val="index 3"/>
    <w:basedOn w:val="ListNumber2"/>
    <w:next w:val="Normal"/>
    <w:semiHidden/>
    <w:rsid w:val="003734C4"/>
    <w:pPr>
      <w:numPr>
        <w:numId w:val="0"/>
      </w:numPr>
      <w:tabs>
        <w:tab w:val="right" w:leader="dot" w:pos="4176"/>
      </w:tabs>
    </w:pPr>
  </w:style>
  <w:style w:type="paragraph" w:styleId="ListNumber2">
    <w:name w:val="List Number 2"/>
    <w:basedOn w:val="List2"/>
    <w:rsid w:val="003734C4"/>
    <w:pPr>
      <w:numPr>
        <w:numId w:val="9"/>
      </w:numPr>
      <w:tabs>
        <w:tab w:val="clear" w:pos="1060"/>
      </w:tabs>
    </w:pPr>
  </w:style>
  <w:style w:type="paragraph" w:customStyle="1" w:styleId="MarginNote">
    <w:name w:val="Margin Note"/>
    <w:basedOn w:val="BodyText"/>
    <w:rsid w:val="003734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4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4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4C4"/>
    <w:rPr>
      <w:sz w:val="32"/>
    </w:rPr>
  </w:style>
  <w:style w:type="paragraph" w:customStyle="1" w:styleId="HeadingProcedure">
    <w:name w:val="Heading Procedure"/>
    <w:basedOn w:val="HeadingBase"/>
    <w:next w:val="Normal"/>
    <w:rsid w:val="003734C4"/>
    <w:pPr>
      <w:tabs>
        <w:tab w:val="left" w:pos="0"/>
      </w:tabs>
      <w:spacing w:before="120" w:after="60"/>
    </w:pPr>
    <w:rPr>
      <w:i/>
      <w:color w:val="918585"/>
      <w:sz w:val="22"/>
    </w:rPr>
  </w:style>
  <w:style w:type="paragraph" w:customStyle="1" w:styleId="TableBodyText">
    <w:name w:val="Table Body Text"/>
    <w:basedOn w:val="BodyText"/>
    <w:rsid w:val="003734C4"/>
    <w:pPr>
      <w:spacing w:before="60" w:after="60"/>
    </w:pPr>
  </w:style>
  <w:style w:type="paragraph" w:styleId="ListContinue">
    <w:name w:val="List Continue"/>
    <w:basedOn w:val="List"/>
    <w:rsid w:val="003734C4"/>
    <w:pPr>
      <w:ind w:firstLine="0"/>
    </w:pPr>
  </w:style>
  <w:style w:type="paragraph" w:customStyle="1" w:styleId="ListNote">
    <w:name w:val="List Note"/>
    <w:basedOn w:val="List"/>
    <w:rsid w:val="003734C4"/>
    <w:pPr>
      <w:pBdr>
        <w:top w:val="single" w:sz="6" w:space="2" w:color="918585"/>
        <w:bottom w:val="single" w:sz="6" w:space="2" w:color="918585"/>
      </w:pBdr>
      <w:tabs>
        <w:tab w:val="left" w:pos="1021"/>
      </w:tabs>
      <w:ind w:firstLine="0"/>
    </w:pPr>
  </w:style>
  <w:style w:type="paragraph" w:customStyle="1" w:styleId="Warning">
    <w:name w:val="Warning"/>
    <w:basedOn w:val="BodyText"/>
    <w:rsid w:val="003734C4"/>
    <w:pPr>
      <w:shd w:val="clear" w:color="auto" w:fill="D9D9D9"/>
      <w:tabs>
        <w:tab w:val="left" w:pos="992"/>
      </w:tabs>
      <w:ind w:left="119" w:right="119"/>
    </w:pPr>
    <w:rPr>
      <w:sz w:val="20"/>
    </w:rPr>
  </w:style>
  <w:style w:type="paragraph" w:customStyle="1" w:styleId="MarginIcons">
    <w:name w:val="Margin Icons"/>
    <w:basedOn w:val="BodyText"/>
    <w:rsid w:val="003734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4C4"/>
    <w:rPr>
      <w:rFonts w:ascii="Courier New" w:hAnsi="Courier New"/>
    </w:rPr>
  </w:style>
  <w:style w:type="paragraph" w:customStyle="1" w:styleId="NoteBullet">
    <w:name w:val="Note Bullet"/>
    <w:basedOn w:val="Note"/>
    <w:rsid w:val="003734C4"/>
    <w:pPr>
      <w:tabs>
        <w:tab w:val="clear" w:pos="680"/>
      </w:tabs>
      <w:spacing w:before="60" w:after="60"/>
    </w:pPr>
  </w:style>
  <w:style w:type="paragraph" w:customStyle="1" w:styleId="SubHeading2">
    <w:name w:val="SubHeading2"/>
    <w:basedOn w:val="HeadingBase"/>
    <w:rsid w:val="003734C4"/>
    <w:pPr>
      <w:spacing w:before="240" w:after="60"/>
    </w:pPr>
    <w:rPr>
      <w:sz w:val="20"/>
    </w:rPr>
  </w:style>
  <w:style w:type="paragraph" w:customStyle="1" w:styleId="SubHeading1">
    <w:name w:val="SubHeading1"/>
    <w:basedOn w:val="HeadingBase"/>
    <w:rsid w:val="003734C4"/>
    <w:pPr>
      <w:spacing w:before="240" w:after="60"/>
    </w:pPr>
    <w:rPr>
      <w:color w:val="918585"/>
      <w:sz w:val="22"/>
    </w:rPr>
  </w:style>
  <w:style w:type="paragraph" w:customStyle="1" w:styleId="SideHeading">
    <w:name w:val="Side Heading"/>
    <w:basedOn w:val="HeadingBase"/>
    <w:rsid w:val="003734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4C4"/>
    <w:pPr>
      <w:tabs>
        <w:tab w:val="num" w:pos="360"/>
      </w:tabs>
    </w:pPr>
  </w:style>
  <w:style w:type="paragraph" w:styleId="PlainText">
    <w:name w:val="Plain Text"/>
    <w:basedOn w:val="Normal"/>
    <w:link w:val="PlainTextChar"/>
    <w:rsid w:val="003734C4"/>
    <w:rPr>
      <w:sz w:val="20"/>
    </w:rPr>
  </w:style>
  <w:style w:type="character" w:customStyle="1" w:styleId="PlainTextChar">
    <w:name w:val="Plain Text Char"/>
    <w:basedOn w:val="DefaultParagraphFont"/>
    <w:link w:val="PlainText"/>
    <w:rsid w:val="003734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4C4"/>
    <w:rPr>
      <w:b/>
      <w:smallCaps/>
    </w:rPr>
  </w:style>
  <w:style w:type="paragraph" w:customStyle="1" w:styleId="TableListNumber">
    <w:name w:val="Table List Number"/>
    <w:basedOn w:val="ListNumber"/>
    <w:rsid w:val="003734C4"/>
    <w:pPr>
      <w:numPr>
        <w:numId w:val="0"/>
      </w:numPr>
    </w:pPr>
  </w:style>
  <w:style w:type="paragraph" w:styleId="TOC4">
    <w:name w:val="toc 4"/>
    <w:basedOn w:val="TOCBase"/>
    <w:next w:val="Normal"/>
    <w:semiHidden/>
    <w:rsid w:val="003734C4"/>
    <w:pPr>
      <w:tabs>
        <w:tab w:val="right" w:leader="dot" w:pos="9071"/>
      </w:tabs>
      <w:ind w:left="1701"/>
    </w:pPr>
  </w:style>
  <w:style w:type="paragraph" w:customStyle="1" w:styleId="ListAlpha">
    <w:name w:val="List Alpha"/>
    <w:basedOn w:val="List"/>
    <w:rsid w:val="003734C4"/>
    <w:pPr>
      <w:numPr>
        <w:numId w:val="8"/>
      </w:numPr>
    </w:pPr>
  </w:style>
  <w:style w:type="paragraph" w:customStyle="1" w:styleId="ListAlpha2">
    <w:name w:val="List Alpha 2"/>
    <w:basedOn w:val="List2"/>
    <w:rsid w:val="003734C4"/>
    <w:pPr>
      <w:numPr>
        <w:numId w:val="7"/>
      </w:numPr>
    </w:pPr>
  </w:style>
  <w:style w:type="paragraph" w:styleId="List2">
    <w:name w:val="List 2"/>
    <w:basedOn w:val="BodyText"/>
    <w:rsid w:val="003734C4"/>
    <w:pPr>
      <w:tabs>
        <w:tab w:val="left" w:pos="680"/>
      </w:tabs>
      <w:spacing w:before="60" w:after="60"/>
      <w:ind w:left="680" w:hanging="340"/>
    </w:pPr>
  </w:style>
  <w:style w:type="paragraph" w:styleId="List3">
    <w:name w:val="List 3"/>
    <w:basedOn w:val="BodyText"/>
    <w:rsid w:val="003734C4"/>
    <w:pPr>
      <w:tabs>
        <w:tab w:val="left" w:pos="1021"/>
      </w:tabs>
      <w:spacing w:before="60" w:after="60"/>
      <w:ind w:left="1020" w:hanging="340"/>
    </w:pPr>
  </w:style>
  <w:style w:type="paragraph" w:styleId="List4">
    <w:name w:val="List 4"/>
    <w:basedOn w:val="BodyText"/>
    <w:rsid w:val="003734C4"/>
    <w:pPr>
      <w:tabs>
        <w:tab w:val="left" w:pos="1361"/>
      </w:tabs>
      <w:spacing w:before="60" w:after="60"/>
      <w:ind w:left="1361" w:hanging="340"/>
    </w:pPr>
  </w:style>
  <w:style w:type="paragraph" w:styleId="List5">
    <w:name w:val="List 5"/>
    <w:basedOn w:val="BodyText"/>
    <w:rsid w:val="003734C4"/>
    <w:pPr>
      <w:tabs>
        <w:tab w:val="left" w:pos="1701"/>
      </w:tabs>
      <w:spacing w:before="60" w:after="60"/>
      <w:ind w:left="1701" w:hanging="340"/>
    </w:pPr>
  </w:style>
  <w:style w:type="paragraph" w:styleId="ListBullet3">
    <w:name w:val="List Bullet 3"/>
    <w:basedOn w:val="List3"/>
    <w:rsid w:val="003734C4"/>
    <w:pPr>
      <w:numPr>
        <w:numId w:val="14"/>
      </w:numPr>
      <w:tabs>
        <w:tab w:val="clear" w:pos="1021"/>
      </w:tabs>
      <w:ind w:left="1037" w:hanging="357"/>
    </w:pPr>
  </w:style>
  <w:style w:type="paragraph" w:styleId="ListBullet4">
    <w:name w:val="List Bullet 4"/>
    <w:basedOn w:val="List4"/>
    <w:rsid w:val="003734C4"/>
    <w:pPr>
      <w:numPr>
        <w:numId w:val="2"/>
      </w:numPr>
    </w:pPr>
  </w:style>
  <w:style w:type="paragraph" w:styleId="ListBullet5">
    <w:name w:val="List Bullet 5"/>
    <w:basedOn w:val="List5"/>
    <w:rsid w:val="003734C4"/>
    <w:pPr>
      <w:numPr>
        <w:numId w:val="3"/>
      </w:numPr>
    </w:pPr>
  </w:style>
  <w:style w:type="paragraph" w:styleId="ListContinue2">
    <w:name w:val="List Continue 2"/>
    <w:basedOn w:val="List2"/>
    <w:rsid w:val="003734C4"/>
    <w:pPr>
      <w:ind w:firstLine="0"/>
    </w:pPr>
  </w:style>
  <w:style w:type="paragraph" w:styleId="ListContinue3">
    <w:name w:val="List Continue 3"/>
    <w:basedOn w:val="List3"/>
    <w:rsid w:val="003734C4"/>
    <w:pPr>
      <w:ind w:left="1021" w:firstLine="0"/>
    </w:pPr>
  </w:style>
  <w:style w:type="paragraph" w:styleId="ListContinue4">
    <w:name w:val="List Continue 4"/>
    <w:basedOn w:val="List4"/>
    <w:rsid w:val="003734C4"/>
    <w:pPr>
      <w:ind w:firstLine="0"/>
    </w:pPr>
  </w:style>
  <w:style w:type="paragraph" w:styleId="ListContinue5">
    <w:name w:val="List Continue 5"/>
    <w:basedOn w:val="List5"/>
    <w:rsid w:val="003734C4"/>
    <w:pPr>
      <w:ind w:firstLine="0"/>
    </w:pPr>
  </w:style>
  <w:style w:type="paragraph" w:styleId="ListNumber3">
    <w:name w:val="List Number 3"/>
    <w:basedOn w:val="List3"/>
    <w:rsid w:val="003734C4"/>
    <w:pPr>
      <w:numPr>
        <w:numId w:val="4"/>
      </w:numPr>
    </w:pPr>
  </w:style>
  <w:style w:type="paragraph" w:styleId="ListNumber4">
    <w:name w:val="List Number 4"/>
    <w:basedOn w:val="List4"/>
    <w:rsid w:val="003734C4"/>
    <w:pPr>
      <w:numPr>
        <w:numId w:val="5"/>
      </w:numPr>
    </w:pPr>
  </w:style>
  <w:style w:type="paragraph" w:styleId="ListNumber5">
    <w:name w:val="List Number 5"/>
    <w:basedOn w:val="List5"/>
    <w:rsid w:val="003734C4"/>
    <w:pPr>
      <w:numPr>
        <w:numId w:val="6"/>
      </w:numPr>
    </w:pPr>
  </w:style>
  <w:style w:type="paragraph" w:styleId="BlockText">
    <w:name w:val="Block Text"/>
    <w:basedOn w:val="Normal"/>
    <w:rsid w:val="003734C4"/>
    <w:pPr>
      <w:spacing w:after="120"/>
      <w:ind w:left="1440" w:right="1440"/>
    </w:pPr>
  </w:style>
  <w:style w:type="character" w:customStyle="1" w:styleId="Subscript">
    <w:name w:val="Subscript"/>
    <w:basedOn w:val="DefaultParagraphFont"/>
    <w:rsid w:val="003734C4"/>
    <w:rPr>
      <w:sz w:val="16"/>
      <w:vertAlign w:val="subscript"/>
    </w:rPr>
  </w:style>
  <w:style w:type="character" w:customStyle="1" w:styleId="Superscript">
    <w:name w:val="Superscript"/>
    <w:basedOn w:val="DefaultParagraphFont"/>
    <w:rsid w:val="003734C4"/>
    <w:rPr>
      <w:sz w:val="16"/>
      <w:vertAlign w:val="superscript"/>
    </w:rPr>
  </w:style>
  <w:style w:type="character" w:customStyle="1" w:styleId="Symbols">
    <w:name w:val="Symbols"/>
    <w:basedOn w:val="DefaultParagraphFont"/>
    <w:rsid w:val="003734C4"/>
    <w:rPr>
      <w:rFonts w:ascii="Symbol" w:hAnsi="Symbol"/>
    </w:rPr>
  </w:style>
  <w:style w:type="character" w:customStyle="1" w:styleId="MenuOptions">
    <w:name w:val="Menu Options"/>
    <w:basedOn w:val="DefaultParagraphFont"/>
    <w:rsid w:val="003734C4"/>
    <w:rPr>
      <w:rFonts w:ascii="Arial Narrow" w:hAnsi="Arial Narrow"/>
      <w:smallCaps/>
    </w:rPr>
  </w:style>
  <w:style w:type="character" w:customStyle="1" w:styleId="Buttons">
    <w:name w:val="Buttons"/>
    <w:basedOn w:val="DefaultParagraphFont"/>
    <w:rsid w:val="003734C4"/>
    <w:rPr>
      <w:b/>
    </w:rPr>
  </w:style>
  <w:style w:type="character" w:customStyle="1" w:styleId="Underlined">
    <w:name w:val="Underlined"/>
    <w:basedOn w:val="DefaultParagraphFont"/>
    <w:rsid w:val="003734C4"/>
    <w:rPr>
      <w:u w:val="single"/>
    </w:rPr>
  </w:style>
  <w:style w:type="paragraph" w:customStyle="1" w:styleId="TableBodyTextRight">
    <w:name w:val="Table Body Text Right"/>
    <w:basedOn w:val="TableBodyText"/>
    <w:rsid w:val="003734C4"/>
    <w:pPr>
      <w:widowControl w:val="0"/>
      <w:autoSpaceDE w:val="0"/>
      <w:autoSpaceDN w:val="0"/>
      <w:adjustRightInd w:val="0"/>
      <w:jc w:val="right"/>
    </w:pPr>
    <w:rPr>
      <w:rFonts w:cs="Arial"/>
      <w:szCs w:val="18"/>
    </w:rPr>
  </w:style>
  <w:style w:type="paragraph" w:customStyle="1" w:styleId="CopyrightText">
    <w:name w:val="Copyright Text"/>
    <w:basedOn w:val="BodyText"/>
    <w:rsid w:val="003734C4"/>
    <w:rPr>
      <w:sz w:val="18"/>
    </w:rPr>
  </w:style>
  <w:style w:type="paragraph" w:customStyle="1" w:styleId="BodySmallRight">
    <w:name w:val="Body Small Right"/>
    <w:basedOn w:val="BodyTextRight"/>
    <w:rsid w:val="003734C4"/>
    <w:rPr>
      <w:sz w:val="18"/>
      <w:szCs w:val="18"/>
    </w:rPr>
  </w:style>
  <w:style w:type="paragraph" w:customStyle="1" w:styleId="MarginEdition">
    <w:name w:val="Margin Edition"/>
    <w:basedOn w:val="MarginNote"/>
    <w:rsid w:val="003734C4"/>
    <w:pPr>
      <w:spacing w:before="0" w:after="0"/>
    </w:pPr>
    <w:rPr>
      <w:rFonts w:ascii="Times New Roman" w:hAnsi="Times New Roman"/>
      <w:color w:val="999999"/>
    </w:rPr>
  </w:style>
  <w:style w:type="paragraph" w:customStyle="1" w:styleId="Spacer">
    <w:name w:val="Spacer"/>
    <w:basedOn w:val="Normal"/>
    <w:rsid w:val="003734C4"/>
    <w:rPr>
      <w:sz w:val="2"/>
      <w:szCs w:val="2"/>
    </w:rPr>
  </w:style>
  <w:style w:type="character" w:customStyle="1" w:styleId="Small">
    <w:name w:val="Small"/>
    <w:basedOn w:val="DefaultParagraphFont"/>
    <w:rsid w:val="003734C4"/>
    <w:rPr>
      <w:sz w:val="16"/>
    </w:rPr>
  </w:style>
  <w:style w:type="paragraph" w:customStyle="1" w:styleId="WideTable">
    <w:name w:val="Wide Table"/>
    <w:basedOn w:val="Normal"/>
    <w:rsid w:val="003734C4"/>
    <w:pPr>
      <w:ind w:left="-1418"/>
    </w:pPr>
    <w:rPr>
      <w:sz w:val="2"/>
      <w:szCs w:val="2"/>
    </w:rPr>
  </w:style>
  <w:style w:type="character" w:styleId="PageNumber">
    <w:name w:val="page number"/>
    <w:basedOn w:val="DefaultParagraphFont"/>
    <w:rsid w:val="003734C4"/>
  </w:style>
  <w:style w:type="paragraph" w:styleId="Quote">
    <w:name w:val="Quote"/>
    <w:basedOn w:val="Heading1"/>
    <w:link w:val="QuoteChar"/>
    <w:qFormat/>
    <w:rsid w:val="003734C4"/>
    <w:rPr>
      <w:b w:val="0"/>
      <w:sz w:val="72"/>
      <w:szCs w:val="72"/>
      <w:lang w:val="en-NZ"/>
    </w:rPr>
  </w:style>
  <w:style w:type="character" w:customStyle="1" w:styleId="QuoteChar">
    <w:name w:val="Quote Char"/>
    <w:basedOn w:val="DefaultParagraphFont"/>
    <w:link w:val="Quote"/>
    <w:rsid w:val="003734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4C4"/>
    <w:pPr>
      <w:pageBreakBefore/>
    </w:pPr>
  </w:style>
  <w:style w:type="paragraph" w:customStyle="1" w:styleId="Border">
    <w:name w:val="Border"/>
    <w:basedOn w:val="Normal"/>
    <w:qFormat/>
    <w:rsid w:val="003734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4C4"/>
    <w:rPr>
      <w:b/>
      <w:bCs/>
      <w:i/>
      <w:iCs/>
      <w:color w:val="auto"/>
    </w:rPr>
  </w:style>
  <w:style w:type="paragraph" w:styleId="IntenseQuote">
    <w:name w:val="Intense Quote"/>
    <w:basedOn w:val="Normal"/>
    <w:next w:val="Normal"/>
    <w:link w:val="IntenseQuoteChar"/>
    <w:uiPriority w:val="30"/>
    <w:qFormat/>
    <w:rsid w:val="003734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4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4C4"/>
    <w:rPr>
      <w:smallCaps/>
      <w:color w:val="auto"/>
      <w:u w:val="single"/>
    </w:rPr>
  </w:style>
  <w:style w:type="character" w:styleId="IntenseReference">
    <w:name w:val="Intense Reference"/>
    <w:basedOn w:val="DefaultParagraphFont"/>
    <w:uiPriority w:val="32"/>
    <w:qFormat/>
    <w:rsid w:val="003734C4"/>
    <w:rPr>
      <w:b/>
      <w:bCs/>
      <w:smallCaps/>
      <w:color w:val="auto"/>
      <w:spacing w:val="5"/>
      <w:u w:val="single"/>
    </w:rPr>
  </w:style>
  <w:style w:type="paragraph" w:customStyle="1" w:styleId="2ColumnHeading">
    <w:name w:val="2Column Heading"/>
    <w:basedOn w:val="BodyText"/>
    <w:qFormat/>
    <w:rsid w:val="003734C4"/>
    <w:pPr>
      <w:spacing w:after="60"/>
      <w:ind w:left="-2268"/>
    </w:pPr>
    <w:rPr>
      <w:b/>
    </w:rPr>
  </w:style>
  <w:style w:type="paragraph" w:customStyle="1" w:styleId="Heading1TOC">
    <w:name w:val="Heading1 TOC"/>
    <w:basedOn w:val="Normal"/>
    <w:qFormat/>
    <w:rsid w:val="003734C4"/>
    <w:pPr>
      <w:spacing w:before="240" w:after="120"/>
    </w:pPr>
    <w:rPr>
      <w:rFonts w:ascii="Times New Roman" w:hAnsi="Times New Roman"/>
      <w:b/>
      <w:sz w:val="32"/>
    </w:rPr>
  </w:style>
  <w:style w:type="paragraph" w:customStyle="1" w:styleId="Heading2TOC">
    <w:name w:val="Heading2 TOC"/>
    <w:basedOn w:val="Normal"/>
    <w:qFormat/>
    <w:rsid w:val="003734C4"/>
    <w:pPr>
      <w:spacing w:before="240" w:after="60"/>
    </w:pPr>
    <w:rPr>
      <w:rFonts w:ascii="Times New Roman" w:hAnsi="Times New Roman"/>
      <w:b/>
      <w:sz w:val="28"/>
    </w:rPr>
  </w:style>
  <w:style w:type="character" w:customStyle="1" w:styleId="Underline">
    <w:name w:val="Underline"/>
    <w:basedOn w:val="DefaultParagraphFont"/>
    <w:qFormat/>
    <w:rsid w:val="003734C4"/>
    <w:rPr>
      <w:u w:val="single"/>
    </w:rPr>
  </w:style>
  <w:style w:type="paragraph" w:styleId="BalloonText">
    <w:name w:val="Balloon Text"/>
    <w:basedOn w:val="Normal"/>
    <w:link w:val="BalloonTextChar"/>
    <w:rsid w:val="003734C4"/>
    <w:rPr>
      <w:rFonts w:ascii="Tahoma" w:hAnsi="Tahoma" w:cs="Tahoma"/>
      <w:sz w:val="16"/>
      <w:szCs w:val="16"/>
    </w:rPr>
  </w:style>
  <w:style w:type="character" w:customStyle="1" w:styleId="BalloonTextChar">
    <w:name w:val="Balloon Text Char"/>
    <w:basedOn w:val="DefaultParagraphFont"/>
    <w:link w:val="BalloonText"/>
    <w:rsid w:val="003734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4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4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931</Words>
  <Characters>5591</Characters>
  <Application>Microsoft Office Word</Application>
  <DocSecurity>0</DocSecurity>
  <Lines>235</Lines>
  <Paragraphs>124</Paragraphs>
  <ScaleCrop>false</ScaleCrop>
  <Company>Author-it Software Corporation Ltd.</Company>
  <LinksUpToDate>false</LinksUpToDate>
  <CharactersWithSpaces>6467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CUESCE05B Apply a general knowledge of scenic art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2012-05-26T23:17:00Z</dcterms:created>
  <dcterms:modified xsi:type="dcterms:W3CDTF">2012-05-26T23:17:00Z</dcterms:modified>
</cp:coreProperties>
</file>