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A8E" w:rsidP="00A14A8E">
      <w:pPr>
        <w:pStyle w:val="Title"/>
      </w:pPr>
      <w:r>
        <w:fldChar w:fldCharType="begin"/>
      </w:r>
      <w:r>
        <w:instrText xml:space="preserve"> TITLE   \* MERGEFORMAT </w:instrText>
      </w:r>
      <w:r>
        <w:fldChar w:fldCharType="separate"/>
      </w:r>
      <w:r>
        <w:t>CUEPRP02B Research, obtain and prepare props</w:t>
      </w:r>
      <w:r>
        <w:fldChar w:fldCharType="end"/>
      </w:r>
    </w:p>
    <w:p w:rsidR="00A14A8E" w:rsidP="00A14A8E">
      <w:pPr>
        <w:pStyle w:val="Version"/>
        <w:sectPr w:rsidSect="00B616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1691" w:rsidP="00B61691">
      <w:pPr>
        <w:pStyle w:val="SuperHeading"/>
      </w:pPr>
      <w:r w:rsidRPr="00B61691">
        <w:t>CUEPRP02B Research, obtain and prepare props</w:t>
      </w:r>
    </w:p>
    <w:p w:rsidR="00000000" w:rsidRPr="00B61691" w:rsidP="00B61691">
      <w:pPr>
        <w:pStyle w:val="SuperHeading"/>
      </w:pPr>
    </w:p>
    <w:p w:rsidR="00000000" w:rsidRPr="00B61691" w:rsidP="00B61691">
      <w:pPr>
        <w:pStyle w:val="Heading1"/>
      </w:pPr>
      <w:bookmarkStart w:id="1" w:name="O_69963"/>
      <w:bookmarkEnd w:id="1"/>
      <w:r w:rsidRPr="00B61691">
        <w:t>Modification History</w:t>
      </w:r>
    </w:p>
    <w:p w:rsidR="00000000" w:rsidRPr="00B61691" w:rsidP="00B61691">
      <w:pPr>
        <w:pStyle w:val="BodyText"/>
      </w:pPr>
      <w:r w:rsidRPr="00B61691">
        <w:t>Not applicable.</w:t>
      </w:r>
    </w:p>
    <w:p w:rsidR="00000000" w:rsidRPr="00B61691" w:rsidP="00B61691">
      <w:pPr>
        <w:pStyle w:val="AllowPageBreak"/>
      </w:pPr>
    </w:p>
    <w:p w:rsidR="00000000" w:rsidRPr="00B61691" w:rsidP="00B61691">
      <w:pPr>
        <w:pStyle w:val="Heading1"/>
      </w:pPr>
      <w:bookmarkStart w:id="2" w:name="O_69964"/>
      <w:bookmarkEnd w:id="2"/>
      <w:r w:rsidRPr="00B61691">
        <w:t>Unit Descriptor</w:t>
      </w:r>
    </w:p>
    <w:tbl>
      <w:tblPr>
        <w:tblW w:w="0" w:type="auto"/>
        <w:tblLayout w:type="fixed"/>
        <w:tblCellMar>
          <w:left w:w="62" w:type="dxa"/>
          <w:right w:w="62" w:type="dxa"/>
        </w:tblCellMar>
        <w:tblLook w:val="0000"/>
      </w:tblPr>
      <w:tblGrid>
        <w:gridCol w:w="2663"/>
        <w:gridCol w:w="5859"/>
      </w:tblGrid>
      <w:tr w:rsidTr="00A14A8E">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r w:rsidRPr="00B61691">
              <w:t>This unit describes the skills and knowledge required to source, obtain and prepare props for any production wi</w:t>
            </w:r>
            <w:r w:rsidRPr="00B61691">
              <w:t>thin the cultural industries. As such it requires research skills, organisational skills and a sound knowledge of different sources of props and the ways in which props may be used in a production.</w:t>
            </w:r>
          </w:p>
          <w:p w:rsidR="00000000" w:rsidRPr="00B61691" w:rsidP="00B61691">
            <w:pPr>
              <w:pStyle w:val="BodyText"/>
            </w:pPr>
          </w:p>
          <w:p w:rsidR="00000000" w:rsidRPr="00B61691" w:rsidP="00B61691">
            <w:pPr>
              <w:pStyle w:val="BodyText"/>
            </w:pPr>
            <w:r w:rsidRPr="00B61691">
              <w:t>No licensing, legislative, regulatory or certification re</w:t>
            </w:r>
            <w:r w:rsidRPr="00B61691">
              <w:t>quirements apply to this unit at the time of endorsement.</w:t>
            </w:r>
          </w:p>
        </w:tc>
      </w:tr>
    </w:tbl>
    <w:p w:rsidR="00000000" w:rsidRPr="00B61691" w:rsidP="00B61691">
      <w:pPr>
        <w:pStyle w:val="BodyText"/>
      </w:pPr>
    </w:p>
    <w:p w:rsidR="00000000" w:rsidRPr="00B61691" w:rsidP="00B61691">
      <w:pPr>
        <w:pStyle w:val="AllowPageBreak"/>
      </w:pPr>
    </w:p>
    <w:p w:rsidR="00000000" w:rsidRPr="00B61691" w:rsidP="00B61691">
      <w:pPr>
        <w:pStyle w:val="Heading1"/>
      </w:pPr>
      <w:bookmarkStart w:id="3" w:name="O_69965"/>
      <w:bookmarkEnd w:id="3"/>
      <w:r w:rsidRPr="00B61691">
        <w:t>Application of the Unit</w:t>
      </w:r>
    </w:p>
    <w:tbl>
      <w:tblPr>
        <w:tblW w:w="0" w:type="auto"/>
        <w:tblLayout w:type="fixed"/>
        <w:tblCellMar>
          <w:left w:w="62" w:type="dxa"/>
          <w:right w:w="62" w:type="dxa"/>
        </w:tblCellMar>
        <w:tblLook w:val="0000"/>
      </w:tblPr>
      <w:tblGrid>
        <w:gridCol w:w="2751"/>
        <w:gridCol w:w="5771"/>
      </w:tblGrid>
      <w:tr w:rsidTr="00A14A8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r w:rsidRPr="00B61691">
              <w:t>Props personnel in the entertainment and screen and media industries apply the skills and knowledge outlined in this unit. Personnel may include props makers, props storepersons and props dressers.</w:t>
            </w:r>
          </w:p>
          <w:p w:rsidR="00000000" w:rsidRPr="00B61691" w:rsidP="00B61691">
            <w:pPr>
              <w:pStyle w:val="BodyText"/>
            </w:pPr>
          </w:p>
          <w:p w:rsidR="00000000" w:rsidRPr="00B61691" w:rsidP="00B61691">
            <w:pPr>
              <w:pStyle w:val="BodyText"/>
            </w:pPr>
            <w:r w:rsidRPr="00B61691">
              <w:t>The props department may be supervised by a props manager</w:t>
            </w:r>
            <w:r w:rsidRPr="00B61691">
              <w:t xml:space="preserve"> and the props team works closely with set designers, directors and continuity personnel before and during productions.</w:t>
            </w:r>
          </w:p>
          <w:p w:rsidR="00000000" w:rsidRPr="00B61691" w:rsidP="00B61691">
            <w:pPr>
              <w:pStyle w:val="BodyText"/>
            </w:pPr>
          </w:p>
          <w:p w:rsidR="00000000" w:rsidRPr="00B61691" w:rsidP="00B61691">
            <w:pPr>
              <w:pStyle w:val="BodyText"/>
            </w:pPr>
            <w:r w:rsidRPr="00B61691">
              <w:t>This unit has linkages to a range of other props units and combined assessment and/or training with those units may be appropriate.</w:t>
            </w:r>
          </w:p>
        </w:tc>
      </w:tr>
    </w:tbl>
    <w:p w:rsidR="00000000" w:rsidRPr="00B61691" w:rsidP="00B61691">
      <w:pPr>
        <w:pStyle w:val="BodyText"/>
      </w:pPr>
    </w:p>
    <w:p w:rsidR="00000000" w:rsidRPr="00B61691" w:rsidP="00B61691">
      <w:pPr>
        <w:pStyle w:val="AllowPageBreak"/>
      </w:pPr>
    </w:p>
    <w:p w:rsidR="00000000" w:rsidRPr="00B61691" w:rsidP="00B61691">
      <w:pPr>
        <w:pStyle w:val="Heading1"/>
      </w:pPr>
      <w:bookmarkStart w:id="4" w:name="O_69966"/>
      <w:bookmarkEnd w:id="4"/>
      <w:r w:rsidRPr="00B61691">
        <w:t>Licensing/Regulatory Information</w:t>
      </w:r>
    </w:p>
    <w:p w:rsidR="00000000" w:rsidRPr="00B61691" w:rsidP="00B61691">
      <w:pPr>
        <w:pStyle w:val="BodyText"/>
      </w:pPr>
      <w:r w:rsidRPr="00B61691">
        <w:t>Not applicable.</w:t>
      </w:r>
    </w:p>
    <w:p w:rsidR="00000000" w:rsidRPr="00B61691" w:rsidP="00B61691">
      <w:pPr>
        <w:pStyle w:val="AllowPageBreak"/>
      </w:pPr>
    </w:p>
    <w:p w:rsidR="00000000" w:rsidRPr="00B61691" w:rsidP="00B61691">
      <w:pPr>
        <w:pStyle w:val="Heading1"/>
      </w:pPr>
      <w:bookmarkStart w:id="5" w:name="O_69968"/>
      <w:bookmarkEnd w:id="5"/>
      <w:r w:rsidRPr="00B61691">
        <w:t>Pre-Requisites</w:t>
      </w:r>
    </w:p>
    <w:tbl>
      <w:tblPr>
        <w:tblW w:w="0" w:type="auto"/>
        <w:tblLayout w:type="fixed"/>
        <w:tblCellMar>
          <w:left w:w="62" w:type="dxa"/>
          <w:right w:w="62" w:type="dxa"/>
        </w:tblCellMar>
        <w:tblLook w:val="0000"/>
      </w:tblPr>
      <w:tblGrid>
        <w:gridCol w:w="2775"/>
        <w:gridCol w:w="1295"/>
        <w:gridCol w:w="4452"/>
      </w:tblGrid>
      <w:tr w:rsidTr="00A14A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p>
        </w:tc>
      </w:tr>
      <w:tr w:rsidTr="00A14A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p>
        </w:tc>
      </w:tr>
      <w:tr w:rsidTr="00A14A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p>
        </w:tc>
      </w:tr>
    </w:tbl>
    <w:p w:rsidR="00000000" w:rsidRPr="00B61691" w:rsidP="00B61691">
      <w:pPr>
        <w:pStyle w:val="BodyText"/>
      </w:pPr>
    </w:p>
    <w:p w:rsidR="00000000" w:rsidRPr="00B61691" w:rsidP="00B61691">
      <w:pPr>
        <w:pStyle w:val="AllowPageBreak"/>
      </w:pPr>
    </w:p>
    <w:p w:rsidR="00000000" w:rsidRPr="00B61691" w:rsidP="00B61691">
      <w:pPr>
        <w:pStyle w:val="Heading1"/>
      </w:pPr>
      <w:bookmarkStart w:id="6" w:name="O_69967"/>
      <w:bookmarkEnd w:id="6"/>
      <w:r w:rsidRPr="00B61691">
        <w:t>Employability Skills Information</w:t>
      </w:r>
    </w:p>
    <w:tbl>
      <w:tblPr>
        <w:tblW w:w="0" w:type="auto"/>
        <w:tblLayout w:type="fixed"/>
        <w:tblCellMar>
          <w:left w:w="62" w:type="dxa"/>
          <w:right w:w="62" w:type="dxa"/>
        </w:tblCellMar>
        <w:tblLook w:val="0000"/>
      </w:tblPr>
      <w:tblGrid>
        <w:gridCol w:w="2802"/>
        <w:gridCol w:w="5720"/>
      </w:tblGrid>
      <w:tr w:rsidTr="00A14A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r w:rsidRPr="00B61691">
              <w:t>This unit contains employability skills.</w:t>
            </w:r>
          </w:p>
        </w:tc>
      </w:tr>
    </w:tbl>
    <w:p w:rsidR="00000000" w:rsidRPr="00B61691" w:rsidP="00B61691">
      <w:pPr>
        <w:pStyle w:val="BodyText"/>
      </w:pPr>
    </w:p>
    <w:p w:rsidR="00000000" w:rsidRPr="00B61691" w:rsidP="00B61691">
      <w:pPr>
        <w:pStyle w:val="AllowPageBreak"/>
      </w:pPr>
    </w:p>
    <w:p w:rsidR="00000000" w:rsidRPr="00B61691" w:rsidP="00B61691">
      <w:pPr>
        <w:pStyle w:val="Heading1"/>
      </w:pPr>
      <w:bookmarkStart w:id="7" w:name="O_69969"/>
      <w:bookmarkEnd w:id="7"/>
      <w:r w:rsidRPr="00B61691">
        <w:t>Elements and Performance Criteria Pre-Content</w:t>
      </w:r>
    </w:p>
    <w:tbl>
      <w:tblPr>
        <w:tblW w:w="0" w:type="auto"/>
        <w:tblLayout w:type="fixed"/>
        <w:tblCellMar>
          <w:left w:w="62" w:type="dxa"/>
          <w:right w:w="62" w:type="dxa"/>
        </w:tblCellMar>
        <w:tblLook w:val="0000"/>
      </w:tblPr>
      <w:tblGrid>
        <w:gridCol w:w="2580"/>
        <w:gridCol w:w="5942"/>
      </w:tblGrid>
      <w:tr w:rsidTr="00A14A8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r w:rsidRPr="00B61691">
              <w:t>Performance criteria describe the performance needed to demonstrate achievement of the element. Where bold italicised text is used, further info</w:t>
            </w:r>
            <w:r w:rsidRPr="00B61691">
              <w:t>rmation is detailed in the required skills and knowledge section and the range statement. Assessment of performance is to be consistent with the evidence guide.</w:t>
            </w:r>
          </w:p>
        </w:tc>
      </w:tr>
    </w:tbl>
    <w:p w:rsidR="00000000" w:rsidRPr="00B61691" w:rsidP="00B61691">
      <w:pPr>
        <w:pStyle w:val="BodyText"/>
      </w:pPr>
    </w:p>
    <w:p w:rsidR="00000000" w:rsidRPr="00B61691" w:rsidP="00B61691">
      <w:pPr>
        <w:pStyle w:val="AllowPageBreak"/>
      </w:pPr>
    </w:p>
    <w:p w:rsidR="00000000" w:rsidRPr="00B61691" w:rsidP="00B61691">
      <w:pPr>
        <w:pStyle w:val="Heading1"/>
      </w:pPr>
      <w:bookmarkStart w:id="8" w:name="O_69970"/>
      <w:bookmarkEnd w:id="8"/>
      <w:r w:rsidRPr="00B61691">
        <w:t>Elements and Performance Criteria</w:t>
      </w:r>
    </w:p>
    <w:tbl>
      <w:tblPr>
        <w:tblW w:w="0" w:type="auto"/>
        <w:tblLayout w:type="fixed"/>
        <w:tblCellMar>
          <w:left w:w="62" w:type="dxa"/>
          <w:right w:w="62" w:type="dxa"/>
        </w:tblCellMar>
        <w:tblLook w:val="0000"/>
      </w:tblPr>
      <w:tblGrid>
        <w:gridCol w:w="2580"/>
        <w:gridCol w:w="5942"/>
      </w:tblGrid>
      <w:tr w:rsidTr="00A14A8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r w:rsidRPr="00B61691">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PERFORMANCE CRITERIA</w:t>
            </w:r>
          </w:p>
        </w:tc>
      </w:tr>
      <w:tr w:rsidTr="00A14A8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List"/>
              <w:rPr>
                <w:lang w:val="en-NZ"/>
              </w:rPr>
            </w:pPr>
            <w:r w:rsidRPr="00B61691">
              <w:t>1.</w:t>
            </w:r>
            <w:r w:rsidRPr="00B61691">
              <w:tab/>
            </w:r>
            <w:r w:rsidRPr="00B61691">
              <w:t>Determine props requirements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List2"/>
            </w:pPr>
            <w:r w:rsidRPr="00B61691">
              <w:t>1.1.</w:t>
            </w:r>
            <w:r w:rsidRPr="00B61691">
              <w:tab/>
              <w:t xml:space="preserve">Correctly interpret production documentation to determine production props </w:t>
            </w:r>
            <w:r w:rsidRPr="00B61691">
              <w:rPr>
                <w:rStyle w:val="BoldandItalics"/>
              </w:rPr>
              <w:t>requirements</w:t>
            </w:r>
          </w:p>
          <w:p w:rsidR="00000000" w:rsidRPr="00B61691" w:rsidP="00B61691">
            <w:pPr>
              <w:pStyle w:val="List2"/>
            </w:pPr>
            <w:r w:rsidRPr="00B61691">
              <w:t>1.2.</w:t>
            </w:r>
            <w:r w:rsidRPr="00B61691">
              <w:tab/>
              <w:t xml:space="preserve">Liaise with </w:t>
            </w:r>
            <w:r w:rsidRPr="00B61691">
              <w:rPr>
                <w:rStyle w:val="BoldandItalics"/>
              </w:rPr>
              <w:t>relevant personnel</w:t>
            </w:r>
            <w:r w:rsidRPr="00B61691">
              <w:t xml:space="preserve"> to discuss the artistic requirements for </w:t>
            </w:r>
            <w:r w:rsidRPr="00B61691">
              <w:rPr>
                <w:rStyle w:val="BoldandItalics"/>
              </w:rPr>
              <w:t>props</w:t>
            </w:r>
            <w:r w:rsidRPr="00B61691">
              <w:t xml:space="preserve"> where required</w:t>
            </w:r>
          </w:p>
          <w:p w:rsidR="00000000" w:rsidP="00B61691">
            <w:pPr>
              <w:pStyle w:val="List2"/>
              <w:rPr>
                <w:lang w:val="en-NZ"/>
              </w:rPr>
            </w:pPr>
            <w:r w:rsidRPr="00B61691">
              <w:t>1.3.</w:t>
            </w:r>
            <w:r w:rsidRPr="00B61691">
              <w:tab/>
              <w:t>Confirm the budget and timefram</w:t>
            </w:r>
            <w:r w:rsidRPr="00B61691">
              <w:t>es that affect the acquisition of props with appropriate personnel</w:t>
            </w:r>
          </w:p>
        </w:tc>
      </w:tr>
      <w:tr w:rsidTr="00A14A8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List"/>
              <w:rPr>
                <w:lang w:val="en-NZ"/>
              </w:rPr>
            </w:pPr>
            <w:r w:rsidRPr="00B61691">
              <w:t>2.</w:t>
            </w:r>
            <w:r w:rsidRPr="00B61691">
              <w:tab/>
              <w:t>Source and obtain props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List2"/>
            </w:pPr>
            <w:r w:rsidRPr="00B61691">
              <w:t>2.1.</w:t>
            </w:r>
            <w:r w:rsidRPr="00B61691">
              <w:tab/>
              <w:t>Undertake research on the style and nature of props required to establish a clear picture of precise requirements</w:t>
            </w:r>
          </w:p>
          <w:p w:rsidR="00000000" w:rsidRPr="00B61691" w:rsidP="00B61691">
            <w:pPr>
              <w:pStyle w:val="List2"/>
            </w:pPr>
            <w:r w:rsidRPr="00B61691">
              <w:t>2.2.</w:t>
            </w:r>
            <w:r w:rsidRPr="00B61691">
              <w:tab/>
              <w:t xml:space="preserve">Correctly identify </w:t>
            </w:r>
            <w:r w:rsidRPr="00B61691">
              <w:rPr>
                <w:rStyle w:val="BoldandItalics"/>
              </w:rPr>
              <w:t xml:space="preserve">potential sources </w:t>
            </w:r>
            <w:r w:rsidRPr="00B61691">
              <w:rPr>
                <w:rStyle w:val="BoldandItalics"/>
              </w:rPr>
              <w:t>of props</w:t>
            </w:r>
            <w:r w:rsidRPr="00B61691">
              <w:t>, including investigation of various options to achieve the optimum result</w:t>
            </w:r>
          </w:p>
          <w:p w:rsidR="00000000" w:rsidRPr="00B61691" w:rsidP="00B61691">
            <w:pPr>
              <w:pStyle w:val="List2"/>
            </w:pPr>
            <w:r w:rsidRPr="00B61691">
              <w:t>2.3.</w:t>
            </w:r>
            <w:r w:rsidRPr="00B61691">
              <w:tab/>
              <w:t>Locate props that meet design specifications, time and budgetary constraints</w:t>
            </w:r>
          </w:p>
          <w:p w:rsidR="00000000" w:rsidRPr="00B61691" w:rsidP="00B61691">
            <w:pPr>
              <w:pStyle w:val="List2"/>
            </w:pPr>
            <w:r w:rsidRPr="00B61691">
              <w:t>2.4.</w:t>
            </w:r>
            <w:r w:rsidRPr="00B61691">
              <w:tab/>
              <w:t>Complete procedures for the acquisition of props in accordance with organisational req</w:t>
            </w:r>
            <w:r w:rsidRPr="00B61691">
              <w:t>uirements</w:t>
            </w:r>
          </w:p>
          <w:p w:rsidR="00000000" w:rsidP="00B61691">
            <w:pPr>
              <w:pStyle w:val="List2"/>
              <w:rPr>
                <w:lang w:val="en-NZ"/>
              </w:rPr>
            </w:pPr>
            <w:r w:rsidRPr="00B61691">
              <w:t>2.5.</w:t>
            </w:r>
            <w:r w:rsidRPr="00B61691">
              <w:tab/>
              <w:t>Document acquisition details accurately</w:t>
            </w:r>
          </w:p>
        </w:tc>
      </w:tr>
      <w:tr w:rsidTr="00A14A8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List"/>
              <w:rPr>
                <w:lang w:val="en-NZ"/>
              </w:rPr>
            </w:pPr>
            <w:r w:rsidRPr="00B61691">
              <w:t>3.</w:t>
            </w:r>
            <w:r w:rsidRPr="00B61691">
              <w:tab/>
              <w:t>Prepare and maintain props during production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List2"/>
            </w:pPr>
            <w:r w:rsidRPr="00B61691">
              <w:t>3.1.</w:t>
            </w:r>
            <w:r w:rsidRPr="00B61691">
              <w:tab/>
              <w:t xml:space="preserve">Prepare and check props prior to the performance to ensure that all required items are available and/or in working order, </w:t>
            </w:r>
            <w:r w:rsidRPr="00B61691">
              <w:t>including adequate consumable supplies</w:t>
            </w:r>
          </w:p>
          <w:p w:rsidR="00000000" w:rsidRPr="00B61691" w:rsidP="00B61691">
            <w:pPr>
              <w:pStyle w:val="List2"/>
            </w:pPr>
            <w:r w:rsidRPr="00B61691">
              <w:t>3.2.</w:t>
            </w:r>
            <w:r w:rsidRPr="00B61691">
              <w:tab/>
              <w:t>Secure and store props in accordance with organisational procedures before, during and after the production</w:t>
            </w:r>
          </w:p>
          <w:p w:rsidR="00000000" w:rsidRPr="00B61691" w:rsidP="00B61691">
            <w:pPr>
              <w:pStyle w:val="List2"/>
            </w:pPr>
            <w:r w:rsidRPr="00B61691">
              <w:t>3.3.</w:t>
            </w:r>
            <w:r w:rsidRPr="00B61691">
              <w:tab/>
              <w:t>Identify the need for and organise appropriate prop replacements or repairs to meet production requ</w:t>
            </w:r>
            <w:r w:rsidRPr="00B61691">
              <w:t>irements</w:t>
            </w:r>
          </w:p>
          <w:p w:rsidR="00000000" w:rsidRPr="00B61691" w:rsidP="00B61691">
            <w:pPr>
              <w:pStyle w:val="List2"/>
            </w:pPr>
            <w:r w:rsidRPr="00B61691">
              <w:t>3.4.</w:t>
            </w:r>
            <w:r w:rsidRPr="00B61691">
              <w:tab/>
              <w:t>Where appropriate, dispose of props in accordance with environmental and safety requirements</w:t>
            </w:r>
          </w:p>
          <w:p w:rsidR="00000000" w:rsidRPr="00B61691" w:rsidP="00B61691">
            <w:pPr>
              <w:pStyle w:val="List2"/>
            </w:pPr>
            <w:r w:rsidRPr="00B61691">
              <w:t>3.5.</w:t>
            </w:r>
            <w:r w:rsidRPr="00B61691">
              <w:tab/>
              <w:t>Maintain accurate documentation in relation to the status of props, including appropriate cataloguing</w:t>
            </w:r>
          </w:p>
        </w:tc>
      </w:tr>
    </w:tbl>
    <w:p w:rsidR="00000000" w:rsidRPr="00B61691" w:rsidP="00B61691">
      <w:pPr>
        <w:pStyle w:val="BodyText"/>
      </w:pPr>
    </w:p>
    <w:p w:rsidR="00000000" w:rsidRPr="00B61691" w:rsidP="00B61691">
      <w:pPr>
        <w:pStyle w:val="AllowPageBreak"/>
      </w:pPr>
    </w:p>
    <w:p w:rsidR="00000000" w:rsidRPr="00B61691" w:rsidP="00B61691">
      <w:pPr>
        <w:pStyle w:val="Heading1"/>
      </w:pPr>
      <w:bookmarkStart w:id="9" w:name="O_69971"/>
      <w:bookmarkEnd w:id="9"/>
      <w:r w:rsidRPr="00B61691">
        <w:t>Required Skills and Knowl</w:t>
      </w:r>
      <w:r w:rsidRPr="00B61691">
        <w:t>edge</w:t>
      </w:r>
    </w:p>
    <w:tbl>
      <w:tblPr>
        <w:tblW w:w="0" w:type="auto"/>
        <w:tblLayout w:type="fixed"/>
        <w:tblCellMar>
          <w:left w:w="62" w:type="dxa"/>
          <w:right w:w="62" w:type="dxa"/>
        </w:tblCellMar>
        <w:tblLook w:val="0000"/>
      </w:tblPr>
      <w:tblGrid>
        <w:gridCol w:w="8522"/>
      </w:tblGrid>
      <w:tr w:rsidTr="00A14A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REQUIRED SKILLS AND KNOWLEDGE</w:t>
            </w:r>
          </w:p>
        </w:tc>
      </w:tr>
      <w:tr w:rsidTr="00A14A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t>This section describes the skills and knowledge required for this unit.</w:t>
            </w:r>
          </w:p>
        </w:tc>
      </w:tr>
      <w:tr w:rsidTr="00A14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Required skills</w:t>
            </w:r>
          </w:p>
        </w:tc>
      </w:tr>
      <w:tr w:rsidTr="00A14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ListBullet"/>
            </w:pPr>
            <w:r w:rsidRPr="00B61691">
              <w:t>research skills in relation to the ability to research options for props acquisition</w:t>
            </w:r>
          </w:p>
          <w:p w:rsidR="00000000" w:rsidRPr="00B61691" w:rsidP="00B61691">
            <w:pPr>
              <w:pStyle w:val="ListBullet"/>
            </w:pPr>
            <w:r w:rsidRPr="00B61691">
              <w:t>literacy skills sufficient to interpret production documentation and other information from a wide range of sources</w:t>
            </w:r>
          </w:p>
          <w:p w:rsidR="00000000" w:rsidP="00B61691">
            <w:pPr>
              <w:pStyle w:val="ListBullet"/>
              <w:rPr>
                <w:lang w:val="en-NZ"/>
              </w:rPr>
            </w:pPr>
            <w:r w:rsidRPr="00B61691">
              <w:t>numeracy skills sufficient to work with props costings</w:t>
            </w:r>
          </w:p>
        </w:tc>
      </w:tr>
      <w:tr w:rsidTr="00A14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Required knowledge</w:t>
            </w:r>
          </w:p>
        </w:tc>
      </w:tr>
      <w:tr w:rsidTr="00A14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ListBullet"/>
            </w:pPr>
            <w:r w:rsidRPr="00B61691">
              <w:t>the wide and varying scope of props, including broad categories</w:t>
            </w:r>
            <w:r w:rsidRPr="00B61691">
              <w:t xml:space="preserve"> of props and the role of 'one-off' specialist items</w:t>
            </w:r>
          </w:p>
          <w:p w:rsidR="00000000" w:rsidRPr="00B61691" w:rsidP="00B61691">
            <w:pPr>
              <w:pStyle w:val="ListBullet"/>
            </w:pPr>
            <w:r w:rsidRPr="00B61691">
              <w:t>typical sources of information on props</w:t>
            </w:r>
          </w:p>
          <w:p w:rsidR="00000000" w:rsidRPr="00B61691" w:rsidP="00B61691">
            <w:pPr>
              <w:pStyle w:val="ListBullet"/>
            </w:pPr>
            <w:r w:rsidRPr="00B61691">
              <w:t>sources of different types of props, including both period and contemporary items</w:t>
            </w:r>
          </w:p>
        </w:tc>
      </w:tr>
    </w:tbl>
    <w:p w:rsidR="00000000" w:rsidRPr="00B61691" w:rsidP="00B61691">
      <w:pPr>
        <w:pStyle w:val="BodyText"/>
      </w:pPr>
    </w:p>
    <w:p w:rsidR="00000000" w:rsidRPr="00B61691" w:rsidP="00B61691">
      <w:pPr>
        <w:pStyle w:val="AllowPageBreak"/>
      </w:pPr>
    </w:p>
    <w:p w:rsidR="00000000" w:rsidRPr="00B61691" w:rsidP="00B61691">
      <w:pPr>
        <w:pStyle w:val="Heading1"/>
      </w:pPr>
      <w:bookmarkStart w:id="10" w:name="O_69972"/>
      <w:bookmarkEnd w:id="10"/>
      <w:r w:rsidRPr="00B61691">
        <w:t>Evidence Guide</w:t>
      </w:r>
    </w:p>
    <w:tbl>
      <w:tblPr>
        <w:tblW w:w="9570" w:type="dxa"/>
        <w:tblLayout w:type="fixed"/>
        <w:tblCellMar>
          <w:left w:w="62" w:type="dxa"/>
          <w:right w:w="62" w:type="dxa"/>
        </w:tblCellMar>
        <w:tblLook w:val="0000"/>
      </w:tblPr>
      <w:tblGrid>
        <w:gridCol w:w="3908"/>
        <w:gridCol w:w="5662"/>
      </w:tblGrid>
      <w:tr w:rsidTr="00A14A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EVIDENCE GUIDE</w:t>
            </w:r>
          </w:p>
        </w:tc>
      </w:tr>
      <w:tr w:rsidTr="00A14A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t>The Evidence Guide provides advice on assessment and must be read in conjunction with the performance criteria, required skills and knowledge, range statement and the Assessment Guidelines for the Training Package.</w:t>
            </w:r>
          </w:p>
        </w:tc>
      </w:tr>
      <w:tr w:rsidTr="00A14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p>
        </w:tc>
      </w:tr>
      <w:tr w:rsidTr="00A14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Critical aspec</w:t>
            </w:r>
            <w:r w:rsidRPr="00B6169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r w:rsidRPr="00B61691">
              <w:t>The following evidence is critical to the judgement of competence in this unit:</w:t>
            </w:r>
          </w:p>
          <w:p w:rsidR="00000000" w:rsidRPr="00B61691" w:rsidP="00B61691">
            <w:pPr>
              <w:pStyle w:val="ListBullet"/>
            </w:pPr>
            <w:r w:rsidRPr="00B61691">
              <w:t>knowledge of different props acquisition sources and options</w:t>
            </w:r>
          </w:p>
          <w:p w:rsidR="00000000" w:rsidP="00B61691">
            <w:pPr>
              <w:pStyle w:val="ListBullet"/>
              <w:rPr>
                <w:lang w:val="en-NZ"/>
              </w:rPr>
            </w:pPr>
            <w:r w:rsidRPr="00B61691">
              <w:t>ability to use research techniques to source props which meet production requirements.</w:t>
            </w:r>
          </w:p>
        </w:tc>
      </w:tr>
      <w:tr w:rsidTr="00A14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r w:rsidRPr="00B61691">
              <w:t>The assessment context must provide for:</w:t>
            </w:r>
          </w:p>
          <w:p w:rsidR="00000000" w:rsidRPr="00B61691" w:rsidP="00B61691">
            <w:pPr>
              <w:pStyle w:val="ListBullet"/>
            </w:pPr>
            <w:r w:rsidRPr="00B61691">
              <w:t>practical demonstration of skills through the sourcing of props to meet the n</w:t>
            </w:r>
            <w:r w:rsidRPr="00B61691">
              <w:t>eeds of a particular production</w:t>
            </w:r>
          </w:p>
          <w:p w:rsidR="00000000" w:rsidP="00B61691">
            <w:pPr>
              <w:pStyle w:val="ListBullet"/>
              <w:rPr>
                <w:lang w:val="en-NZ"/>
              </w:rPr>
            </w:pPr>
            <w:r w:rsidRPr="00B61691">
              <w:t>sourcing of props within realistic workplace timeframes.</w:t>
            </w:r>
          </w:p>
        </w:tc>
      </w:tr>
      <w:tr w:rsidTr="00A14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r w:rsidRPr="00B61691">
              <w:t>Assessment may incorporate a range of methods to assess performance and the application of essential underpinning knowledge, and might include:</w:t>
            </w:r>
          </w:p>
          <w:p w:rsidR="00000000" w:rsidRPr="00B61691" w:rsidP="00B61691">
            <w:pPr>
              <w:pStyle w:val="ListBullet"/>
            </w:pPr>
            <w:r w:rsidRPr="00B61691">
              <w:t>evaluation of props sourced by the candidate for a given production</w:t>
            </w:r>
          </w:p>
          <w:p w:rsidR="00000000" w:rsidRPr="00B61691" w:rsidP="00B61691">
            <w:pPr>
              <w:pStyle w:val="ListBullet"/>
            </w:pPr>
            <w:r w:rsidRPr="00B61691">
              <w:t>case studies to assess ability to source props for different styles of production</w:t>
            </w:r>
          </w:p>
          <w:p w:rsidR="00000000" w:rsidRPr="00B61691" w:rsidP="00B61691">
            <w:pPr>
              <w:pStyle w:val="ListBullet"/>
            </w:pPr>
            <w:r w:rsidRPr="00B61691">
              <w:t>oral or written questioning to assess knowledge of the scope of props possibilities and sources of props</w:t>
            </w:r>
          </w:p>
          <w:p w:rsidR="00000000" w:rsidRPr="00B61691" w:rsidP="00B61691">
            <w:pPr>
              <w:pStyle w:val="ListBullet"/>
            </w:pPr>
            <w:r w:rsidRPr="00B61691">
              <w:t>r</w:t>
            </w:r>
            <w:r w:rsidRPr="00B61691">
              <w:t>eview of portfolios of evidence and third party workplace reports of on-the-job performance by the candidate.</w:t>
            </w:r>
          </w:p>
          <w:p w:rsidR="00000000" w:rsidRPr="00B61691" w:rsidP="00B61691">
            <w:pPr>
              <w:pStyle w:val="BodyText"/>
            </w:pPr>
          </w:p>
          <w:p w:rsidR="00000000" w:rsidP="00B61691">
            <w:pPr>
              <w:pStyle w:val="BodyText"/>
              <w:rPr>
                <w:lang w:val="en-NZ"/>
              </w:rPr>
            </w:pPr>
            <w:r w:rsidRPr="00B61691">
              <w:t>Assessment methods should closely reflect workplace demands and the needs of particular groups (eg people with disabilities, and people who may h</w:t>
            </w:r>
            <w:r w:rsidRPr="00B61691">
              <w:t>ave literacy or numeracy difficulties such as speakers of languages other than English, remote communities and those with interrupted schooling).</w:t>
            </w:r>
          </w:p>
        </w:tc>
      </w:tr>
      <w:tr w:rsidTr="00A14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r w:rsidRPr="00B61691">
              <w:t>Assessment of this unit requires access to:</w:t>
            </w:r>
          </w:p>
          <w:p w:rsidR="00000000" w:rsidRPr="00B61691" w:rsidP="00B61691">
            <w:pPr>
              <w:pStyle w:val="ListBullet"/>
            </w:pPr>
            <w:r w:rsidRPr="00B61691">
              <w:t>sources/locations of props.</w:t>
            </w:r>
          </w:p>
        </w:tc>
      </w:tr>
    </w:tbl>
    <w:p w:rsidR="00000000" w:rsidRPr="00B61691" w:rsidP="00B61691">
      <w:pPr>
        <w:pStyle w:val="BodyText"/>
      </w:pPr>
    </w:p>
    <w:p w:rsidR="00000000" w:rsidRPr="00B61691" w:rsidP="00B61691">
      <w:pPr>
        <w:pStyle w:val="AllowPageBreak"/>
      </w:pPr>
    </w:p>
    <w:p w:rsidR="00000000" w:rsidRPr="00B61691" w:rsidP="00B61691">
      <w:pPr>
        <w:pStyle w:val="Heading1"/>
      </w:pPr>
      <w:bookmarkStart w:id="11" w:name="O_69973"/>
      <w:bookmarkEnd w:id="11"/>
      <w:r w:rsidRPr="00B61691">
        <w:t>Range Statement</w:t>
      </w:r>
    </w:p>
    <w:tbl>
      <w:tblPr>
        <w:tblW w:w="0" w:type="auto"/>
        <w:tblLayout w:type="fixed"/>
        <w:tblCellMar>
          <w:left w:w="62" w:type="dxa"/>
          <w:right w:w="62" w:type="dxa"/>
        </w:tblCellMar>
        <w:tblLook w:val="0000"/>
      </w:tblPr>
      <w:tblGrid>
        <w:gridCol w:w="3516"/>
        <w:gridCol w:w="5006"/>
      </w:tblGrid>
      <w:tr w:rsidTr="00A14A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RANGE STATEMENT</w:t>
            </w:r>
          </w:p>
        </w:tc>
      </w:tr>
      <w:tr w:rsidTr="00A14A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t xml:space="preserve">The range statement relates to the unit of competency as a whole. It allows for different work environments and situations that may affect </w:t>
            </w:r>
            <w:r w:rsidRPr="00B61691">
              <w:t>performance. Bold italicised wording, if used in the performance criteria, is detailed below. Essential operating conditions that may be present with training and assessment (depending on the work situation, needs of the candidate, accessibility of the ite</w:t>
            </w:r>
            <w:r w:rsidRPr="00B61691">
              <w:t>m, and local industry and regional contexts) may also be included.</w:t>
            </w:r>
          </w:p>
        </w:tc>
      </w:tr>
      <w:tr w:rsidTr="00A14A8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t xml:space="preserve">Production </w:t>
            </w:r>
            <w:r w:rsidRPr="00B61691">
              <w:rPr>
                <w:rStyle w:val="BoldandItalics"/>
              </w:rPr>
              <w:t>requirements</w:t>
            </w:r>
            <w:r w:rsidRPr="00B6169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ListBullet"/>
            </w:pPr>
            <w:r w:rsidRPr="00B61691">
              <w:t>director's specifications</w:t>
            </w:r>
          </w:p>
          <w:p w:rsidR="00000000" w:rsidRPr="00B61691" w:rsidP="00B61691">
            <w:pPr>
              <w:pStyle w:val="ListBullet"/>
            </w:pPr>
            <w:r w:rsidRPr="00B61691">
              <w:t>length of the run of the show</w:t>
            </w:r>
          </w:p>
          <w:p w:rsidR="00000000" w:rsidRPr="00B61691" w:rsidP="00B61691">
            <w:pPr>
              <w:pStyle w:val="ListBullet"/>
            </w:pPr>
            <w:r w:rsidRPr="00B61691">
              <w:t>occupational and health and safety requirements</w:t>
            </w:r>
          </w:p>
          <w:p w:rsidR="00000000" w:rsidRPr="00B61691" w:rsidP="00B61691">
            <w:pPr>
              <w:pStyle w:val="ListBullet"/>
            </w:pPr>
            <w:r w:rsidRPr="00B61691">
              <w:t>organisation standards</w:t>
            </w:r>
          </w:p>
          <w:p w:rsidR="00000000" w:rsidRPr="00B61691" w:rsidP="00B61691">
            <w:pPr>
              <w:pStyle w:val="ListBullet"/>
            </w:pPr>
            <w:r w:rsidRPr="00B61691">
              <w:t>performers' re</w:t>
            </w:r>
            <w:r w:rsidRPr="00B61691">
              <w:t>quirements</w:t>
            </w:r>
          </w:p>
          <w:p w:rsidR="00000000" w:rsidRPr="00B61691" w:rsidP="00B61691">
            <w:pPr>
              <w:pStyle w:val="ListBullet"/>
            </w:pPr>
            <w:r w:rsidRPr="00B61691">
              <w:t>production schedule</w:t>
            </w:r>
          </w:p>
          <w:p w:rsidR="00000000" w:rsidRPr="00B61691" w:rsidP="00B61691">
            <w:pPr>
              <w:pStyle w:val="ListBullet"/>
            </w:pPr>
            <w:r w:rsidRPr="00B61691">
              <w:t>resource constraints</w:t>
            </w:r>
          </w:p>
          <w:p w:rsidR="00000000" w:rsidP="00B61691">
            <w:pPr>
              <w:pStyle w:val="ListBullet"/>
              <w:rPr>
                <w:lang w:val="en-NZ"/>
              </w:rPr>
            </w:pPr>
            <w:r w:rsidRPr="00B61691">
              <w:t>venue requirements</w:t>
            </w:r>
          </w:p>
        </w:tc>
      </w:tr>
      <w:tr w:rsidTr="00A14A8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BoldandItalics"/>
              </w:rPr>
              <w:t>Relevant personnel</w:t>
            </w:r>
            <w:r w:rsidRPr="00B6169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ListBullet"/>
            </w:pPr>
            <w:r w:rsidRPr="00B61691">
              <w:t>designers</w:t>
            </w:r>
          </w:p>
          <w:p w:rsidR="00000000" w:rsidRPr="00B61691" w:rsidP="00B61691">
            <w:pPr>
              <w:pStyle w:val="ListBullet"/>
            </w:pPr>
            <w:r w:rsidRPr="00B61691">
              <w:t>directors</w:t>
            </w:r>
          </w:p>
          <w:p w:rsidR="00000000" w:rsidRPr="00B61691" w:rsidP="00B61691">
            <w:pPr>
              <w:pStyle w:val="ListBullet"/>
            </w:pPr>
            <w:r w:rsidRPr="00B61691">
              <w:t>set personnel</w:t>
            </w:r>
          </w:p>
          <w:p w:rsidR="00000000" w:rsidP="00B61691">
            <w:pPr>
              <w:pStyle w:val="ListBullet"/>
              <w:rPr>
                <w:lang w:val="en-NZ"/>
              </w:rPr>
            </w:pPr>
            <w:r w:rsidRPr="00B61691">
              <w:t>other specialists</w:t>
            </w:r>
          </w:p>
        </w:tc>
      </w:tr>
      <w:tr w:rsidTr="00A14A8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BoldandItalics"/>
              </w:rPr>
              <w:t>Props</w:t>
            </w:r>
            <w:r w:rsidRPr="00B6169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ListBullet"/>
            </w:pPr>
            <w:r w:rsidRPr="00B61691">
              <w:t>costume props</w:t>
            </w:r>
          </w:p>
          <w:p w:rsidR="00000000" w:rsidRPr="00B61691" w:rsidP="00B61691">
            <w:pPr>
              <w:pStyle w:val="ListBullet"/>
            </w:pPr>
            <w:r w:rsidRPr="00B61691">
              <w:t>equipment</w:t>
            </w:r>
          </w:p>
          <w:p w:rsidR="00000000" w:rsidRPr="00B61691" w:rsidP="00B61691">
            <w:pPr>
              <w:pStyle w:val="ListBullet"/>
            </w:pPr>
            <w:r w:rsidRPr="00B61691">
              <w:t>furniture</w:t>
            </w:r>
          </w:p>
          <w:p w:rsidR="00000000" w:rsidRPr="00B61691" w:rsidP="00B61691">
            <w:pPr>
              <w:pStyle w:val="ListBullet"/>
            </w:pPr>
            <w:r w:rsidRPr="00B61691">
              <w:t>hand props</w:t>
            </w:r>
          </w:p>
          <w:p w:rsidR="00000000" w:rsidRPr="00B61691" w:rsidP="00B61691">
            <w:pPr>
              <w:pStyle w:val="ListBullet"/>
            </w:pPr>
            <w:r w:rsidRPr="00B61691">
              <w:t>special effects props</w:t>
            </w:r>
          </w:p>
          <w:p w:rsidR="00000000" w:rsidP="00B61691">
            <w:pPr>
              <w:pStyle w:val="ListBullet"/>
              <w:rPr>
                <w:lang w:val="en-NZ"/>
              </w:rPr>
            </w:pPr>
            <w:r w:rsidRPr="00B61691">
              <w:t>vehicles</w:t>
            </w:r>
          </w:p>
        </w:tc>
      </w:tr>
      <w:tr w:rsidTr="00A14A8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BoldandItalics"/>
              </w:rPr>
              <w:t>Potential sources of props</w:t>
            </w:r>
            <w:r w:rsidRPr="00B61691">
              <w:t xml:space="preserve"> and different options may relate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ListBullet"/>
            </w:pPr>
            <w:r w:rsidRPr="00B61691">
              <w:t>borrowing</w:t>
            </w:r>
          </w:p>
          <w:p w:rsidR="00000000" w:rsidRPr="00B61691" w:rsidP="00B61691">
            <w:pPr>
              <w:pStyle w:val="ListBullet"/>
            </w:pPr>
            <w:r w:rsidRPr="00B61691">
              <w:t>buying</w:t>
            </w:r>
          </w:p>
          <w:p w:rsidR="00000000" w:rsidRPr="00B61691" w:rsidP="00B61691">
            <w:pPr>
              <w:pStyle w:val="ListBullet"/>
            </w:pPr>
            <w:r w:rsidRPr="00B61691">
              <w:t>having items specially made</w:t>
            </w:r>
          </w:p>
          <w:p w:rsidR="00000000" w:rsidRPr="00B61691" w:rsidP="00B61691">
            <w:pPr>
              <w:pStyle w:val="ListBullet"/>
            </w:pPr>
            <w:r w:rsidRPr="00B61691">
              <w:t xml:space="preserve">hiring </w:t>
            </w:r>
          </w:p>
          <w:p w:rsidR="00000000" w:rsidRPr="00B61691" w:rsidP="00B61691">
            <w:pPr>
              <w:pStyle w:val="ListBullet"/>
            </w:pPr>
            <w:r w:rsidRPr="00B61691">
              <w:t>making alterations to existing props</w:t>
            </w:r>
          </w:p>
        </w:tc>
      </w:tr>
    </w:tbl>
    <w:p w:rsidR="00A14A8E" w:rsidP="00B61691">
      <w:pPr>
        <w:pStyle w:val="BodyText"/>
      </w:pPr>
    </w:p>
    <w:p w:rsidR="00A14A8E" w:rsidP="00B61691">
      <w:pPr>
        <w:pStyle w:val="BodyText"/>
      </w:pPr>
    </w:p>
    <w:p w:rsidR="00000000" w:rsidRPr="00B61691" w:rsidP="00B61691">
      <w:pPr>
        <w:pStyle w:val="Heading1"/>
      </w:pPr>
      <w:bookmarkStart w:id="12" w:name="O_69974"/>
      <w:bookmarkEnd w:id="12"/>
      <w:r w:rsidRPr="00B61691">
        <w:t>Unit Sector(s)</w:t>
      </w:r>
    </w:p>
    <w:tbl>
      <w:tblPr>
        <w:tblW w:w="0" w:type="auto"/>
        <w:tblLayout w:type="fixed"/>
        <w:tblCellMar>
          <w:left w:w="62" w:type="dxa"/>
          <w:right w:w="62" w:type="dxa"/>
        </w:tblCellMar>
        <w:tblLook w:val="0000"/>
      </w:tblPr>
      <w:tblGrid>
        <w:gridCol w:w="2654"/>
        <w:gridCol w:w="5868"/>
      </w:tblGrid>
      <w:tr w:rsidTr="00A14A8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p>
        </w:tc>
      </w:tr>
    </w:tbl>
    <w:p w:rsidR="00000000" w:rsidRPr="00B61691" w:rsidP="00B61691">
      <w:pPr>
        <w:pStyle w:val="BodyText"/>
      </w:pPr>
    </w:p>
    <w:p w:rsidR="00000000" w:rsidRPr="00B61691" w:rsidP="00B61691">
      <w:pPr>
        <w:pStyle w:val="AllowPageBreak"/>
      </w:pPr>
    </w:p>
    <w:p w:rsidR="00000000" w:rsidRPr="00B61691" w:rsidP="00B61691">
      <w:pPr>
        <w:pStyle w:val="Heading1"/>
      </w:pPr>
      <w:bookmarkStart w:id="13" w:name="O_154953"/>
      <w:bookmarkEnd w:id="13"/>
      <w:r w:rsidRPr="00B61691">
        <w:t>Competency field</w:t>
      </w:r>
    </w:p>
    <w:tbl>
      <w:tblPr>
        <w:tblW w:w="0" w:type="auto"/>
        <w:tblLayout w:type="fixed"/>
        <w:tblCellMar>
          <w:left w:w="62" w:type="dxa"/>
          <w:right w:w="62" w:type="dxa"/>
        </w:tblCellMar>
        <w:tblLook w:val="0000"/>
      </w:tblPr>
      <w:tblGrid>
        <w:gridCol w:w="2778"/>
        <w:gridCol w:w="5744"/>
      </w:tblGrid>
      <w:tr w:rsidTr="00A14A8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r w:rsidRPr="00B61691">
              <w:t>Visual communication - props</w:t>
            </w:r>
          </w:p>
        </w:tc>
      </w:tr>
    </w:tbl>
    <w:p w:rsidR="00000000" w:rsidRPr="00B61691" w:rsidP="00B61691">
      <w:pPr>
        <w:pStyle w:val="BodyText"/>
      </w:pPr>
    </w:p>
    <w:p w:rsidR="00000000" w:rsidRPr="00B61691" w:rsidP="00B61691">
      <w:pPr>
        <w:pStyle w:val="AllowPageBreak"/>
      </w:pPr>
    </w:p>
    <w:p w:rsidR="00000000" w:rsidRPr="00B61691" w:rsidP="00B61691">
      <w:pPr>
        <w:pStyle w:val="Heading1"/>
      </w:pPr>
      <w:bookmarkStart w:id="14" w:name="O_154952"/>
      <w:bookmarkEnd w:id="14"/>
      <w:r w:rsidRPr="00B61691">
        <w:t>Co-requisite units</w:t>
      </w:r>
    </w:p>
    <w:tbl>
      <w:tblPr>
        <w:tblW w:w="0" w:type="auto"/>
        <w:tblLayout w:type="fixed"/>
        <w:tblCellMar>
          <w:left w:w="62" w:type="dxa"/>
          <w:right w:w="62" w:type="dxa"/>
        </w:tblCellMar>
        <w:tblLook w:val="0000"/>
      </w:tblPr>
      <w:tblGrid>
        <w:gridCol w:w="2641"/>
        <w:gridCol w:w="1322"/>
        <w:gridCol w:w="4559"/>
      </w:tblGrid>
      <w:tr w:rsidTr="00A14A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r w:rsidRPr="00B616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p>
        </w:tc>
      </w:tr>
      <w:tr w:rsidTr="00A14A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91">
            <w:pPr>
              <w:pStyle w:val="BodyText"/>
              <w:rPr>
                <w:lang w:val="en-NZ"/>
              </w:rPr>
            </w:pPr>
          </w:p>
        </w:tc>
      </w:tr>
      <w:tr w:rsidTr="00A14A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91" w:rsidP="00B61691">
            <w:pPr>
              <w:pStyle w:val="BodyText"/>
            </w:pPr>
          </w:p>
        </w:tc>
      </w:tr>
    </w:tbl>
    <w:p w:rsidR="00000000" w:rsidRPr="00B61691" w:rsidP="00B61691">
      <w:pPr>
        <w:pStyle w:val="BodyText"/>
      </w:pPr>
    </w:p>
    <w:p w:rsidR="00000000" w:rsidRPr="00B61691" w:rsidP="00B61691"/>
    <w:sectPr w:rsidSect="00B616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A8E" w:rsidP="00A14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8E" w:rsidP="00B616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14A8E" w:rsidP="00B616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4A8E" w:rsidP="00B616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A8E" w:rsidP="00A14A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8E" w:rsidP="00B61691">
    <w:pPr>
      <w:pStyle w:val="Header"/>
      <w:framePr w:wrap="around"/>
    </w:pPr>
    <w:r>
      <w:fldChar w:fldCharType="begin"/>
    </w:r>
    <w:r>
      <w:instrText xml:space="preserve"> TITLE   \* MERGEFORMAT </w:instrText>
    </w:r>
    <w:r>
      <w:fldChar w:fldCharType="separate"/>
    </w:r>
    <w:r>
      <w:t>CUEPRP02B Research, obtain and prepare props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4A8E" w:rsidP="00B616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CC24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9C7E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6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1691"/>
    <w:pPr>
      <w:spacing w:before="360" w:after="60"/>
      <w:outlineLvl w:val="0"/>
    </w:pPr>
    <w:rPr>
      <w:sz w:val="32"/>
    </w:rPr>
  </w:style>
  <w:style w:type="paragraph" w:styleId="Heading2">
    <w:name w:val="heading 2"/>
    <w:basedOn w:val="HeadingBase"/>
    <w:next w:val="BodyText"/>
    <w:link w:val="Heading2Char"/>
    <w:qFormat/>
    <w:rsid w:val="00B61691"/>
    <w:pPr>
      <w:keepLines/>
      <w:spacing w:before="240" w:after="120"/>
      <w:outlineLvl w:val="1"/>
    </w:pPr>
    <w:rPr>
      <w:sz w:val="28"/>
      <w:szCs w:val="40"/>
    </w:rPr>
  </w:style>
  <w:style w:type="paragraph" w:styleId="Heading3">
    <w:name w:val="heading 3"/>
    <w:basedOn w:val="HeadingBase"/>
    <w:next w:val="BodyText"/>
    <w:link w:val="Heading3Char"/>
    <w:qFormat/>
    <w:rsid w:val="00B61691"/>
    <w:pPr>
      <w:spacing w:before="180" w:after="120"/>
      <w:outlineLvl w:val="2"/>
    </w:pPr>
    <w:rPr>
      <w:spacing w:val="-10"/>
      <w:kern w:val="32"/>
    </w:rPr>
  </w:style>
  <w:style w:type="paragraph" w:styleId="Heading4">
    <w:name w:val="heading 4"/>
    <w:basedOn w:val="HeadingBase"/>
    <w:next w:val="BodyText"/>
    <w:link w:val="Heading4Char"/>
    <w:qFormat/>
    <w:rsid w:val="00B61691"/>
    <w:pPr>
      <w:spacing w:before="160" w:after="120"/>
      <w:outlineLvl w:val="3"/>
    </w:pPr>
    <w:rPr>
      <w:sz w:val="22"/>
    </w:rPr>
  </w:style>
  <w:style w:type="paragraph" w:styleId="Heading5">
    <w:name w:val="heading 5"/>
    <w:basedOn w:val="HeadingBase"/>
    <w:next w:val="Normal"/>
    <w:link w:val="Heading5Char"/>
    <w:qFormat/>
    <w:rsid w:val="00B61691"/>
    <w:pPr>
      <w:spacing w:before="80"/>
      <w:outlineLvl w:val="4"/>
    </w:pPr>
    <w:rPr>
      <w:color w:val="918585"/>
      <w:sz w:val="20"/>
    </w:rPr>
  </w:style>
  <w:style w:type="paragraph" w:styleId="Heading6">
    <w:name w:val="heading 6"/>
    <w:basedOn w:val="HeadingBase"/>
    <w:next w:val="Normal"/>
    <w:link w:val="Heading6Char"/>
    <w:qFormat/>
    <w:rsid w:val="00B61691"/>
    <w:pPr>
      <w:spacing w:before="60"/>
      <w:outlineLvl w:val="5"/>
    </w:pPr>
    <w:rPr>
      <w:color w:val="918585"/>
      <w:sz w:val="20"/>
    </w:rPr>
  </w:style>
  <w:style w:type="paragraph" w:styleId="Heading7">
    <w:name w:val="heading 7"/>
    <w:basedOn w:val="Normal"/>
    <w:next w:val="Normal"/>
    <w:link w:val="Heading7Char"/>
    <w:qFormat/>
    <w:rsid w:val="00B61691"/>
    <w:pPr>
      <w:ind w:left="720"/>
      <w:outlineLvl w:val="6"/>
    </w:pPr>
    <w:rPr>
      <w:i/>
    </w:rPr>
  </w:style>
  <w:style w:type="paragraph" w:styleId="Heading8">
    <w:name w:val="heading 8"/>
    <w:basedOn w:val="Normal"/>
    <w:next w:val="Normal"/>
    <w:link w:val="Heading8Char"/>
    <w:qFormat/>
    <w:rsid w:val="00B61691"/>
    <w:pPr>
      <w:ind w:left="720"/>
      <w:outlineLvl w:val="7"/>
    </w:pPr>
    <w:rPr>
      <w:i/>
    </w:rPr>
  </w:style>
  <w:style w:type="paragraph" w:styleId="Heading9">
    <w:name w:val="heading 9"/>
    <w:basedOn w:val="Normal"/>
    <w:next w:val="Normal"/>
    <w:link w:val="Heading9Char"/>
    <w:qFormat/>
    <w:rsid w:val="00B61691"/>
    <w:pPr>
      <w:ind w:left="720"/>
      <w:outlineLvl w:val="8"/>
    </w:pPr>
    <w:rPr>
      <w:i/>
    </w:rPr>
  </w:style>
  <w:style w:type="character" w:default="1" w:styleId="DefaultParagraphFont">
    <w:name w:val="Default Paragraph Font"/>
    <w:uiPriority w:val="1"/>
    <w:unhideWhenUsed/>
    <w:rsid w:val="00B616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691"/>
  </w:style>
  <w:style w:type="character" w:customStyle="1" w:styleId="Heading1Char">
    <w:name w:val="Heading 1 Char"/>
    <w:link w:val="Heading1"/>
    <w:rsid w:val="00B61691"/>
    <w:rPr>
      <w:rFonts w:ascii="Times New Roman" w:eastAsia="Times New Roman" w:hAnsi="Times New Roman" w:cs="Times New Roman"/>
      <w:b/>
      <w:sz w:val="32"/>
      <w:szCs w:val="20"/>
      <w:lang w:eastAsia="en-US"/>
    </w:rPr>
  </w:style>
  <w:style w:type="paragraph" w:styleId="BodyText">
    <w:name w:val="Body Text"/>
    <w:basedOn w:val="Normal"/>
    <w:link w:val="BodyTextChar"/>
    <w:rsid w:val="00B61691"/>
    <w:pPr>
      <w:spacing w:before="120" w:after="120"/>
      <w:contextualSpacing/>
    </w:pPr>
    <w:rPr>
      <w:rFonts w:ascii="Times New Roman" w:hAnsi="Times New Roman"/>
      <w:sz w:val="24"/>
      <w:szCs w:val="22"/>
    </w:rPr>
  </w:style>
  <w:style w:type="character" w:customStyle="1" w:styleId="BodyTextChar">
    <w:name w:val="Body Text Char"/>
    <w:link w:val="BodyText"/>
    <w:rsid w:val="00B61691"/>
    <w:rPr>
      <w:rFonts w:ascii="Times New Roman" w:eastAsia="Times New Roman" w:hAnsi="Times New Roman" w:cs="Times New Roman"/>
      <w:sz w:val="24"/>
      <w:lang w:val="en-US" w:eastAsia="en-US"/>
    </w:rPr>
  </w:style>
  <w:style w:type="paragraph" w:styleId="Footer">
    <w:name w:val="footer"/>
    <w:basedOn w:val="Normal"/>
    <w:link w:val="FooterChar"/>
    <w:rsid w:val="00B616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1691"/>
    <w:rPr>
      <w:rFonts w:ascii="Times New Roman" w:eastAsia="Times New Roman" w:hAnsi="Times New Roman" w:cs="Times New Roman"/>
      <w:sz w:val="16"/>
      <w:lang w:val="en-US" w:eastAsia="en-US"/>
    </w:rPr>
  </w:style>
  <w:style w:type="paragraph" w:styleId="List">
    <w:name w:val="List"/>
    <w:basedOn w:val="BodyText"/>
    <w:next w:val="BodyText"/>
    <w:rsid w:val="00B61691"/>
    <w:pPr>
      <w:tabs>
        <w:tab w:val="left" w:pos="340"/>
      </w:tabs>
      <w:spacing w:before="60" w:after="60"/>
      <w:ind w:left="340" w:hanging="340"/>
    </w:pPr>
  </w:style>
  <w:style w:type="paragraph" w:styleId="ListBullet">
    <w:name w:val="List Bullet"/>
    <w:basedOn w:val="List"/>
    <w:rsid w:val="00B61691"/>
    <w:pPr>
      <w:numPr>
        <w:numId w:val="12"/>
      </w:numPr>
      <w:tabs>
        <w:tab w:val="clear" w:pos="340"/>
      </w:tabs>
      <w:spacing w:before="40" w:after="40"/>
    </w:pPr>
  </w:style>
  <w:style w:type="character" w:customStyle="1" w:styleId="SpecialBold">
    <w:name w:val="Special Bold"/>
    <w:rsid w:val="00B61691"/>
    <w:rPr>
      <w:b/>
      <w:spacing w:val="0"/>
    </w:rPr>
  </w:style>
  <w:style w:type="paragraph" w:styleId="Header">
    <w:name w:val="header"/>
    <w:basedOn w:val="Normal"/>
    <w:link w:val="HeaderChar"/>
    <w:rsid w:val="00B616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16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1691"/>
    <w:pPr>
      <w:spacing w:before="240" w:after="120"/>
      <w:outlineLvl w:val="0"/>
    </w:pPr>
    <w:rPr>
      <w:rFonts w:ascii="Times New Roman" w:hAnsi="Times New Roman"/>
      <w:b/>
      <w:sz w:val="28"/>
    </w:rPr>
  </w:style>
  <w:style w:type="paragraph" w:customStyle="1" w:styleId="AllowPageBreak">
    <w:name w:val="AllowPageBreak"/>
    <w:rsid w:val="00B616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1691"/>
    <w:pPr>
      <w:tabs>
        <w:tab w:val="left" w:pos="680"/>
      </w:tabs>
      <w:spacing w:before="60" w:after="60"/>
      <w:ind w:left="680" w:hanging="340"/>
    </w:pPr>
  </w:style>
  <w:style w:type="character" w:customStyle="1" w:styleId="BoldandItalics">
    <w:name w:val="Bold and Italics"/>
    <w:qFormat/>
    <w:rsid w:val="00B61691"/>
    <w:rPr>
      <w:b/>
      <w:i/>
      <w:u w:val="none"/>
    </w:rPr>
  </w:style>
  <w:style w:type="character" w:customStyle="1" w:styleId="Heading2Char">
    <w:name w:val="Heading 2 Char"/>
    <w:link w:val="Heading2"/>
    <w:rsid w:val="00B61691"/>
    <w:rPr>
      <w:rFonts w:ascii="Times New Roman" w:eastAsia="Times New Roman" w:hAnsi="Times New Roman" w:cs="Times New Roman"/>
      <w:b/>
      <w:sz w:val="28"/>
      <w:szCs w:val="40"/>
      <w:lang w:eastAsia="en-US"/>
    </w:rPr>
  </w:style>
  <w:style w:type="character" w:customStyle="1" w:styleId="Heading3Char">
    <w:name w:val="Heading 3 Char"/>
    <w:link w:val="Heading3"/>
    <w:rsid w:val="00B6169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1691"/>
    <w:rPr>
      <w:rFonts w:ascii="Times New Roman" w:eastAsia="Times New Roman" w:hAnsi="Times New Roman" w:cs="Times New Roman"/>
      <w:b/>
      <w:szCs w:val="20"/>
      <w:lang w:eastAsia="en-US"/>
    </w:rPr>
  </w:style>
  <w:style w:type="character" w:customStyle="1" w:styleId="Heading5Char">
    <w:name w:val="Heading 5 Char"/>
    <w:link w:val="Heading5"/>
    <w:rsid w:val="00B6169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16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6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16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1691"/>
    <w:rPr>
      <w:rFonts w:ascii="Courier New" w:eastAsia="Times New Roman" w:hAnsi="Courier New" w:cs="Times New Roman"/>
      <w:i/>
      <w:szCs w:val="20"/>
      <w:lang w:val="en-US" w:eastAsia="en-US"/>
    </w:rPr>
  </w:style>
  <w:style w:type="paragraph" w:customStyle="1" w:styleId="HeadingBase">
    <w:name w:val="Heading Base"/>
    <w:rsid w:val="00B616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691"/>
    <w:pPr>
      <w:tabs>
        <w:tab w:val="right" w:leader="dot" w:pos="9072"/>
      </w:tabs>
      <w:ind w:left="567"/>
    </w:pPr>
    <w:rPr>
      <w:szCs w:val="22"/>
    </w:rPr>
  </w:style>
  <w:style w:type="paragraph" w:customStyle="1" w:styleId="TOCBase">
    <w:name w:val="TOC Base"/>
    <w:rsid w:val="00B616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691"/>
    <w:pPr>
      <w:tabs>
        <w:tab w:val="right" w:leader="dot" w:pos="9072"/>
      </w:tabs>
      <w:spacing w:before="40" w:after="40"/>
      <w:ind w:left="284"/>
    </w:pPr>
    <w:rPr>
      <w:rFonts w:ascii="Times New Roman" w:hAnsi="Times New Roman"/>
    </w:rPr>
  </w:style>
  <w:style w:type="paragraph" w:styleId="TOC1">
    <w:name w:val="toc 1"/>
    <w:basedOn w:val="TOCBase"/>
    <w:next w:val="Normal"/>
    <w:rsid w:val="00B616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691"/>
    <w:pPr>
      <w:spacing w:before="5040"/>
      <w:jc w:val="center"/>
    </w:pPr>
    <w:rPr>
      <w:sz w:val="48"/>
      <w:szCs w:val="72"/>
      <w:lang w:val="en-US"/>
    </w:rPr>
  </w:style>
  <w:style w:type="character" w:customStyle="1" w:styleId="TitleChar">
    <w:name w:val="Title Char"/>
    <w:link w:val="Title"/>
    <w:rsid w:val="00B616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691"/>
    <w:pPr>
      <w:tabs>
        <w:tab w:val="left" w:pos="3600"/>
        <w:tab w:val="left" w:pos="3958"/>
      </w:tabs>
    </w:pPr>
  </w:style>
  <w:style w:type="paragraph" w:customStyle="1" w:styleId="Note">
    <w:name w:val="Note"/>
    <w:basedOn w:val="BodyText"/>
    <w:rsid w:val="00B616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691"/>
    <w:pPr>
      <w:framePr w:wrap="auto" w:hAnchor="text" w:y="6049"/>
    </w:pPr>
    <w:rPr>
      <w:color w:val="000000"/>
      <w:sz w:val="40"/>
    </w:rPr>
  </w:style>
  <w:style w:type="paragraph" w:customStyle="1" w:styleId="TOCTitle">
    <w:name w:val="TOCTitle"/>
    <w:basedOn w:val="Heading1"/>
    <w:rsid w:val="00B61691"/>
    <w:pPr>
      <w:spacing w:after="240"/>
      <w:jc w:val="center"/>
      <w:outlineLvl w:val="9"/>
    </w:pPr>
    <w:rPr>
      <w:caps/>
    </w:rPr>
  </w:style>
  <w:style w:type="paragraph" w:customStyle="1" w:styleId="Version">
    <w:name w:val="Version"/>
    <w:rsid w:val="00B616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691"/>
    <w:pPr>
      <w:numPr>
        <w:numId w:val="13"/>
      </w:numPr>
      <w:tabs>
        <w:tab w:val="clear" w:pos="680"/>
      </w:tabs>
    </w:pPr>
  </w:style>
  <w:style w:type="paragraph" w:styleId="Index1">
    <w:name w:val="index 1"/>
    <w:basedOn w:val="Normal"/>
    <w:next w:val="Normal"/>
    <w:semiHidden/>
    <w:rsid w:val="00B61691"/>
    <w:pPr>
      <w:keepNext w:val="0"/>
      <w:tabs>
        <w:tab w:val="right" w:pos="4176"/>
      </w:tabs>
      <w:ind w:left="198" w:hanging="198"/>
    </w:pPr>
    <w:rPr>
      <w:rFonts w:ascii="Garamond" w:hAnsi="Garamond"/>
    </w:rPr>
  </w:style>
  <w:style w:type="paragraph" w:styleId="IndexHeading">
    <w:name w:val="index heading"/>
    <w:basedOn w:val="Normal"/>
    <w:next w:val="Index1"/>
    <w:semiHidden/>
    <w:rsid w:val="00B61691"/>
    <w:pPr>
      <w:spacing w:before="120" w:after="120"/>
    </w:pPr>
    <w:rPr>
      <w:rFonts w:ascii="Arial" w:hAnsi="Arial"/>
      <w:b/>
      <w:color w:val="918585"/>
      <w:sz w:val="24"/>
    </w:rPr>
  </w:style>
  <w:style w:type="paragraph" w:customStyle="1" w:styleId="Chapter">
    <w:name w:val="Chapter"/>
    <w:basedOn w:val="Normal"/>
    <w:rsid w:val="00B61691"/>
    <w:pPr>
      <w:spacing w:before="240"/>
    </w:pPr>
    <w:rPr>
      <w:rFonts w:ascii="Times New Roman" w:hAnsi="Times New Roman"/>
      <w:smallCaps/>
      <w:spacing w:val="80"/>
      <w:sz w:val="28"/>
    </w:rPr>
  </w:style>
  <w:style w:type="paragraph" w:customStyle="1" w:styleId="InChapter">
    <w:name w:val="InChapter"/>
    <w:basedOn w:val="Heading3"/>
    <w:rsid w:val="00B61691"/>
    <w:pPr>
      <w:spacing w:after="240"/>
      <w:outlineLvl w:val="9"/>
    </w:pPr>
    <w:rPr>
      <w:noProof/>
    </w:rPr>
  </w:style>
  <w:style w:type="paragraph" w:styleId="Index2">
    <w:name w:val="index 2"/>
    <w:basedOn w:val="Normal"/>
    <w:next w:val="Normal"/>
    <w:semiHidden/>
    <w:rsid w:val="00B61691"/>
    <w:pPr>
      <w:tabs>
        <w:tab w:val="right" w:pos="4176"/>
      </w:tabs>
      <w:ind w:left="568" w:hanging="284"/>
    </w:pPr>
    <w:rPr>
      <w:rFonts w:ascii="Garamond" w:hAnsi="Garamond"/>
    </w:rPr>
  </w:style>
  <w:style w:type="paragraph" w:customStyle="1" w:styleId="Byline">
    <w:name w:val="Byline"/>
    <w:rsid w:val="00B616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691"/>
    <w:pPr>
      <w:tabs>
        <w:tab w:val="clear" w:pos="3600"/>
        <w:tab w:val="clear" w:pos="3958"/>
      </w:tabs>
      <w:jc w:val="right"/>
    </w:pPr>
  </w:style>
  <w:style w:type="character" w:styleId="Emphasis">
    <w:name w:val="Emphasis"/>
    <w:qFormat/>
    <w:rsid w:val="00B61691"/>
    <w:rPr>
      <w:i/>
    </w:rPr>
  </w:style>
  <w:style w:type="paragraph" w:styleId="Caption">
    <w:name w:val="caption"/>
    <w:basedOn w:val="BodyText"/>
    <w:next w:val="Normal"/>
    <w:qFormat/>
    <w:rsid w:val="00B61691"/>
    <w:pPr>
      <w:framePr w:w="2268" w:hSpace="181" w:vSpace="181" w:wrap="around" w:vAnchor="text" w:hAnchor="page" w:x="1135" w:y="285" w:anchorLock="1"/>
    </w:pPr>
    <w:rPr>
      <w:i/>
    </w:rPr>
  </w:style>
  <w:style w:type="paragraph" w:customStyle="1" w:styleId="MiniTOCTitle">
    <w:name w:val="MiniTOCTitle"/>
    <w:basedOn w:val="Heading4"/>
    <w:rsid w:val="00B61691"/>
    <w:pPr>
      <w:spacing w:before="240"/>
      <w:outlineLvl w:val="9"/>
    </w:pPr>
    <w:rPr>
      <w:noProof/>
      <w:sz w:val="24"/>
    </w:rPr>
  </w:style>
  <w:style w:type="paragraph" w:customStyle="1" w:styleId="MiniTOCItem">
    <w:name w:val="MiniTOCItem"/>
    <w:basedOn w:val="ListBullet"/>
    <w:rsid w:val="00B61691"/>
    <w:pPr>
      <w:numPr>
        <w:numId w:val="0"/>
      </w:numPr>
      <w:tabs>
        <w:tab w:val="right" w:leader="dot" w:pos="6521"/>
      </w:tabs>
      <w:spacing w:before="0" w:after="0"/>
    </w:pPr>
  </w:style>
  <w:style w:type="paragraph" w:customStyle="1" w:styleId="TOFTitle">
    <w:name w:val="TOFTitle"/>
    <w:basedOn w:val="TOCTitle"/>
    <w:rsid w:val="00B61691"/>
  </w:style>
  <w:style w:type="paragraph" w:styleId="TableofFigures">
    <w:name w:val="table of figures"/>
    <w:basedOn w:val="Normal"/>
    <w:next w:val="Normal"/>
    <w:semiHidden/>
    <w:rsid w:val="00B61691"/>
    <w:pPr>
      <w:tabs>
        <w:tab w:val="right" w:leader="dot" w:pos="9072"/>
      </w:tabs>
      <w:ind w:left="970" w:hanging="403"/>
    </w:pPr>
    <w:rPr>
      <w:rFonts w:ascii="Times New Roman" w:hAnsi="Times New Roman"/>
      <w:b/>
    </w:rPr>
  </w:style>
  <w:style w:type="paragraph" w:styleId="ListNumber">
    <w:name w:val="List Number"/>
    <w:basedOn w:val="List"/>
    <w:rsid w:val="00B61691"/>
    <w:pPr>
      <w:numPr>
        <w:numId w:val="10"/>
      </w:numPr>
    </w:pPr>
  </w:style>
  <w:style w:type="character" w:customStyle="1" w:styleId="WingdingSymbols">
    <w:name w:val="Wingding Symbols"/>
    <w:rsid w:val="00B61691"/>
    <w:rPr>
      <w:rFonts w:ascii="Wingdings" w:hAnsi="Wingdings"/>
    </w:rPr>
  </w:style>
  <w:style w:type="paragraph" w:customStyle="1" w:styleId="TableHeading">
    <w:name w:val="Table Heading"/>
    <w:basedOn w:val="HeadingBase"/>
    <w:rsid w:val="00B61691"/>
    <w:pPr>
      <w:keepLines/>
      <w:pBdr>
        <w:bottom w:val="single" w:sz="6" w:space="1" w:color="918585"/>
      </w:pBdr>
      <w:spacing w:before="240"/>
    </w:pPr>
  </w:style>
  <w:style w:type="character" w:customStyle="1" w:styleId="HotSpot">
    <w:name w:val="HotSpot"/>
    <w:rsid w:val="00B61691"/>
    <w:rPr>
      <w:color w:val="0033CC"/>
      <w:u w:val="none"/>
    </w:rPr>
  </w:style>
  <w:style w:type="paragraph" w:customStyle="1" w:styleId="BodyTextRight">
    <w:name w:val="Body Text Right"/>
    <w:basedOn w:val="BodyText"/>
    <w:rsid w:val="00B61691"/>
    <w:pPr>
      <w:spacing w:before="0" w:after="0"/>
      <w:jc w:val="right"/>
    </w:pPr>
  </w:style>
  <w:style w:type="paragraph" w:styleId="Index3">
    <w:name w:val="index 3"/>
    <w:basedOn w:val="ListNumber2"/>
    <w:next w:val="Normal"/>
    <w:semiHidden/>
    <w:rsid w:val="00B61691"/>
    <w:pPr>
      <w:numPr>
        <w:numId w:val="0"/>
      </w:numPr>
      <w:tabs>
        <w:tab w:val="right" w:leader="dot" w:pos="4176"/>
      </w:tabs>
    </w:pPr>
  </w:style>
  <w:style w:type="paragraph" w:styleId="ListNumber2">
    <w:name w:val="List Number 2"/>
    <w:basedOn w:val="List2"/>
    <w:rsid w:val="00B61691"/>
    <w:pPr>
      <w:numPr>
        <w:numId w:val="9"/>
      </w:numPr>
      <w:tabs>
        <w:tab w:val="clear" w:pos="1060"/>
      </w:tabs>
    </w:pPr>
  </w:style>
  <w:style w:type="paragraph" w:customStyle="1" w:styleId="MarginNote">
    <w:name w:val="Margin Note"/>
    <w:basedOn w:val="BodyText"/>
    <w:rsid w:val="00B616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6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16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1691"/>
    <w:rPr>
      <w:sz w:val="32"/>
    </w:rPr>
  </w:style>
  <w:style w:type="paragraph" w:customStyle="1" w:styleId="HeadingProcedure">
    <w:name w:val="Heading Procedure"/>
    <w:basedOn w:val="HeadingBase"/>
    <w:next w:val="Normal"/>
    <w:rsid w:val="00B61691"/>
    <w:pPr>
      <w:tabs>
        <w:tab w:val="left" w:pos="0"/>
      </w:tabs>
      <w:spacing w:before="120" w:after="60"/>
    </w:pPr>
    <w:rPr>
      <w:i/>
      <w:color w:val="918585"/>
      <w:sz w:val="22"/>
    </w:rPr>
  </w:style>
  <w:style w:type="paragraph" w:customStyle="1" w:styleId="TableBodyText">
    <w:name w:val="Table Body Text"/>
    <w:basedOn w:val="BodyText"/>
    <w:rsid w:val="00B61691"/>
    <w:pPr>
      <w:spacing w:before="60" w:after="60"/>
    </w:pPr>
  </w:style>
  <w:style w:type="paragraph" w:styleId="ListContinue">
    <w:name w:val="List Continue"/>
    <w:basedOn w:val="List"/>
    <w:rsid w:val="00B61691"/>
    <w:pPr>
      <w:ind w:firstLine="0"/>
    </w:pPr>
  </w:style>
  <w:style w:type="paragraph" w:customStyle="1" w:styleId="ListNote">
    <w:name w:val="List Note"/>
    <w:basedOn w:val="List"/>
    <w:rsid w:val="00B61691"/>
    <w:pPr>
      <w:pBdr>
        <w:top w:val="single" w:sz="6" w:space="2" w:color="918585"/>
        <w:bottom w:val="single" w:sz="6" w:space="2" w:color="918585"/>
      </w:pBdr>
      <w:tabs>
        <w:tab w:val="left" w:pos="1021"/>
      </w:tabs>
      <w:ind w:firstLine="0"/>
    </w:pPr>
  </w:style>
  <w:style w:type="paragraph" w:customStyle="1" w:styleId="Warning">
    <w:name w:val="Warning"/>
    <w:basedOn w:val="BodyText"/>
    <w:rsid w:val="00B61691"/>
    <w:pPr>
      <w:shd w:val="clear" w:color="auto" w:fill="D9D9D9"/>
      <w:tabs>
        <w:tab w:val="left" w:pos="992"/>
      </w:tabs>
      <w:ind w:left="119" w:right="119"/>
    </w:pPr>
    <w:rPr>
      <w:sz w:val="20"/>
    </w:rPr>
  </w:style>
  <w:style w:type="paragraph" w:customStyle="1" w:styleId="MarginIcons">
    <w:name w:val="Margin Icons"/>
    <w:basedOn w:val="BodyText"/>
    <w:rsid w:val="00B6169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1691"/>
    <w:rPr>
      <w:rFonts w:ascii="Courier New" w:hAnsi="Courier New"/>
    </w:rPr>
  </w:style>
  <w:style w:type="paragraph" w:customStyle="1" w:styleId="NoteBullet">
    <w:name w:val="Note Bullet"/>
    <w:basedOn w:val="Note"/>
    <w:rsid w:val="00B61691"/>
    <w:pPr>
      <w:tabs>
        <w:tab w:val="clear" w:pos="680"/>
      </w:tabs>
      <w:spacing w:before="60" w:after="60"/>
    </w:pPr>
  </w:style>
  <w:style w:type="paragraph" w:customStyle="1" w:styleId="SubHeading2">
    <w:name w:val="SubHeading2"/>
    <w:basedOn w:val="HeadingBase"/>
    <w:rsid w:val="00B61691"/>
    <w:pPr>
      <w:spacing w:before="240" w:after="60"/>
    </w:pPr>
    <w:rPr>
      <w:sz w:val="20"/>
    </w:rPr>
  </w:style>
  <w:style w:type="paragraph" w:customStyle="1" w:styleId="SubHeading1">
    <w:name w:val="SubHeading1"/>
    <w:basedOn w:val="HeadingBase"/>
    <w:rsid w:val="00B61691"/>
    <w:pPr>
      <w:spacing w:before="240" w:after="60"/>
    </w:pPr>
    <w:rPr>
      <w:color w:val="918585"/>
      <w:sz w:val="22"/>
    </w:rPr>
  </w:style>
  <w:style w:type="paragraph" w:customStyle="1" w:styleId="SideHeading">
    <w:name w:val="Side Heading"/>
    <w:basedOn w:val="HeadingBase"/>
    <w:rsid w:val="00B616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691"/>
    <w:pPr>
      <w:tabs>
        <w:tab w:val="num" w:pos="360"/>
      </w:tabs>
    </w:pPr>
  </w:style>
  <w:style w:type="paragraph" w:styleId="PlainText">
    <w:name w:val="Plain Text"/>
    <w:basedOn w:val="Normal"/>
    <w:link w:val="PlainTextChar"/>
    <w:rsid w:val="00B61691"/>
    <w:rPr>
      <w:sz w:val="20"/>
    </w:rPr>
  </w:style>
  <w:style w:type="character" w:customStyle="1" w:styleId="PlainTextChar">
    <w:name w:val="Plain Text Char"/>
    <w:basedOn w:val="DefaultParagraphFont"/>
    <w:link w:val="PlainText"/>
    <w:rsid w:val="00B61691"/>
    <w:rPr>
      <w:rFonts w:ascii="Courier New" w:eastAsia="Times New Roman" w:hAnsi="Courier New" w:cs="Times New Roman"/>
      <w:sz w:val="20"/>
      <w:szCs w:val="20"/>
      <w:lang w:val="en-US" w:eastAsia="en-US"/>
    </w:rPr>
  </w:style>
  <w:style w:type="character" w:customStyle="1" w:styleId="MenuOption">
    <w:name w:val="Menu Option"/>
    <w:rsid w:val="00B61691"/>
    <w:rPr>
      <w:b/>
      <w:smallCaps/>
    </w:rPr>
  </w:style>
  <w:style w:type="paragraph" w:customStyle="1" w:styleId="TableListNumber">
    <w:name w:val="Table List Number"/>
    <w:basedOn w:val="ListNumber"/>
    <w:rsid w:val="00B61691"/>
    <w:pPr>
      <w:numPr>
        <w:numId w:val="0"/>
      </w:numPr>
    </w:pPr>
  </w:style>
  <w:style w:type="paragraph" w:styleId="TOC4">
    <w:name w:val="toc 4"/>
    <w:basedOn w:val="TOCBase"/>
    <w:next w:val="Normal"/>
    <w:semiHidden/>
    <w:rsid w:val="00B61691"/>
    <w:pPr>
      <w:tabs>
        <w:tab w:val="right" w:leader="dot" w:pos="9071"/>
      </w:tabs>
      <w:ind w:left="1701"/>
    </w:pPr>
  </w:style>
  <w:style w:type="paragraph" w:customStyle="1" w:styleId="ListAlpha">
    <w:name w:val="List Alpha"/>
    <w:basedOn w:val="List"/>
    <w:rsid w:val="00B61691"/>
    <w:pPr>
      <w:numPr>
        <w:numId w:val="8"/>
      </w:numPr>
    </w:pPr>
  </w:style>
  <w:style w:type="paragraph" w:customStyle="1" w:styleId="ListAlpha2">
    <w:name w:val="List Alpha 2"/>
    <w:basedOn w:val="List2"/>
    <w:rsid w:val="00B61691"/>
    <w:pPr>
      <w:numPr>
        <w:numId w:val="7"/>
      </w:numPr>
    </w:pPr>
  </w:style>
  <w:style w:type="paragraph" w:styleId="List3">
    <w:name w:val="List 3"/>
    <w:basedOn w:val="BodyText"/>
    <w:rsid w:val="00B61691"/>
    <w:pPr>
      <w:tabs>
        <w:tab w:val="left" w:pos="1021"/>
      </w:tabs>
      <w:spacing w:before="60" w:after="60"/>
      <w:ind w:left="1020" w:hanging="340"/>
    </w:pPr>
  </w:style>
  <w:style w:type="paragraph" w:styleId="List4">
    <w:name w:val="List 4"/>
    <w:basedOn w:val="BodyText"/>
    <w:rsid w:val="00B61691"/>
    <w:pPr>
      <w:tabs>
        <w:tab w:val="left" w:pos="1361"/>
      </w:tabs>
      <w:spacing w:before="60" w:after="60"/>
      <w:ind w:left="1361" w:hanging="340"/>
    </w:pPr>
  </w:style>
  <w:style w:type="paragraph" w:styleId="List5">
    <w:name w:val="List 5"/>
    <w:basedOn w:val="BodyText"/>
    <w:rsid w:val="00B61691"/>
    <w:pPr>
      <w:tabs>
        <w:tab w:val="left" w:pos="1701"/>
      </w:tabs>
      <w:spacing w:before="60" w:after="60"/>
      <w:ind w:left="1701" w:hanging="340"/>
    </w:pPr>
  </w:style>
  <w:style w:type="paragraph" w:styleId="ListBullet3">
    <w:name w:val="List Bullet 3"/>
    <w:basedOn w:val="List3"/>
    <w:rsid w:val="00B61691"/>
    <w:pPr>
      <w:numPr>
        <w:numId w:val="14"/>
      </w:numPr>
      <w:tabs>
        <w:tab w:val="clear" w:pos="1021"/>
      </w:tabs>
      <w:ind w:left="1037" w:hanging="357"/>
    </w:pPr>
  </w:style>
  <w:style w:type="paragraph" w:styleId="ListBullet4">
    <w:name w:val="List Bullet 4"/>
    <w:basedOn w:val="List4"/>
    <w:rsid w:val="00B61691"/>
    <w:pPr>
      <w:numPr>
        <w:numId w:val="2"/>
      </w:numPr>
    </w:pPr>
  </w:style>
  <w:style w:type="paragraph" w:styleId="ListBullet5">
    <w:name w:val="List Bullet 5"/>
    <w:basedOn w:val="List5"/>
    <w:rsid w:val="00B61691"/>
    <w:pPr>
      <w:numPr>
        <w:numId w:val="3"/>
      </w:numPr>
    </w:pPr>
  </w:style>
  <w:style w:type="paragraph" w:styleId="ListContinue2">
    <w:name w:val="List Continue 2"/>
    <w:basedOn w:val="List2"/>
    <w:rsid w:val="00B61691"/>
    <w:pPr>
      <w:ind w:firstLine="0"/>
    </w:pPr>
  </w:style>
  <w:style w:type="paragraph" w:styleId="ListContinue3">
    <w:name w:val="List Continue 3"/>
    <w:basedOn w:val="List3"/>
    <w:rsid w:val="00B61691"/>
    <w:pPr>
      <w:ind w:left="1021" w:firstLine="0"/>
    </w:pPr>
  </w:style>
  <w:style w:type="paragraph" w:styleId="ListContinue4">
    <w:name w:val="List Continue 4"/>
    <w:basedOn w:val="List4"/>
    <w:rsid w:val="00B61691"/>
    <w:pPr>
      <w:ind w:firstLine="0"/>
    </w:pPr>
  </w:style>
  <w:style w:type="paragraph" w:styleId="ListContinue5">
    <w:name w:val="List Continue 5"/>
    <w:basedOn w:val="List5"/>
    <w:rsid w:val="00B61691"/>
    <w:pPr>
      <w:ind w:firstLine="0"/>
    </w:pPr>
  </w:style>
  <w:style w:type="paragraph" w:styleId="ListNumber3">
    <w:name w:val="List Number 3"/>
    <w:basedOn w:val="List3"/>
    <w:rsid w:val="00B61691"/>
    <w:pPr>
      <w:numPr>
        <w:numId w:val="4"/>
      </w:numPr>
    </w:pPr>
  </w:style>
  <w:style w:type="paragraph" w:styleId="ListNumber4">
    <w:name w:val="List Number 4"/>
    <w:basedOn w:val="List4"/>
    <w:rsid w:val="00B61691"/>
    <w:pPr>
      <w:numPr>
        <w:numId w:val="5"/>
      </w:numPr>
    </w:pPr>
  </w:style>
  <w:style w:type="paragraph" w:styleId="ListNumber5">
    <w:name w:val="List Number 5"/>
    <w:basedOn w:val="List5"/>
    <w:rsid w:val="00B61691"/>
    <w:pPr>
      <w:numPr>
        <w:numId w:val="6"/>
      </w:numPr>
    </w:pPr>
  </w:style>
  <w:style w:type="paragraph" w:styleId="BlockText">
    <w:name w:val="Block Text"/>
    <w:basedOn w:val="Normal"/>
    <w:rsid w:val="00B61691"/>
    <w:pPr>
      <w:spacing w:after="120"/>
      <w:ind w:left="1440" w:right="1440"/>
    </w:pPr>
  </w:style>
  <w:style w:type="character" w:customStyle="1" w:styleId="Subscript">
    <w:name w:val="Subscript"/>
    <w:rsid w:val="00B61691"/>
    <w:rPr>
      <w:sz w:val="16"/>
      <w:vertAlign w:val="subscript"/>
    </w:rPr>
  </w:style>
  <w:style w:type="character" w:customStyle="1" w:styleId="Superscript">
    <w:name w:val="Superscript"/>
    <w:rsid w:val="00B61691"/>
    <w:rPr>
      <w:sz w:val="16"/>
      <w:vertAlign w:val="superscript"/>
    </w:rPr>
  </w:style>
  <w:style w:type="character" w:customStyle="1" w:styleId="Symbols">
    <w:name w:val="Symbols"/>
    <w:rsid w:val="00B61691"/>
    <w:rPr>
      <w:rFonts w:ascii="Symbol" w:hAnsi="Symbol"/>
    </w:rPr>
  </w:style>
  <w:style w:type="character" w:customStyle="1" w:styleId="MenuOptions">
    <w:name w:val="Menu Options"/>
    <w:rsid w:val="00B61691"/>
    <w:rPr>
      <w:rFonts w:ascii="Arial Narrow" w:hAnsi="Arial Narrow"/>
      <w:smallCaps/>
    </w:rPr>
  </w:style>
  <w:style w:type="character" w:customStyle="1" w:styleId="Buttons">
    <w:name w:val="Buttons"/>
    <w:rsid w:val="00B61691"/>
    <w:rPr>
      <w:b/>
    </w:rPr>
  </w:style>
  <w:style w:type="character" w:customStyle="1" w:styleId="Underlined">
    <w:name w:val="Underlined"/>
    <w:rsid w:val="00B61691"/>
    <w:rPr>
      <w:u w:val="single"/>
    </w:rPr>
  </w:style>
  <w:style w:type="paragraph" w:customStyle="1" w:styleId="TableBodyTextRight">
    <w:name w:val="Table Body Text Right"/>
    <w:basedOn w:val="TableBodyText"/>
    <w:rsid w:val="00B61691"/>
    <w:pPr>
      <w:widowControl w:val="0"/>
      <w:autoSpaceDE w:val="0"/>
      <w:autoSpaceDN w:val="0"/>
      <w:adjustRightInd w:val="0"/>
      <w:jc w:val="right"/>
    </w:pPr>
    <w:rPr>
      <w:rFonts w:cs="Arial"/>
      <w:szCs w:val="18"/>
    </w:rPr>
  </w:style>
  <w:style w:type="paragraph" w:customStyle="1" w:styleId="CopyrightText">
    <w:name w:val="Copyright Text"/>
    <w:basedOn w:val="BodyText"/>
    <w:rsid w:val="00B61691"/>
    <w:rPr>
      <w:sz w:val="18"/>
    </w:rPr>
  </w:style>
  <w:style w:type="paragraph" w:customStyle="1" w:styleId="BodySmallRight">
    <w:name w:val="Body Small Right"/>
    <w:basedOn w:val="BodyTextRight"/>
    <w:rsid w:val="00B61691"/>
    <w:rPr>
      <w:sz w:val="18"/>
      <w:szCs w:val="18"/>
    </w:rPr>
  </w:style>
  <w:style w:type="paragraph" w:customStyle="1" w:styleId="MarginEdition">
    <w:name w:val="Margin Edition"/>
    <w:basedOn w:val="MarginNote"/>
    <w:rsid w:val="00B61691"/>
    <w:pPr>
      <w:spacing w:before="0" w:after="0"/>
    </w:pPr>
    <w:rPr>
      <w:rFonts w:ascii="Times New Roman" w:hAnsi="Times New Roman"/>
      <w:color w:val="999999"/>
    </w:rPr>
  </w:style>
  <w:style w:type="paragraph" w:customStyle="1" w:styleId="Spacer">
    <w:name w:val="Spacer"/>
    <w:basedOn w:val="Normal"/>
    <w:rsid w:val="00B61691"/>
    <w:rPr>
      <w:sz w:val="2"/>
      <w:szCs w:val="2"/>
    </w:rPr>
  </w:style>
  <w:style w:type="character" w:customStyle="1" w:styleId="Small">
    <w:name w:val="Small"/>
    <w:rsid w:val="00B61691"/>
    <w:rPr>
      <w:sz w:val="16"/>
    </w:rPr>
  </w:style>
  <w:style w:type="paragraph" w:customStyle="1" w:styleId="WideTable">
    <w:name w:val="Wide Table"/>
    <w:basedOn w:val="Normal"/>
    <w:rsid w:val="00B61691"/>
    <w:pPr>
      <w:ind w:left="-1418"/>
    </w:pPr>
    <w:rPr>
      <w:sz w:val="2"/>
      <w:szCs w:val="2"/>
    </w:rPr>
  </w:style>
  <w:style w:type="character" w:styleId="PageNumber">
    <w:name w:val="page number"/>
    <w:rsid w:val="00B61691"/>
  </w:style>
  <w:style w:type="paragraph" w:styleId="Quote">
    <w:name w:val="Quote"/>
    <w:basedOn w:val="Heading1"/>
    <w:link w:val="QuoteChar"/>
    <w:qFormat/>
    <w:rsid w:val="00B61691"/>
    <w:rPr>
      <w:b w:val="0"/>
      <w:sz w:val="72"/>
      <w:szCs w:val="72"/>
      <w:lang w:val="en-NZ"/>
    </w:rPr>
  </w:style>
  <w:style w:type="character" w:customStyle="1" w:styleId="QuoteChar">
    <w:name w:val="Quote Char"/>
    <w:link w:val="Quote"/>
    <w:rsid w:val="00B616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691"/>
    <w:pPr>
      <w:pageBreakBefore/>
    </w:pPr>
  </w:style>
  <w:style w:type="paragraph" w:customStyle="1" w:styleId="Border">
    <w:name w:val="Border"/>
    <w:basedOn w:val="Normal"/>
    <w:qFormat/>
    <w:rsid w:val="00B61691"/>
    <w:pPr>
      <w:pBdr>
        <w:top w:val="single" w:sz="18" w:space="1" w:color="auto"/>
      </w:pBdr>
    </w:pPr>
    <w:rPr>
      <w:rFonts w:ascii="Times New Roman" w:hAnsi="Times New Roman"/>
      <w:color w:val="FFFFFF"/>
      <w:sz w:val="2"/>
    </w:rPr>
  </w:style>
  <w:style w:type="character" w:styleId="IntenseEmphasis">
    <w:name w:val="Intense Emphasis"/>
    <w:uiPriority w:val="21"/>
    <w:qFormat/>
    <w:rsid w:val="00B61691"/>
    <w:rPr>
      <w:b/>
      <w:bCs/>
      <w:i/>
      <w:iCs/>
      <w:color w:val="auto"/>
    </w:rPr>
  </w:style>
  <w:style w:type="paragraph" w:styleId="IntenseQuote">
    <w:name w:val="Intense Quote"/>
    <w:basedOn w:val="Normal"/>
    <w:next w:val="Normal"/>
    <w:link w:val="IntenseQuoteChar"/>
    <w:uiPriority w:val="30"/>
    <w:qFormat/>
    <w:rsid w:val="00B6169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1691"/>
    <w:rPr>
      <w:rFonts w:ascii="Courier New" w:eastAsia="Times New Roman" w:hAnsi="Courier New" w:cs="Times New Roman"/>
      <w:b/>
      <w:bCs/>
      <w:i/>
      <w:iCs/>
      <w:szCs w:val="20"/>
      <w:lang w:val="en-US" w:eastAsia="en-US"/>
    </w:rPr>
  </w:style>
  <w:style w:type="character" w:styleId="SubtleReference">
    <w:name w:val="Subtle Reference"/>
    <w:uiPriority w:val="31"/>
    <w:qFormat/>
    <w:rsid w:val="00B61691"/>
    <w:rPr>
      <w:smallCaps/>
      <w:color w:val="auto"/>
      <w:u w:val="single"/>
    </w:rPr>
  </w:style>
  <w:style w:type="character" w:styleId="IntenseReference">
    <w:name w:val="Intense Reference"/>
    <w:uiPriority w:val="32"/>
    <w:qFormat/>
    <w:rsid w:val="00B61691"/>
    <w:rPr>
      <w:b/>
      <w:bCs/>
      <w:smallCaps/>
      <w:color w:val="auto"/>
      <w:spacing w:val="5"/>
      <w:u w:val="single"/>
    </w:rPr>
  </w:style>
  <w:style w:type="paragraph" w:customStyle="1" w:styleId="2ColumnHeading">
    <w:name w:val="2Column Heading"/>
    <w:basedOn w:val="BodyText"/>
    <w:qFormat/>
    <w:rsid w:val="00B61691"/>
    <w:pPr>
      <w:spacing w:after="60"/>
      <w:ind w:left="-2268"/>
    </w:pPr>
    <w:rPr>
      <w:b/>
    </w:rPr>
  </w:style>
  <w:style w:type="paragraph" w:customStyle="1" w:styleId="Heading1TOC">
    <w:name w:val="Heading1 TOC"/>
    <w:basedOn w:val="Normal"/>
    <w:qFormat/>
    <w:rsid w:val="00B61691"/>
    <w:pPr>
      <w:spacing w:before="240" w:after="120"/>
    </w:pPr>
    <w:rPr>
      <w:rFonts w:ascii="Times New Roman" w:hAnsi="Times New Roman"/>
      <w:b/>
      <w:sz w:val="32"/>
    </w:rPr>
  </w:style>
  <w:style w:type="paragraph" w:customStyle="1" w:styleId="Heading2TOC">
    <w:name w:val="Heading2 TOC"/>
    <w:basedOn w:val="Normal"/>
    <w:qFormat/>
    <w:rsid w:val="00B61691"/>
    <w:pPr>
      <w:spacing w:before="240" w:after="60"/>
    </w:pPr>
    <w:rPr>
      <w:rFonts w:ascii="Times New Roman" w:hAnsi="Times New Roman"/>
      <w:b/>
      <w:sz w:val="28"/>
    </w:rPr>
  </w:style>
  <w:style w:type="character" w:customStyle="1" w:styleId="Underline">
    <w:name w:val="Underline"/>
    <w:qFormat/>
    <w:rsid w:val="00B61691"/>
    <w:rPr>
      <w:u w:val="single"/>
    </w:rPr>
  </w:style>
  <w:style w:type="paragraph" w:styleId="BalloonText">
    <w:name w:val="Balloon Text"/>
    <w:basedOn w:val="Normal"/>
    <w:link w:val="BalloonTextChar"/>
    <w:rsid w:val="00B61691"/>
    <w:rPr>
      <w:rFonts w:ascii="Tahoma" w:hAnsi="Tahoma" w:cs="Tahoma"/>
      <w:sz w:val="16"/>
      <w:szCs w:val="16"/>
    </w:rPr>
  </w:style>
  <w:style w:type="character" w:customStyle="1" w:styleId="BalloonTextChar">
    <w:name w:val="Balloon Text Char"/>
    <w:link w:val="BalloonText"/>
    <w:rsid w:val="00B616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169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169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979</Words>
  <Characters>5983</Characters>
  <Application>Microsoft Office Word</Application>
  <DocSecurity>0</DocSecurity>
  <Lines>237</Lines>
  <Paragraphs>113</Paragraphs>
  <ScaleCrop>false</ScaleCrop>
  <Company>Author-it Software Corporation Ltd.</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CUEPRP02B Research, obtain and prepare props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2012-05-26T23:17:00Z</dcterms:created>
  <dcterms:modified xsi:type="dcterms:W3CDTF">2012-05-26T23:17:00Z</dcterms:modified>
</cp:coreProperties>
</file>