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132" w:rsidP="009A5132">
      <w:pPr>
        <w:pStyle w:val="Title"/>
      </w:pPr>
      <w:r>
        <w:fldChar w:fldCharType="begin"/>
      </w:r>
      <w:r>
        <w:instrText xml:space="preserve"> TITLE   \* MERGEFORMAT </w:instrText>
      </w:r>
      <w:r>
        <w:fldChar w:fldCharType="separate"/>
      </w:r>
      <w:r>
        <w:t>CUELGT07C Record and operate lighting using advanced techniques</w:t>
      </w:r>
      <w:r>
        <w:fldChar w:fldCharType="end"/>
      </w:r>
    </w:p>
    <w:p w:rsidR="009A5132" w:rsidP="009A5132">
      <w:pPr>
        <w:pStyle w:val="Version"/>
        <w:sectPr w:rsidSect="00CE1B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E1BFC" w:rsidP="00CE1BFC">
      <w:pPr>
        <w:pStyle w:val="SuperHeading"/>
      </w:pPr>
      <w:r w:rsidRPr="00CE1BFC">
        <w:t>CUELGT07C Record and operate lighting using advanced techniques</w:t>
      </w:r>
    </w:p>
    <w:p w:rsidR="00000000" w:rsidRPr="00CE1BFC" w:rsidP="00CE1BFC">
      <w:pPr>
        <w:pStyle w:val="SuperHeading"/>
      </w:pPr>
    </w:p>
    <w:p w:rsidR="00000000" w:rsidRPr="00CE1BFC" w:rsidP="00CE1BFC">
      <w:pPr>
        <w:pStyle w:val="Heading1"/>
      </w:pPr>
      <w:bookmarkStart w:id="1" w:name="O_69879"/>
      <w:bookmarkEnd w:id="1"/>
      <w:r w:rsidRPr="00CE1BFC">
        <w:t>Modification History</w:t>
      </w:r>
    </w:p>
    <w:p w:rsidR="00000000" w:rsidRPr="00CE1BFC" w:rsidP="00CE1BFC">
      <w:pPr>
        <w:pStyle w:val="BodyText"/>
      </w:pPr>
      <w:r w:rsidRPr="00CE1BFC">
        <w:t>Not applicable.</w:t>
      </w:r>
    </w:p>
    <w:p w:rsidR="00000000" w:rsidRPr="00CE1BFC" w:rsidP="00CE1BFC">
      <w:pPr>
        <w:pStyle w:val="AllowPageBreak"/>
      </w:pPr>
    </w:p>
    <w:p w:rsidR="00000000" w:rsidRPr="00CE1BFC" w:rsidP="00CE1BFC">
      <w:pPr>
        <w:pStyle w:val="Heading1"/>
      </w:pPr>
      <w:bookmarkStart w:id="2" w:name="O_69880"/>
      <w:bookmarkEnd w:id="2"/>
      <w:r w:rsidRPr="00CE1BFC">
        <w:t>Unit Descriptor</w:t>
      </w:r>
    </w:p>
    <w:tbl>
      <w:tblPr>
        <w:tblW w:w="0" w:type="auto"/>
        <w:tblLayout w:type="fixed"/>
        <w:tblCellMar>
          <w:left w:w="62" w:type="dxa"/>
          <w:right w:w="62" w:type="dxa"/>
        </w:tblCellMar>
        <w:tblLook w:val="0000"/>
      </w:tblPr>
      <w:tblGrid>
        <w:gridCol w:w="2667"/>
        <w:gridCol w:w="5855"/>
      </w:tblGrid>
      <w:tr w:rsidTr="009A5132">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BodyText"/>
            </w:pPr>
            <w:r w:rsidRPr="00CE1BFC">
              <w:t>This unit describes the skills and knowledge required to connect lighting sy</w:t>
            </w:r>
            <w:r w:rsidRPr="00CE1BFC">
              <w:t>stems to advanced fixtures, and program the console accordingly. It builds on the units CUFLGT302A Record and operate standard lighting cues and CUFLGT402A Set up, record and operate lighting cues and effects.</w:t>
            </w:r>
          </w:p>
          <w:p w:rsidR="00000000" w:rsidRPr="00CE1BFC" w:rsidP="00CE1BFC">
            <w:pPr>
              <w:pStyle w:val="BodyText"/>
            </w:pPr>
          </w:p>
          <w:p w:rsidR="00000000" w:rsidRPr="00CE1BFC" w:rsidP="00CE1BFC">
            <w:pPr>
              <w:pStyle w:val="BodyText"/>
            </w:pPr>
            <w:r w:rsidRPr="00CE1BFC">
              <w:t>No licensing, legislative, regulatory or cert</w:t>
            </w:r>
            <w:r w:rsidRPr="00CE1BFC">
              <w:t>ification requirements apply to this unit at the time of endorsement.</w:t>
            </w:r>
          </w:p>
        </w:tc>
      </w:tr>
    </w:tbl>
    <w:p w:rsidR="00000000" w:rsidRPr="00CE1BFC" w:rsidP="00CE1BFC">
      <w:pPr>
        <w:pStyle w:val="BodyText"/>
      </w:pPr>
    </w:p>
    <w:p w:rsidR="00000000" w:rsidRPr="00CE1BFC" w:rsidP="00CE1BFC">
      <w:pPr>
        <w:pStyle w:val="AllowPageBreak"/>
      </w:pPr>
    </w:p>
    <w:p w:rsidR="00000000" w:rsidRPr="00CE1BFC" w:rsidP="00CE1BFC">
      <w:pPr>
        <w:pStyle w:val="Heading1"/>
      </w:pPr>
      <w:bookmarkStart w:id="3" w:name="O_69881"/>
      <w:bookmarkEnd w:id="3"/>
      <w:r w:rsidRPr="00CE1BFC">
        <w:t>Application of the Unit</w:t>
      </w:r>
    </w:p>
    <w:tbl>
      <w:tblPr>
        <w:tblW w:w="0" w:type="auto"/>
        <w:tblLayout w:type="fixed"/>
        <w:tblCellMar>
          <w:left w:w="62" w:type="dxa"/>
          <w:right w:w="62" w:type="dxa"/>
        </w:tblCellMar>
        <w:tblLook w:val="0000"/>
      </w:tblPr>
      <w:tblGrid>
        <w:gridCol w:w="2747"/>
        <w:gridCol w:w="5775"/>
      </w:tblGrid>
      <w:tr w:rsidTr="009A513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BodyText"/>
            </w:pPr>
            <w:r w:rsidRPr="00CE1BFC">
              <w:t>Experienced lighting technicians or operators in the screen, media and entertainment industries apply the skills and knowledge outlined in this unit.</w:t>
            </w:r>
          </w:p>
          <w:p w:rsidR="00000000" w:rsidRPr="00CE1BFC" w:rsidP="00CE1BFC">
            <w:pPr>
              <w:pStyle w:val="BodyText"/>
            </w:pPr>
          </w:p>
          <w:p w:rsidR="00000000" w:rsidRPr="00CE1BFC" w:rsidP="00CE1BFC">
            <w:pPr>
              <w:pStyle w:val="BodyText"/>
            </w:pPr>
            <w:r w:rsidRPr="00CE1BFC">
              <w:t>At this level, they are expected to be reasonably creative and innovative in experimenting with the possi</w:t>
            </w:r>
            <w:r w:rsidRPr="00CE1BFC">
              <w:t>bilities presented by advanced features of lighting systems. They must be able to exploit the full capabilities of contemporary lighting systems in ways that are consistent with the aesthetics envisaged for productions.</w:t>
            </w:r>
          </w:p>
          <w:p w:rsidR="00000000" w:rsidRPr="00CE1BFC" w:rsidP="00CE1BFC">
            <w:pPr>
              <w:pStyle w:val="BodyText"/>
            </w:pPr>
          </w:p>
          <w:p w:rsidR="00000000" w:rsidRPr="00CE1BFC" w:rsidP="00CE1BFC">
            <w:pPr>
              <w:pStyle w:val="BodyText"/>
            </w:pPr>
            <w:r w:rsidRPr="00CE1BFC">
              <w:t>Even though people at this level wo</w:t>
            </w:r>
            <w:r w:rsidRPr="00CE1BFC">
              <w:t>rk autonomously, they are members of a production team and need to work collaboratively with lighting designers and directors to achieve creative outcomes. They are often responsible for supervising junior lighting technicians.</w:t>
            </w:r>
          </w:p>
        </w:tc>
      </w:tr>
    </w:tbl>
    <w:p w:rsidR="00000000" w:rsidRPr="00CE1BFC" w:rsidP="00CE1BFC">
      <w:pPr>
        <w:pStyle w:val="BodyText"/>
      </w:pPr>
    </w:p>
    <w:p w:rsidR="00000000" w:rsidRPr="00CE1BFC" w:rsidP="00CE1BFC">
      <w:pPr>
        <w:pStyle w:val="AllowPageBreak"/>
      </w:pPr>
    </w:p>
    <w:p w:rsidR="00000000" w:rsidRPr="00CE1BFC" w:rsidP="00CE1BFC">
      <w:pPr>
        <w:pStyle w:val="Heading1"/>
      </w:pPr>
      <w:bookmarkStart w:id="4" w:name="O_69882"/>
      <w:bookmarkEnd w:id="4"/>
      <w:r w:rsidRPr="00CE1BFC">
        <w:t>Licensing/R</w:t>
      </w:r>
      <w:r w:rsidRPr="00CE1BFC">
        <w:t>egulatory Information</w:t>
      </w:r>
    </w:p>
    <w:p w:rsidR="00000000" w:rsidRPr="00CE1BFC" w:rsidP="00CE1BFC">
      <w:pPr>
        <w:pStyle w:val="BodyText"/>
      </w:pPr>
      <w:r w:rsidRPr="00CE1BFC">
        <w:t>Not applicable.</w:t>
      </w:r>
    </w:p>
    <w:p w:rsidR="00000000" w:rsidRPr="00CE1BFC" w:rsidP="00CE1BFC">
      <w:pPr>
        <w:pStyle w:val="AllowPageBreak"/>
      </w:pPr>
    </w:p>
    <w:p w:rsidR="00000000" w:rsidRPr="00CE1BFC" w:rsidP="00CE1BFC">
      <w:pPr>
        <w:pStyle w:val="Heading1"/>
      </w:pPr>
      <w:bookmarkStart w:id="5" w:name="O_69883"/>
      <w:bookmarkEnd w:id="5"/>
      <w:r w:rsidRPr="00CE1BFC">
        <w:t>Pre-Requisites</w:t>
      </w:r>
    </w:p>
    <w:tbl>
      <w:tblPr>
        <w:tblW w:w="0" w:type="auto"/>
        <w:tblLayout w:type="fixed"/>
        <w:tblCellMar>
          <w:left w:w="62" w:type="dxa"/>
          <w:right w:w="62" w:type="dxa"/>
        </w:tblCellMar>
        <w:tblLook w:val="0000"/>
      </w:tblPr>
      <w:tblGrid>
        <w:gridCol w:w="2761"/>
        <w:gridCol w:w="1356"/>
        <w:gridCol w:w="4405"/>
      </w:tblGrid>
      <w:tr w:rsidTr="009A5132">
        <w:tblPrEx>
          <w:tblW w:w="0" w:type="auto"/>
          <w:tblLayout w:type="fixed"/>
          <w:tblCellMar>
            <w:left w:w="62" w:type="dxa"/>
            <w:right w:w="62" w:type="dxa"/>
          </w:tblCellMar>
          <w:tblLook w:val="0000"/>
        </w:tblPrEx>
        <w:trPr>
          <w:tblHeader/>
        </w:trPr>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Prerequisite units</w:t>
            </w:r>
          </w:p>
        </w:tc>
        <w:tc>
          <w:tcPr>
            <w:tcW w:w="576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BodyText"/>
            </w:pPr>
            <w:r w:rsidRPr="00CE1BFC">
              <w:t>This unit must be assessed with or after the following units which cover skills and knowledge essential to this unit:</w:t>
            </w:r>
          </w:p>
          <w:p w:rsidR="00000000" w:rsidRPr="00CE1BFC" w:rsidP="00CE1BFC">
            <w:pPr>
              <w:pStyle w:val="ListBullet"/>
            </w:pPr>
            <w:r w:rsidRPr="00CE1BFC">
              <w:t>CUFLGT302A Record and operate standard lighting cues</w:t>
            </w:r>
          </w:p>
          <w:p w:rsidR="00000000" w:rsidP="00CE1BFC">
            <w:pPr>
              <w:pStyle w:val="ListBullet"/>
              <w:rPr>
                <w:lang w:val="en-NZ"/>
              </w:rPr>
            </w:pPr>
            <w:r w:rsidRPr="00CE1BFC">
              <w:t>CUFLGT402A Set up, record and operate lighting cues and effects.</w:t>
            </w:r>
          </w:p>
        </w:tc>
      </w:tr>
      <w:tr w:rsidTr="009A5132">
        <w:tblPrEx>
          <w:tblW w:w="0" w:type="auto"/>
          <w:tblLayout w:type="fixed"/>
          <w:tblCellMar>
            <w:left w:w="62" w:type="dxa"/>
            <w:right w:w="62" w:type="dxa"/>
          </w:tblCellMar>
          <w:tblLook w:val="0000"/>
        </w:tblPrEx>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p>
        </w:tc>
      </w:tr>
      <w:tr w:rsidTr="009A5132">
        <w:tblPrEx>
          <w:tblW w:w="0" w:type="auto"/>
          <w:tblLayout w:type="fixed"/>
          <w:tblCellMar>
            <w:left w:w="62" w:type="dxa"/>
            <w:right w:w="62" w:type="dxa"/>
          </w:tblCellMar>
          <w:tblLook w:val="0000"/>
        </w:tblPrEx>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BodyText"/>
            </w:pPr>
          </w:p>
        </w:tc>
      </w:tr>
    </w:tbl>
    <w:p w:rsidR="00000000" w:rsidRPr="00CE1BFC" w:rsidP="00CE1BFC">
      <w:pPr>
        <w:pStyle w:val="BodyText"/>
      </w:pPr>
    </w:p>
    <w:p w:rsidR="00000000" w:rsidRPr="00CE1BFC" w:rsidP="00CE1BFC">
      <w:pPr>
        <w:pStyle w:val="AllowPageBreak"/>
      </w:pPr>
    </w:p>
    <w:p w:rsidR="00000000" w:rsidRPr="00CE1BFC" w:rsidP="00CE1BFC">
      <w:pPr>
        <w:pStyle w:val="Heading1"/>
      </w:pPr>
      <w:bookmarkStart w:id="6" w:name="O_69884"/>
      <w:bookmarkEnd w:id="6"/>
      <w:r w:rsidRPr="00CE1BFC">
        <w:t>Employability Skills Information</w:t>
      </w:r>
    </w:p>
    <w:tbl>
      <w:tblPr>
        <w:tblW w:w="0" w:type="auto"/>
        <w:tblLayout w:type="fixed"/>
        <w:tblCellMar>
          <w:left w:w="62" w:type="dxa"/>
          <w:right w:w="62" w:type="dxa"/>
        </w:tblCellMar>
        <w:tblLook w:val="0000"/>
      </w:tblPr>
      <w:tblGrid>
        <w:gridCol w:w="2802"/>
        <w:gridCol w:w="5720"/>
      </w:tblGrid>
      <w:tr w:rsidTr="009A51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BodyText"/>
            </w:pPr>
            <w:r w:rsidRPr="00CE1BFC">
              <w:t>This unit contains employability skills.</w:t>
            </w:r>
          </w:p>
        </w:tc>
      </w:tr>
    </w:tbl>
    <w:p w:rsidR="00000000" w:rsidRPr="00CE1BFC" w:rsidP="00CE1BFC">
      <w:pPr>
        <w:pStyle w:val="BodyText"/>
      </w:pPr>
    </w:p>
    <w:p w:rsidR="00000000" w:rsidRPr="00CE1BFC" w:rsidP="00CE1BFC">
      <w:pPr>
        <w:pStyle w:val="AllowPageBreak"/>
      </w:pPr>
    </w:p>
    <w:p w:rsidR="00000000" w:rsidRPr="00CE1BFC" w:rsidP="00CE1BFC">
      <w:pPr>
        <w:pStyle w:val="Heading1"/>
      </w:pPr>
      <w:bookmarkStart w:id="7" w:name="O_69885"/>
      <w:bookmarkEnd w:id="7"/>
      <w:r w:rsidRPr="00CE1BFC">
        <w:t>Elements and Performance Criteria Pre-Content</w:t>
      </w:r>
    </w:p>
    <w:tbl>
      <w:tblPr>
        <w:tblW w:w="0" w:type="auto"/>
        <w:tblLayout w:type="fixed"/>
        <w:tblCellMar>
          <w:left w:w="62" w:type="dxa"/>
          <w:right w:w="62" w:type="dxa"/>
        </w:tblCellMar>
        <w:tblLook w:val="0000"/>
      </w:tblPr>
      <w:tblGrid>
        <w:gridCol w:w="2579"/>
        <w:gridCol w:w="5943"/>
      </w:tblGrid>
      <w:tr w:rsidTr="009A513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BodyText"/>
            </w:pPr>
            <w:r w:rsidRPr="00CE1BFC">
              <w:t>Performance criteria describe the performance needed to demonstrate achievement of the element. Where bold italicised text is used, further info</w:t>
            </w:r>
            <w:r w:rsidRPr="00CE1BFC">
              <w:t>rmation is detailed in the required skills and knowledge section and the range statement. Assessment of performance is to be consistent with the evidence guide.</w:t>
            </w:r>
          </w:p>
        </w:tc>
      </w:tr>
    </w:tbl>
    <w:p w:rsidR="00000000" w:rsidRPr="00CE1BFC" w:rsidP="00CE1BFC">
      <w:pPr>
        <w:pStyle w:val="BodyText"/>
      </w:pPr>
    </w:p>
    <w:p w:rsidR="00000000" w:rsidRPr="00CE1BFC" w:rsidP="00CE1BFC">
      <w:pPr>
        <w:pStyle w:val="AllowPageBreak"/>
      </w:pPr>
    </w:p>
    <w:p w:rsidR="00000000" w:rsidRPr="00CE1BFC" w:rsidP="00CE1BFC">
      <w:pPr>
        <w:pStyle w:val="Heading1"/>
      </w:pPr>
      <w:bookmarkStart w:id="8" w:name="O_69886"/>
      <w:bookmarkEnd w:id="8"/>
      <w:r w:rsidRPr="00CE1BFC">
        <w:t>Elements and Performance Criteria</w:t>
      </w:r>
    </w:p>
    <w:tbl>
      <w:tblPr>
        <w:tblW w:w="0" w:type="auto"/>
        <w:tblLayout w:type="fixed"/>
        <w:tblCellMar>
          <w:left w:w="62" w:type="dxa"/>
          <w:right w:w="62" w:type="dxa"/>
        </w:tblCellMar>
        <w:tblLook w:val="0000"/>
      </w:tblPr>
      <w:tblGrid>
        <w:gridCol w:w="2579"/>
        <w:gridCol w:w="5943"/>
      </w:tblGrid>
      <w:tr w:rsidTr="009A5132">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BodyText"/>
            </w:pPr>
            <w:r w:rsidRPr="00CE1BFC">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PERFORMANCE CRITERIA</w:t>
            </w:r>
          </w:p>
        </w:tc>
      </w:tr>
      <w:tr w:rsidTr="009A513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List"/>
              <w:rPr>
                <w:lang w:val="en-NZ"/>
              </w:rPr>
            </w:pPr>
            <w:r w:rsidRPr="00CE1BFC">
              <w:t>1.</w:t>
            </w:r>
            <w:r w:rsidRPr="00CE1BFC">
              <w:tab/>
            </w:r>
            <w:r w:rsidRPr="00CE1BFC">
              <w:t>Determine production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List2"/>
            </w:pPr>
            <w:r w:rsidRPr="00CE1BFC">
              <w:t>1.1.</w:t>
            </w:r>
            <w:r w:rsidRPr="00CE1BFC">
              <w:tab/>
              <w:t>Evaluate production documentation to establish creative and technical parameters</w:t>
            </w:r>
          </w:p>
          <w:p w:rsidR="00000000" w:rsidRPr="00CE1BFC" w:rsidP="00CE1BFC">
            <w:pPr>
              <w:pStyle w:val="List2"/>
            </w:pPr>
            <w:r w:rsidRPr="00CE1BFC">
              <w:t>1.2.</w:t>
            </w:r>
            <w:r w:rsidRPr="00CE1BFC">
              <w:tab/>
              <w:t xml:space="preserve">Liaise with </w:t>
            </w:r>
            <w:r w:rsidRPr="00CE1BFC">
              <w:rPr>
                <w:rStyle w:val="BoldandItalics"/>
              </w:rPr>
              <w:t>relevant colleagues</w:t>
            </w:r>
            <w:r w:rsidRPr="00CE1BFC">
              <w:t xml:space="preserve"> to determine scope of lighting requirement</w:t>
            </w:r>
          </w:p>
          <w:p w:rsidR="00000000" w:rsidP="00CE1BFC">
            <w:pPr>
              <w:pStyle w:val="List2"/>
              <w:rPr>
                <w:lang w:val="en-NZ"/>
              </w:rPr>
            </w:pPr>
            <w:r w:rsidRPr="00CE1BFC">
              <w:t>1.3.</w:t>
            </w:r>
            <w:r w:rsidRPr="00CE1BFC">
              <w:tab/>
              <w:t>Assess the capabilities of equipment to deliver req</w:t>
            </w:r>
            <w:r w:rsidRPr="00CE1BFC">
              <w:t>uired effects and liaise accordingly</w:t>
            </w:r>
          </w:p>
        </w:tc>
      </w:tr>
      <w:tr w:rsidTr="009A513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List"/>
              <w:rPr>
                <w:lang w:val="en-NZ"/>
              </w:rPr>
            </w:pPr>
            <w:r w:rsidRPr="00CE1BFC">
              <w:t>2.</w:t>
            </w:r>
            <w:r w:rsidRPr="00CE1BFC">
              <w:tab/>
              <w:t>Connect and format advanced fixtures to control system</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List2"/>
            </w:pPr>
            <w:r w:rsidRPr="00CE1BFC">
              <w:t>2.1.</w:t>
            </w:r>
            <w:r w:rsidRPr="00CE1BFC">
              <w:tab/>
              <w:t>Check console fixture library to ensure correct inventory exists and is operational</w:t>
            </w:r>
          </w:p>
          <w:p w:rsidR="00000000" w:rsidRPr="00CE1BFC" w:rsidP="00CE1BFC">
            <w:pPr>
              <w:pStyle w:val="List2"/>
            </w:pPr>
            <w:r w:rsidRPr="00CE1BFC">
              <w:t>2.2.</w:t>
            </w:r>
            <w:r w:rsidRPr="00CE1BFC">
              <w:tab/>
              <w:t xml:space="preserve">Connect console to </w:t>
            </w:r>
            <w:r w:rsidRPr="00CE1BFC">
              <w:rPr>
                <w:rStyle w:val="BoldandItalics"/>
              </w:rPr>
              <w:t>advanced fixtures</w:t>
            </w:r>
            <w:r w:rsidRPr="00CE1BFC">
              <w:t xml:space="preserve"> through appropriate control protocol and check to ensure designer's control requirements can be achieved</w:t>
            </w:r>
          </w:p>
          <w:p w:rsidR="00000000" w:rsidRPr="00CE1BFC" w:rsidP="00CE1BFC">
            <w:pPr>
              <w:pStyle w:val="List2"/>
            </w:pPr>
            <w:r w:rsidRPr="00CE1BFC">
              <w:t>2.3.</w:t>
            </w:r>
            <w:r w:rsidRPr="00CE1BFC">
              <w:tab/>
              <w:t>Use experimentation to test the capabilities of advanced fixtures</w:t>
            </w:r>
          </w:p>
          <w:p w:rsidR="00000000" w:rsidRPr="00CE1BFC" w:rsidP="00CE1BFC">
            <w:pPr>
              <w:pStyle w:val="List2"/>
            </w:pPr>
            <w:r w:rsidRPr="00CE1BFC">
              <w:t>2.4.</w:t>
            </w:r>
            <w:r w:rsidRPr="00CE1BFC">
              <w:tab/>
              <w:t>Set up softpatch required for production to ensure advanced fixtures are c</w:t>
            </w:r>
            <w:r w:rsidRPr="00CE1BFC">
              <w:t>onnected to appropriate control surfaces</w:t>
            </w:r>
          </w:p>
          <w:p w:rsidR="00000000" w:rsidRPr="00CE1BFC" w:rsidP="00CE1BFC">
            <w:pPr>
              <w:pStyle w:val="List2"/>
            </w:pPr>
            <w:r w:rsidRPr="00CE1BFC">
              <w:t>2.5.</w:t>
            </w:r>
            <w:r w:rsidRPr="00CE1BFC">
              <w:tab/>
              <w:t>Format presets for advanced fixtures in accordance with requirements of designer</w:t>
            </w:r>
          </w:p>
          <w:p w:rsidR="00000000" w:rsidP="00CE1BFC">
            <w:pPr>
              <w:pStyle w:val="List2"/>
              <w:rPr>
                <w:lang w:val="en-NZ"/>
              </w:rPr>
            </w:pPr>
            <w:r w:rsidRPr="00CE1BFC">
              <w:t>2.6.</w:t>
            </w:r>
            <w:r w:rsidRPr="00CE1BFC">
              <w:tab/>
              <w:t>Accurately maintain electronic and paper plots in accordance with changes to original setup</w:t>
            </w:r>
          </w:p>
        </w:tc>
      </w:tr>
      <w:tr w:rsidTr="009A513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List"/>
              <w:rPr>
                <w:lang w:val="en-NZ"/>
              </w:rPr>
            </w:pPr>
            <w:r w:rsidRPr="00CE1BFC">
              <w:t>3.</w:t>
            </w:r>
            <w:r w:rsidRPr="00CE1BFC">
              <w:tab/>
              <w:t>Program console to receive p</w:t>
            </w:r>
            <w:r w:rsidRPr="00CE1BFC">
              <w:t>re-recorded material from an external source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List2"/>
            </w:pPr>
            <w:r w:rsidRPr="00CE1BFC">
              <w:t>3.1.</w:t>
            </w:r>
            <w:r w:rsidRPr="00CE1BFC">
              <w:tab/>
              <w:t xml:space="preserve">Assess protocol, program type and connectivity of external source </w:t>
            </w:r>
            <w:r w:rsidRPr="00CE1BFC">
              <w:rPr>
                <w:rStyle w:val="BoldandItalics"/>
              </w:rPr>
              <w:t>material</w:t>
            </w:r>
            <w:r w:rsidRPr="00CE1BFC">
              <w:t xml:space="preserve"> for compatibility with main console</w:t>
            </w:r>
          </w:p>
          <w:p w:rsidR="00000000" w:rsidRPr="00CE1BFC" w:rsidP="00CE1BFC">
            <w:pPr>
              <w:pStyle w:val="List2"/>
            </w:pPr>
            <w:r w:rsidRPr="00CE1BFC">
              <w:t>3.2.</w:t>
            </w:r>
            <w:r w:rsidRPr="00CE1BFC">
              <w:tab/>
              <w:t>Complete appropriate back-ups of external source material prior to transfer to main consol</w:t>
            </w:r>
            <w:r w:rsidRPr="00CE1BFC">
              <w:t>e</w:t>
            </w:r>
          </w:p>
          <w:p w:rsidR="00000000" w:rsidRPr="00CE1BFC" w:rsidP="00CE1BFC">
            <w:pPr>
              <w:pStyle w:val="List2"/>
            </w:pPr>
            <w:r w:rsidRPr="00CE1BFC">
              <w:t>3.3.</w:t>
            </w:r>
            <w:r w:rsidRPr="00CE1BFC">
              <w:tab/>
              <w:t>Make appropriate assessment of the need for any changes to source material to address venue system and correctly determine whether changes can be made on external device of main console</w:t>
            </w:r>
          </w:p>
          <w:p w:rsidR="00000000" w:rsidRPr="00CE1BFC" w:rsidP="00CE1BFC">
            <w:pPr>
              <w:pStyle w:val="List2"/>
            </w:pPr>
            <w:r w:rsidRPr="00CE1BFC">
              <w:t>3.4.</w:t>
            </w:r>
            <w:r w:rsidRPr="00CE1BFC">
              <w:tab/>
              <w:t xml:space="preserve">Correctly set up main console and external device and use </w:t>
            </w:r>
            <w:r w:rsidRPr="00CE1BFC">
              <w:t>appropriate techniques to transfer material</w:t>
            </w:r>
          </w:p>
          <w:p w:rsidR="00000000" w:rsidRPr="00CE1BFC" w:rsidP="00CE1BFC">
            <w:pPr>
              <w:pStyle w:val="List2"/>
            </w:pPr>
            <w:r w:rsidRPr="00CE1BFC">
              <w:t>3.5.</w:t>
            </w:r>
            <w:r w:rsidRPr="00CE1BFC">
              <w:tab/>
              <w:t>Make appropriate checks to ensure successful transfer and take action accordingly</w:t>
            </w:r>
          </w:p>
        </w:tc>
      </w:tr>
    </w:tbl>
    <w:p w:rsidR="00000000" w:rsidRPr="00CE1BFC" w:rsidP="00CE1BFC">
      <w:pPr>
        <w:pStyle w:val="BodyText"/>
      </w:pPr>
    </w:p>
    <w:p w:rsidR="00000000" w:rsidRPr="00CE1BFC" w:rsidP="00CE1BFC">
      <w:pPr>
        <w:pStyle w:val="AllowPageBreak"/>
      </w:pPr>
    </w:p>
    <w:p w:rsidR="00000000" w:rsidRPr="00CE1BFC" w:rsidP="00CE1BFC">
      <w:pPr>
        <w:pStyle w:val="Heading1"/>
      </w:pPr>
      <w:bookmarkStart w:id="9" w:name="O_69887"/>
      <w:bookmarkEnd w:id="9"/>
      <w:r w:rsidRPr="00CE1BFC">
        <w:t>Required Skills and Knowledge</w:t>
      </w:r>
    </w:p>
    <w:tbl>
      <w:tblPr>
        <w:tblW w:w="0" w:type="auto"/>
        <w:tblLayout w:type="fixed"/>
        <w:tblCellMar>
          <w:left w:w="62" w:type="dxa"/>
          <w:right w:w="62" w:type="dxa"/>
        </w:tblCellMar>
        <w:tblLook w:val="0000"/>
      </w:tblPr>
      <w:tblGrid>
        <w:gridCol w:w="8522"/>
      </w:tblGrid>
      <w:tr w:rsidTr="009A51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REQUIRED SKILLS AND KNOWLEDGE</w:t>
            </w:r>
          </w:p>
        </w:tc>
      </w:tr>
      <w:tr w:rsidTr="009A51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t>This section describes the skills and knowledge required for this unit.</w:t>
            </w:r>
          </w:p>
        </w:tc>
      </w:tr>
      <w:tr w:rsidTr="009A51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Required skills</w:t>
            </w:r>
          </w:p>
        </w:tc>
      </w:tr>
      <w:tr w:rsidTr="009A51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ListBullet"/>
            </w:pPr>
            <w:r w:rsidRPr="00CE1BFC">
              <w:t>communication and negotiation skills particularly in relation to liaisons with designers and directors</w:t>
            </w:r>
          </w:p>
          <w:p w:rsidR="00000000" w:rsidRPr="00CE1BFC" w:rsidP="00CE1BFC">
            <w:pPr>
              <w:pStyle w:val="ListBullet"/>
            </w:pPr>
            <w:r w:rsidRPr="00CE1BFC">
              <w:t xml:space="preserve">logical programming and sequencing for automated lighting </w:t>
            </w:r>
          </w:p>
          <w:p w:rsidR="00000000" w:rsidRPr="00CE1BFC" w:rsidP="00CE1BFC">
            <w:pPr>
              <w:pStyle w:val="ListBullet"/>
            </w:pPr>
            <w:r w:rsidRPr="00CE1BFC">
              <w:t>literacy skills sufficient to interpret production documentation</w:t>
            </w:r>
          </w:p>
          <w:p w:rsidR="00000000" w:rsidP="00CE1BFC">
            <w:pPr>
              <w:pStyle w:val="ListBullet"/>
              <w:rPr>
                <w:lang w:val="en-NZ"/>
              </w:rPr>
            </w:pPr>
            <w:r w:rsidRPr="00CE1BFC">
              <w:t>numeracy skills sufficient to complete simple mathematical calculations and memorise numbers for channel selection</w:t>
            </w:r>
          </w:p>
        </w:tc>
      </w:tr>
      <w:tr w:rsidTr="009A51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Required knowledge</w:t>
            </w:r>
          </w:p>
        </w:tc>
      </w:tr>
      <w:tr w:rsidTr="009A51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ListBullet"/>
            </w:pPr>
            <w:r w:rsidRPr="00CE1BFC">
              <w:t xml:space="preserve">the expressive qualities of lighting as it relates to </w:t>
            </w:r>
            <w:r w:rsidRPr="00CE1BFC">
              <w:t>the nature of the work, the style of the production and the qualities of the performance</w:t>
            </w:r>
          </w:p>
          <w:p w:rsidR="00000000" w:rsidRPr="00CE1BFC" w:rsidP="00CE1BFC">
            <w:pPr>
              <w:pStyle w:val="ListBullet"/>
            </w:pPr>
            <w:r w:rsidRPr="00CE1BFC">
              <w:t>design interpretation and issues associated with maintaining design integrity in the context of lighting</w:t>
            </w:r>
          </w:p>
          <w:p w:rsidR="00000000" w:rsidRPr="00CE1BFC" w:rsidP="00CE1BFC">
            <w:pPr>
              <w:pStyle w:val="ListBullet"/>
            </w:pPr>
            <w:r w:rsidRPr="00CE1BFC">
              <w:t>visualising the effects of lighting on the stage</w:t>
            </w:r>
          </w:p>
          <w:p w:rsidR="00000000" w:rsidRPr="00CE1BFC" w:rsidP="00CE1BFC">
            <w:pPr>
              <w:pStyle w:val="ListBullet"/>
            </w:pPr>
            <w:r w:rsidRPr="00CE1BFC">
              <w:t>techniques fo</w:t>
            </w:r>
            <w:r w:rsidRPr="00CE1BFC">
              <w:t xml:space="preserve">r translating concepts into creative and workable solutions </w:t>
            </w:r>
          </w:p>
          <w:p w:rsidR="00000000" w:rsidRPr="00CE1BFC" w:rsidP="00CE1BFC">
            <w:pPr>
              <w:pStyle w:val="ListBullet"/>
            </w:pPr>
            <w:r w:rsidRPr="00CE1BFC">
              <w:t xml:space="preserve">lighting control concepts used and advanced fixtures used in a wide range of lighting systems </w:t>
            </w:r>
          </w:p>
          <w:p w:rsidR="00000000" w:rsidRPr="00CE1BFC" w:rsidP="00CE1BFC">
            <w:pPr>
              <w:pStyle w:val="ListBullet"/>
            </w:pPr>
            <w:r w:rsidRPr="00CE1BFC">
              <w:t>a wide range of lanterns and accessories, their uses and operations (optical and mechanical)</w:t>
            </w:r>
          </w:p>
          <w:p w:rsidR="00000000" w:rsidRPr="00CE1BFC" w:rsidP="00CE1BFC">
            <w:pPr>
              <w:pStyle w:val="ListBullet"/>
            </w:pPr>
            <w:r w:rsidRPr="00CE1BFC">
              <w:t>the ele</w:t>
            </w:r>
            <w:r w:rsidRPr="00CE1BFC">
              <w:t>ments of lighting design and their impact on the lighting technician</w:t>
            </w:r>
          </w:p>
          <w:p w:rsidR="00000000" w:rsidRPr="00CE1BFC" w:rsidP="00CE1BFC">
            <w:pPr>
              <w:pStyle w:val="ListBullet"/>
            </w:pPr>
            <w:r w:rsidRPr="00CE1BFC">
              <w:t>problem solving techniques</w:t>
            </w:r>
          </w:p>
          <w:p w:rsidR="00000000" w:rsidRPr="00CE1BFC" w:rsidP="00CE1BFC">
            <w:pPr>
              <w:pStyle w:val="ListBullet"/>
            </w:pPr>
            <w:r w:rsidRPr="00CE1BFC">
              <w:t>colour recognition and the various colour media used in lighting</w:t>
            </w:r>
          </w:p>
          <w:p w:rsidR="00000000" w:rsidRPr="00CE1BFC" w:rsidP="00CE1BFC">
            <w:pPr>
              <w:pStyle w:val="ListBullet"/>
            </w:pPr>
            <w:r w:rsidRPr="00CE1BFC">
              <w:t>control protocols for a range of automated lighting fixtures</w:t>
            </w:r>
          </w:p>
          <w:p w:rsidR="00000000" w:rsidRPr="00CE1BFC" w:rsidP="00CE1BFC">
            <w:pPr>
              <w:pStyle w:val="ListBullet"/>
            </w:pPr>
            <w:r w:rsidRPr="00CE1BFC">
              <w:t>documentation and back-up systems used in conjunction with lighting control</w:t>
            </w:r>
          </w:p>
          <w:p w:rsidR="00000000" w:rsidRPr="00CE1BFC" w:rsidP="00CE1BFC">
            <w:pPr>
              <w:pStyle w:val="ListBullet"/>
            </w:pPr>
            <w:r w:rsidRPr="00CE1BFC">
              <w:t>relevant organisational and legislative occupational health and safety requirements, including working with electricity</w:t>
            </w:r>
          </w:p>
          <w:p w:rsidR="00000000" w:rsidRPr="00CE1BFC" w:rsidP="00CE1BFC">
            <w:pPr>
              <w:pStyle w:val="ListBullet"/>
            </w:pPr>
            <w:r w:rsidRPr="00CE1BFC">
              <w:t xml:space="preserve">basic electronics (just 'electronics' is too broad to be in </w:t>
            </w:r>
            <w:r w:rsidRPr="00CE1BFC">
              <w:t>this unit)</w:t>
            </w:r>
          </w:p>
        </w:tc>
      </w:tr>
    </w:tbl>
    <w:p w:rsidR="00000000" w:rsidRPr="00CE1BFC" w:rsidP="00CE1BFC">
      <w:pPr>
        <w:pStyle w:val="BodyText"/>
      </w:pPr>
    </w:p>
    <w:p w:rsidR="00000000" w:rsidRPr="00CE1BFC" w:rsidP="00CE1BFC">
      <w:pPr>
        <w:pStyle w:val="AllowPageBreak"/>
      </w:pPr>
    </w:p>
    <w:p w:rsidR="00000000" w:rsidRPr="00CE1BFC" w:rsidP="00CE1BFC">
      <w:pPr>
        <w:pStyle w:val="Heading1"/>
      </w:pPr>
      <w:bookmarkStart w:id="10" w:name="O_69888"/>
      <w:bookmarkEnd w:id="10"/>
      <w:r w:rsidRPr="00CE1BFC">
        <w:t>Evidence Guide</w:t>
      </w:r>
    </w:p>
    <w:tbl>
      <w:tblPr>
        <w:tblW w:w="9570" w:type="dxa"/>
        <w:tblLayout w:type="fixed"/>
        <w:tblCellMar>
          <w:left w:w="62" w:type="dxa"/>
          <w:right w:w="62" w:type="dxa"/>
        </w:tblCellMar>
        <w:tblLook w:val="0000"/>
      </w:tblPr>
      <w:tblGrid>
        <w:gridCol w:w="3908"/>
        <w:gridCol w:w="5662"/>
      </w:tblGrid>
      <w:tr w:rsidTr="009A51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EVIDENCE GUIDE</w:t>
            </w:r>
          </w:p>
        </w:tc>
      </w:tr>
      <w:tr w:rsidTr="009A51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t xml:space="preserve">The Evidence Guide provides advice on assessment and must be read in conjunction with the performance criteria, required skills and knowledge, </w:t>
            </w:r>
            <w:r w:rsidRPr="00CE1BFC">
              <w:t>range statement and the Assessment Guidelines for the Training Package.</w:t>
            </w:r>
          </w:p>
        </w:tc>
      </w:tr>
      <w:tr w:rsidTr="009A51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p>
        </w:tc>
      </w:tr>
      <w:tr w:rsidTr="009A51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BodyText"/>
            </w:pPr>
            <w:r w:rsidRPr="00CE1BFC">
              <w:t>The following evidence is critical to the judgement of competenc</w:t>
            </w:r>
            <w:r w:rsidRPr="00CE1BFC">
              <w:t>e in this unit:</w:t>
            </w:r>
          </w:p>
          <w:p w:rsidR="00000000" w:rsidRPr="00CE1BFC" w:rsidP="00CE1BFC">
            <w:pPr>
              <w:pStyle w:val="ListBullet"/>
            </w:pPr>
            <w:r w:rsidRPr="00CE1BFC">
              <w:t>ability to accurately record and reproduce lighting cues to instruction in a given timeframe</w:t>
            </w:r>
          </w:p>
          <w:p w:rsidR="00000000" w:rsidP="00CE1BFC">
            <w:pPr>
              <w:pStyle w:val="ListBullet"/>
              <w:rPr>
                <w:lang w:val="en-NZ"/>
              </w:rPr>
            </w:pPr>
            <w:r w:rsidRPr="00CE1BFC">
              <w:t>support for the lighting design process through creative use of the advanced fixtures by skilful and efficient operation of the console.</w:t>
            </w:r>
          </w:p>
        </w:tc>
      </w:tr>
      <w:tr w:rsidTr="009A51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BodyText"/>
            </w:pPr>
            <w:r w:rsidRPr="00CE1BFC">
              <w:t>The assessment context must provide for:</w:t>
            </w:r>
          </w:p>
          <w:p w:rsidR="00000000" w:rsidRPr="00CE1BFC" w:rsidP="00CE1BFC">
            <w:pPr>
              <w:pStyle w:val="ListBullet"/>
            </w:pPr>
            <w:r w:rsidRPr="00CE1BFC">
              <w:t>practical demonstration of skills to produce lighting effects for three different productions, which require experimentation with different effects</w:t>
            </w:r>
          </w:p>
          <w:p w:rsidR="00000000" w:rsidP="00CE1BFC">
            <w:pPr>
              <w:pStyle w:val="ListBullet"/>
              <w:rPr>
                <w:lang w:val="en-NZ"/>
              </w:rPr>
            </w:pPr>
            <w:r w:rsidRPr="00CE1BFC">
              <w:t>involvement of an</w:t>
            </w:r>
            <w:r w:rsidRPr="00CE1BFC">
              <w:t>d interaction with a production and design team to reflect the collaborative nature of the process.</w:t>
            </w:r>
          </w:p>
        </w:tc>
      </w:tr>
      <w:tr w:rsidTr="009A51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BodyText"/>
            </w:pPr>
            <w:r w:rsidRPr="00CE1BFC">
              <w:t>Assessment may incorporate a range of methods to assess performance and the application of essential underpinning knowledge, and might</w:t>
            </w:r>
            <w:r w:rsidRPr="00CE1BFC">
              <w:t xml:space="preserve"> include:</w:t>
            </w:r>
          </w:p>
          <w:p w:rsidR="00000000" w:rsidRPr="00CE1BFC" w:rsidP="00CE1BFC">
            <w:pPr>
              <w:pStyle w:val="ListBullet"/>
            </w:pPr>
            <w:r w:rsidRPr="00CE1BFC">
              <w:t>evaluation of the lighting effects produced by the candidate</w:t>
            </w:r>
          </w:p>
          <w:p w:rsidR="00000000" w:rsidRPr="00CE1BFC" w:rsidP="00CE1BFC">
            <w:pPr>
              <w:pStyle w:val="ListBullet"/>
            </w:pPr>
            <w:r w:rsidRPr="00CE1BFC">
              <w:t>evaluation of reports produced by the candidate detailing the experimentation process to produce required effects</w:t>
            </w:r>
          </w:p>
          <w:p w:rsidR="00000000" w:rsidRPr="00CE1BFC" w:rsidP="00CE1BFC">
            <w:pPr>
              <w:pStyle w:val="ListBullet"/>
            </w:pPr>
            <w:r w:rsidRPr="00CE1BFC">
              <w:t>evaluation of a presentation by the candidate detailing processes used</w:t>
            </w:r>
            <w:r w:rsidRPr="00CE1BFC">
              <w:t xml:space="preserve"> to produce various effects </w:t>
            </w:r>
          </w:p>
          <w:p w:rsidR="00000000" w:rsidRPr="00CE1BFC" w:rsidP="00CE1BFC">
            <w:pPr>
              <w:pStyle w:val="ListBullet"/>
            </w:pPr>
            <w:r w:rsidRPr="00CE1BFC">
              <w:t xml:space="preserve">oral or written questioning to assess technical knowledge </w:t>
            </w:r>
          </w:p>
          <w:p w:rsidR="00000000" w:rsidRPr="00CE1BFC" w:rsidP="00CE1BFC">
            <w:pPr>
              <w:pStyle w:val="ListBullet"/>
            </w:pPr>
            <w:r w:rsidRPr="00CE1BFC">
              <w:t>review of portfolios of evidence and third party workplace reports of on-the-job performance by the candidate.</w:t>
            </w:r>
          </w:p>
          <w:p w:rsidR="00000000" w:rsidRPr="00CE1BFC" w:rsidP="00CE1BFC">
            <w:pPr>
              <w:pStyle w:val="BodyText"/>
            </w:pPr>
          </w:p>
          <w:p w:rsidR="00000000" w:rsidP="00CE1BFC">
            <w:pPr>
              <w:pStyle w:val="BodyText"/>
              <w:rPr>
                <w:lang w:val="en-NZ"/>
              </w:rPr>
            </w:pPr>
            <w:r w:rsidRPr="00CE1BFC">
              <w:t>Assessment methods should closely reflect workplace demands and the needs of particular groups (e.g. people with disabilities, and people who may have literacy or numeracy difficulties such as speakers of languages other than English, remote communities an</w:t>
            </w:r>
            <w:r w:rsidRPr="00CE1BFC">
              <w:t>d those with interrupted schooling).</w:t>
            </w:r>
          </w:p>
        </w:tc>
      </w:tr>
      <w:tr w:rsidTr="009A51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BodyText"/>
            </w:pPr>
            <w:r w:rsidRPr="00CE1BFC">
              <w:t>Assessment of this unit requires access to:</w:t>
            </w:r>
          </w:p>
          <w:p w:rsidR="00000000" w:rsidRPr="00CE1BFC" w:rsidP="00CE1BFC">
            <w:pPr>
              <w:pStyle w:val="ListBullet"/>
            </w:pPr>
            <w:r w:rsidRPr="00CE1BFC">
              <w:t>a range of lighting equipment as identified in the Range Statement, including automated lighting</w:t>
            </w:r>
          </w:p>
          <w:p w:rsidR="00000000" w:rsidRPr="00CE1BFC" w:rsidP="00CE1BFC">
            <w:pPr>
              <w:pStyle w:val="ListBullet"/>
            </w:pPr>
            <w:r w:rsidRPr="00CE1BFC">
              <w:t>a production venue.</w:t>
            </w:r>
          </w:p>
        </w:tc>
      </w:tr>
    </w:tbl>
    <w:p w:rsidR="00000000" w:rsidRPr="00CE1BFC" w:rsidP="00CE1BFC">
      <w:pPr>
        <w:pStyle w:val="BodyText"/>
      </w:pPr>
    </w:p>
    <w:p w:rsidR="00000000" w:rsidRPr="00CE1BFC" w:rsidP="00CE1BFC">
      <w:pPr>
        <w:pStyle w:val="AllowPageBreak"/>
      </w:pPr>
    </w:p>
    <w:p w:rsidR="00000000" w:rsidRPr="00CE1BFC" w:rsidP="00CE1BFC">
      <w:pPr>
        <w:pStyle w:val="Heading1"/>
      </w:pPr>
      <w:bookmarkStart w:id="11" w:name="O_69889"/>
      <w:bookmarkEnd w:id="11"/>
      <w:r w:rsidRPr="00CE1BFC">
        <w:t>Ran</w:t>
      </w:r>
      <w:r w:rsidRPr="00CE1BFC">
        <w:t>ge Statement</w:t>
      </w:r>
    </w:p>
    <w:tbl>
      <w:tblPr>
        <w:tblW w:w="0" w:type="auto"/>
        <w:tblLayout w:type="fixed"/>
        <w:tblCellMar>
          <w:left w:w="62" w:type="dxa"/>
          <w:right w:w="62" w:type="dxa"/>
        </w:tblCellMar>
        <w:tblLook w:val="0000"/>
      </w:tblPr>
      <w:tblGrid>
        <w:gridCol w:w="3481"/>
        <w:gridCol w:w="5041"/>
      </w:tblGrid>
      <w:tr w:rsidTr="009A51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RANGE STATEMENT</w:t>
            </w:r>
          </w:p>
        </w:tc>
      </w:tr>
      <w:tr w:rsidTr="009A51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t xml:space="preserve">The range statement relates to the unit of competency as a whole. It allows for different work environments and situations that may affect </w:t>
            </w:r>
            <w:r w:rsidRPr="00CE1BFC">
              <w:t>performance. Bold italicised wording, if used in the performance criteria, is detailed below. Essential operating conditions that may be present with training and assessment (depending on the work situation, needs of the candidate, accessibility of the ite</w:t>
            </w:r>
            <w:r w:rsidRPr="00CE1BFC">
              <w:t>m, and local industry and regional contexts) may also be included.</w:t>
            </w:r>
          </w:p>
        </w:tc>
      </w:tr>
      <w:tr w:rsidTr="009A513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BoldandItalics"/>
              </w:rPr>
              <w:t>Relevant colleagues</w:t>
            </w:r>
            <w:r w:rsidRPr="00CE1BFC">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ListBullet"/>
            </w:pPr>
            <w:r w:rsidRPr="00CE1BFC">
              <w:t>designer</w:t>
            </w:r>
          </w:p>
          <w:p w:rsidR="00000000" w:rsidRPr="00CE1BFC" w:rsidP="00CE1BFC">
            <w:pPr>
              <w:pStyle w:val="ListBullet"/>
            </w:pPr>
            <w:r w:rsidRPr="00CE1BFC">
              <w:t>director</w:t>
            </w:r>
          </w:p>
          <w:p w:rsidR="00000000" w:rsidRPr="00CE1BFC" w:rsidP="00CE1BFC">
            <w:pPr>
              <w:pStyle w:val="ListBullet"/>
            </w:pPr>
            <w:r w:rsidRPr="00CE1BFC">
              <w:t>programmers for advanced fixtures</w:t>
            </w:r>
          </w:p>
          <w:p w:rsidR="00000000" w:rsidRPr="00CE1BFC" w:rsidP="00CE1BFC">
            <w:pPr>
              <w:pStyle w:val="ListBullet"/>
            </w:pPr>
            <w:r w:rsidRPr="00CE1BFC">
              <w:t xml:space="preserve">stage manager </w:t>
            </w:r>
          </w:p>
          <w:p w:rsidR="00000000" w:rsidP="00CE1BFC">
            <w:pPr>
              <w:pStyle w:val="ListBullet"/>
              <w:rPr>
                <w:lang w:val="en-NZ"/>
              </w:rPr>
            </w:pPr>
            <w:r w:rsidRPr="00CE1BFC">
              <w:t>other specialist staff</w:t>
            </w:r>
          </w:p>
        </w:tc>
      </w:tr>
      <w:tr w:rsidTr="009A513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BoldandItalics"/>
              </w:rPr>
              <w:t>Advanced fixtures</w:t>
            </w:r>
            <w:r w:rsidRPr="00CE1BFC">
              <w:t xml:space="preserve"> must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ListBullet"/>
            </w:pPr>
            <w:r w:rsidRPr="00CE1BFC">
              <w:t>automated lighting fixtures both motorised yoke and moving mirror</w:t>
            </w:r>
          </w:p>
          <w:p w:rsidR="00000000" w:rsidP="00CE1BFC">
            <w:pPr>
              <w:pStyle w:val="ListBullet"/>
              <w:rPr>
                <w:lang w:val="en-NZ"/>
              </w:rPr>
            </w:pPr>
            <w:r w:rsidRPr="00CE1BFC">
              <w:t>colour scrollers</w:t>
            </w:r>
          </w:p>
        </w:tc>
      </w:tr>
      <w:tr w:rsidTr="009A513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BoldandItalics"/>
              </w:rPr>
              <w:t>Advanced fixtures</w:t>
            </w:r>
            <w:r w:rsidRPr="00CE1BFC">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ListBullet"/>
            </w:pPr>
            <w:r w:rsidRPr="00CE1BFC">
              <w:t>digitally controlled projection equipment</w:t>
            </w:r>
          </w:p>
          <w:p w:rsidR="00000000" w:rsidRPr="00CE1BFC" w:rsidP="00CE1BFC">
            <w:pPr>
              <w:pStyle w:val="ListBullet"/>
            </w:pPr>
            <w:r w:rsidRPr="00CE1BFC">
              <w:t>LED colour change equipment</w:t>
            </w:r>
          </w:p>
          <w:p w:rsidR="00000000" w:rsidRPr="00CE1BFC" w:rsidP="00CE1BFC">
            <w:pPr>
              <w:pStyle w:val="ListBullet"/>
            </w:pPr>
            <w:r w:rsidRPr="00CE1BFC">
              <w:t>robotic and automated stage equipment</w:t>
            </w:r>
          </w:p>
          <w:p w:rsidR="00000000" w:rsidP="00CE1BFC">
            <w:pPr>
              <w:pStyle w:val="ListBullet"/>
              <w:rPr>
                <w:lang w:val="en-NZ"/>
              </w:rPr>
            </w:pPr>
            <w:r w:rsidRPr="00CE1BFC">
              <w:t>WYSIWYG and computer programming</w:t>
            </w:r>
            <w:r w:rsidRPr="00CE1BFC">
              <w:t xml:space="preserve"> rendering programs</w:t>
            </w:r>
          </w:p>
        </w:tc>
      </w:tr>
      <w:tr w:rsidTr="009A513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BoldandItalics"/>
              </w:rPr>
              <w:t>Material</w:t>
            </w:r>
            <w:r w:rsidRPr="00CE1BFC">
              <w:t xml:space="preserve"> to be read and interpreted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ListBullet"/>
            </w:pPr>
            <w:r w:rsidRPr="00CE1BFC">
              <w:t>colour lists</w:t>
            </w:r>
          </w:p>
          <w:p w:rsidR="00000000" w:rsidRPr="00CE1BFC" w:rsidP="00CE1BFC">
            <w:pPr>
              <w:pStyle w:val="ListBullet"/>
            </w:pPr>
            <w:r w:rsidRPr="00CE1BFC">
              <w:t>cue sheets</w:t>
            </w:r>
          </w:p>
          <w:p w:rsidR="00000000" w:rsidRPr="00CE1BFC" w:rsidP="00CE1BFC">
            <w:pPr>
              <w:pStyle w:val="ListBullet"/>
            </w:pPr>
            <w:r w:rsidRPr="00CE1BFC">
              <w:t>equipment lists</w:t>
            </w:r>
          </w:p>
          <w:p w:rsidR="00000000" w:rsidRPr="00CE1BFC" w:rsidP="00CE1BFC">
            <w:pPr>
              <w:pStyle w:val="ListBullet"/>
            </w:pPr>
            <w:r w:rsidRPr="00CE1BFC">
              <w:t>focus notes</w:t>
            </w:r>
          </w:p>
          <w:p w:rsidR="00000000" w:rsidRPr="00CE1BFC" w:rsidP="00CE1BFC">
            <w:pPr>
              <w:pStyle w:val="ListBullet"/>
            </w:pPr>
            <w:r w:rsidRPr="00CE1BFC">
              <w:t>instructions for advanced fixtures</w:t>
            </w:r>
          </w:p>
          <w:p w:rsidR="00000000" w:rsidRPr="00CE1BFC" w:rsidP="00CE1BFC">
            <w:pPr>
              <w:pStyle w:val="ListBullet"/>
            </w:pPr>
            <w:r w:rsidRPr="00CE1BFC">
              <w:t>instructions for computerised lighting boards</w:t>
            </w:r>
          </w:p>
          <w:p w:rsidR="00000000" w:rsidRPr="00CE1BFC" w:rsidP="00CE1BFC">
            <w:pPr>
              <w:pStyle w:val="ListBullet"/>
            </w:pPr>
            <w:r w:rsidRPr="00CE1BFC">
              <w:t>lighting plan</w:t>
            </w:r>
          </w:p>
          <w:p w:rsidR="00000000" w:rsidRPr="00CE1BFC" w:rsidP="00CE1BFC">
            <w:pPr>
              <w:pStyle w:val="ListBullet"/>
            </w:pPr>
            <w:r w:rsidRPr="00CE1BFC">
              <w:t>manuals</w:t>
            </w:r>
          </w:p>
          <w:p w:rsidR="00000000" w:rsidRPr="00CE1BFC" w:rsidP="00CE1BFC">
            <w:pPr>
              <w:pStyle w:val="ListBullet"/>
            </w:pPr>
            <w:r w:rsidRPr="00CE1BFC">
              <w:t>patch sheets</w:t>
            </w:r>
          </w:p>
          <w:p w:rsidR="00000000" w:rsidRPr="00CE1BFC" w:rsidP="00CE1BFC">
            <w:pPr>
              <w:pStyle w:val="ListBullet"/>
            </w:pPr>
            <w:r w:rsidRPr="00CE1BFC">
              <w:t>running sheets</w:t>
            </w:r>
          </w:p>
          <w:p w:rsidR="00000000" w:rsidP="00CE1BFC">
            <w:pPr>
              <w:pStyle w:val="ListBullet"/>
              <w:rPr>
                <w:lang w:val="en-NZ"/>
              </w:rPr>
            </w:pPr>
            <w:r w:rsidRPr="00CE1BFC">
              <w:t>script</w:t>
            </w:r>
          </w:p>
        </w:tc>
      </w:tr>
      <w:tr w:rsidTr="009A5132">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t>All work is carried out in accordance with:</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ListBullet"/>
            </w:pPr>
            <w:r w:rsidRPr="00CE1BFC">
              <w:t>lighting plan and other documentation as appropriate</w:t>
            </w:r>
          </w:p>
          <w:p w:rsidR="00000000" w:rsidRPr="00CE1BFC" w:rsidP="00CE1BFC">
            <w:pPr>
              <w:pStyle w:val="ListBullet"/>
            </w:pPr>
            <w:r w:rsidRPr="00CE1BFC">
              <w:t>organisation standards</w:t>
            </w:r>
          </w:p>
          <w:p w:rsidR="00000000" w:rsidRPr="00CE1BFC" w:rsidP="00CE1BFC">
            <w:pPr>
              <w:pStyle w:val="ListBullet"/>
            </w:pPr>
            <w:r w:rsidRPr="00CE1BFC">
              <w:t>organisational and legislative occupational health and safety requirements</w:t>
            </w:r>
          </w:p>
          <w:p w:rsidR="00000000" w:rsidRPr="00CE1BFC" w:rsidP="00CE1BFC">
            <w:pPr>
              <w:pStyle w:val="ListBullet"/>
            </w:pPr>
            <w:r w:rsidRPr="00CE1BFC">
              <w:t xml:space="preserve">other resource constraints </w:t>
            </w:r>
          </w:p>
          <w:p w:rsidR="00000000" w:rsidRPr="00CE1BFC" w:rsidP="00CE1BFC">
            <w:pPr>
              <w:pStyle w:val="ListBullet"/>
            </w:pPr>
            <w:r w:rsidRPr="00CE1BFC">
              <w:t>production and/or venue requirements</w:t>
            </w:r>
          </w:p>
          <w:p w:rsidR="00000000" w:rsidRPr="00CE1BFC" w:rsidP="00CE1BFC">
            <w:pPr>
              <w:pStyle w:val="ListBullet"/>
            </w:pPr>
            <w:r w:rsidRPr="00CE1BFC">
              <w:t>production schedule</w:t>
            </w:r>
          </w:p>
          <w:p w:rsidR="00000000" w:rsidRPr="00CE1BFC" w:rsidP="00CE1BFC">
            <w:pPr>
              <w:pStyle w:val="ListBullet"/>
            </w:pPr>
            <w:r w:rsidRPr="00CE1BFC">
              <w:t>relevant Australian standards, including electrical standards in accordance with State/Territory regulations</w:t>
            </w:r>
          </w:p>
          <w:p w:rsidR="00000000" w:rsidRPr="00CE1BFC" w:rsidP="00CE1BFC">
            <w:pPr>
              <w:pStyle w:val="ListBullet"/>
            </w:pPr>
            <w:r w:rsidRPr="00CE1BFC">
              <w:t>technical constraints</w:t>
            </w:r>
          </w:p>
        </w:tc>
      </w:tr>
    </w:tbl>
    <w:p w:rsidR="009A5132" w:rsidP="00CE1BFC">
      <w:pPr>
        <w:pStyle w:val="BodyText"/>
      </w:pPr>
    </w:p>
    <w:p w:rsidR="009A5132" w:rsidP="00CE1BFC">
      <w:pPr>
        <w:pStyle w:val="BodyText"/>
      </w:pPr>
    </w:p>
    <w:p w:rsidR="00000000" w:rsidRPr="00CE1BFC" w:rsidP="00CE1BFC">
      <w:pPr>
        <w:pStyle w:val="Heading1"/>
      </w:pPr>
      <w:bookmarkStart w:id="12" w:name="O_69890"/>
      <w:bookmarkEnd w:id="12"/>
      <w:r w:rsidRPr="00CE1BFC">
        <w:t>Unit Sector(s)</w:t>
      </w:r>
    </w:p>
    <w:tbl>
      <w:tblPr>
        <w:tblW w:w="0" w:type="auto"/>
        <w:tblLayout w:type="fixed"/>
        <w:tblCellMar>
          <w:left w:w="62" w:type="dxa"/>
          <w:right w:w="62" w:type="dxa"/>
        </w:tblCellMar>
        <w:tblLook w:val="0000"/>
      </w:tblPr>
      <w:tblGrid>
        <w:gridCol w:w="2654"/>
        <w:gridCol w:w="5868"/>
      </w:tblGrid>
      <w:tr w:rsidTr="009A51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BodyText"/>
            </w:pPr>
          </w:p>
        </w:tc>
      </w:tr>
    </w:tbl>
    <w:p w:rsidR="00000000" w:rsidRPr="00CE1BFC" w:rsidP="00CE1BFC">
      <w:pPr>
        <w:pStyle w:val="BodyText"/>
      </w:pPr>
    </w:p>
    <w:p w:rsidR="00000000" w:rsidRPr="00CE1BFC" w:rsidP="00CE1BFC">
      <w:pPr>
        <w:pStyle w:val="AllowPageBreak"/>
      </w:pPr>
    </w:p>
    <w:p w:rsidR="00000000" w:rsidRPr="00CE1BFC" w:rsidP="00CE1BFC">
      <w:pPr>
        <w:pStyle w:val="Heading1"/>
      </w:pPr>
      <w:bookmarkStart w:id="13" w:name="O_154939"/>
      <w:bookmarkEnd w:id="13"/>
      <w:r w:rsidRPr="00CE1BFC">
        <w:t>Competency field</w:t>
      </w:r>
    </w:p>
    <w:tbl>
      <w:tblPr>
        <w:tblW w:w="0" w:type="auto"/>
        <w:tblLayout w:type="fixed"/>
        <w:tblCellMar>
          <w:left w:w="62" w:type="dxa"/>
          <w:right w:w="62" w:type="dxa"/>
        </w:tblCellMar>
        <w:tblLook w:val="0000"/>
      </w:tblPr>
      <w:tblGrid>
        <w:gridCol w:w="2778"/>
        <w:gridCol w:w="5744"/>
      </w:tblGrid>
      <w:tr w:rsidTr="009A513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BodyText"/>
            </w:pPr>
            <w:r w:rsidRPr="00CE1BFC">
              <w:t>Media and entertainment production - lighting</w:t>
            </w:r>
          </w:p>
        </w:tc>
      </w:tr>
    </w:tbl>
    <w:p w:rsidR="00000000" w:rsidRPr="00CE1BFC" w:rsidP="00CE1BFC">
      <w:pPr>
        <w:pStyle w:val="BodyText"/>
      </w:pPr>
    </w:p>
    <w:p w:rsidR="00000000" w:rsidRPr="00CE1BFC" w:rsidP="00CE1BFC">
      <w:pPr>
        <w:pStyle w:val="AllowPageBreak"/>
      </w:pPr>
    </w:p>
    <w:p w:rsidR="00000000" w:rsidRPr="00CE1BFC" w:rsidP="00CE1BFC">
      <w:pPr>
        <w:pStyle w:val="Heading1"/>
      </w:pPr>
      <w:bookmarkStart w:id="14" w:name="O_154938"/>
      <w:bookmarkEnd w:id="14"/>
      <w:r w:rsidRPr="00CE1BFC">
        <w:t>Co-requisite units</w:t>
      </w:r>
    </w:p>
    <w:tbl>
      <w:tblPr>
        <w:tblW w:w="0" w:type="auto"/>
        <w:tblLayout w:type="fixed"/>
        <w:tblCellMar>
          <w:left w:w="62" w:type="dxa"/>
          <w:right w:w="62" w:type="dxa"/>
        </w:tblCellMar>
        <w:tblLook w:val="0000"/>
      </w:tblPr>
      <w:tblGrid>
        <w:gridCol w:w="2641"/>
        <w:gridCol w:w="1322"/>
        <w:gridCol w:w="4559"/>
      </w:tblGrid>
      <w:tr w:rsidTr="009A51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r w:rsidRPr="00CE1B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p>
        </w:tc>
      </w:tr>
      <w:tr w:rsidTr="009A51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1BFC">
            <w:pPr>
              <w:pStyle w:val="BodyText"/>
              <w:rPr>
                <w:lang w:val="en-NZ"/>
              </w:rPr>
            </w:pPr>
          </w:p>
        </w:tc>
      </w:tr>
      <w:tr w:rsidTr="009A51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1BFC" w:rsidP="00CE1BFC">
            <w:pPr>
              <w:pStyle w:val="BodyText"/>
            </w:pPr>
          </w:p>
        </w:tc>
      </w:tr>
    </w:tbl>
    <w:p w:rsidR="00000000" w:rsidRPr="00CE1BFC" w:rsidP="00CE1BFC">
      <w:pPr>
        <w:pStyle w:val="BodyText"/>
      </w:pPr>
    </w:p>
    <w:p w:rsidR="00000000" w:rsidRPr="00CE1BFC" w:rsidP="00CE1BFC"/>
    <w:sectPr w:rsidSect="00CE1B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132" w:rsidP="009A51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132" w:rsidP="00CE1B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5132" w:rsidP="00CE1B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5132" w:rsidP="00CE1B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132" w:rsidP="009A51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132" w:rsidP="00CE1BFC">
    <w:pPr>
      <w:pStyle w:val="Header"/>
      <w:framePr w:wrap="around"/>
    </w:pPr>
    <w:r>
      <w:fldChar w:fldCharType="begin"/>
    </w:r>
    <w:r>
      <w:instrText xml:space="preserve"> TITLE   \* MERGEFORMAT </w:instrText>
    </w:r>
    <w:r>
      <w:fldChar w:fldCharType="separate"/>
    </w:r>
    <w:r>
      <w:t>CUELGT07C Record and operate lighting using advanced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5132" w:rsidP="00CE1B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90E0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1088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B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1BFC"/>
    <w:pPr>
      <w:spacing w:before="360" w:after="60"/>
      <w:outlineLvl w:val="0"/>
    </w:pPr>
    <w:rPr>
      <w:sz w:val="32"/>
    </w:rPr>
  </w:style>
  <w:style w:type="paragraph" w:styleId="Heading2">
    <w:name w:val="heading 2"/>
    <w:basedOn w:val="HeadingBase"/>
    <w:next w:val="BodyText"/>
    <w:link w:val="Heading2Char"/>
    <w:qFormat/>
    <w:rsid w:val="00CE1BFC"/>
    <w:pPr>
      <w:keepLines/>
      <w:spacing w:before="240" w:after="120"/>
      <w:outlineLvl w:val="1"/>
    </w:pPr>
    <w:rPr>
      <w:sz w:val="28"/>
      <w:szCs w:val="40"/>
    </w:rPr>
  </w:style>
  <w:style w:type="paragraph" w:styleId="Heading3">
    <w:name w:val="heading 3"/>
    <w:basedOn w:val="HeadingBase"/>
    <w:next w:val="BodyText"/>
    <w:link w:val="Heading3Char"/>
    <w:qFormat/>
    <w:rsid w:val="00CE1BFC"/>
    <w:pPr>
      <w:spacing w:before="180" w:after="120"/>
      <w:outlineLvl w:val="2"/>
    </w:pPr>
    <w:rPr>
      <w:spacing w:val="-10"/>
      <w:kern w:val="32"/>
    </w:rPr>
  </w:style>
  <w:style w:type="paragraph" w:styleId="Heading4">
    <w:name w:val="heading 4"/>
    <w:basedOn w:val="HeadingBase"/>
    <w:next w:val="BodyText"/>
    <w:link w:val="Heading4Char"/>
    <w:qFormat/>
    <w:rsid w:val="00CE1BFC"/>
    <w:pPr>
      <w:spacing w:before="160" w:after="120"/>
      <w:outlineLvl w:val="3"/>
    </w:pPr>
    <w:rPr>
      <w:sz w:val="22"/>
    </w:rPr>
  </w:style>
  <w:style w:type="paragraph" w:styleId="Heading5">
    <w:name w:val="heading 5"/>
    <w:basedOn w:val="HeadingBase"/>
    <w:next w:val="Normal"/>
    <w:link w:val="Heading5Char"/>
    <w:qFormat/>
    <w:rsid w:val="00CE1BFC"/>
    <w:pPr>
      <w:spacing w:before="80"/>
      <w:outlineLvl w:val="4"/>
    </w:pPr>
    <w:rPr>
      <w:color w:val="918585"/>
      <w:sz w:val="20"/>
    </w:rPr>
  </w:style>
  <w:style w:type="paragraph" w:styleId="Heading6">
    <w:name w:val="heading 6"/>
    <w:basedOn w:val="HeadingBase"/>
    <w:next w:val="Normal"/>
    <w:link w:val="Heading6Char"/>
    <w:qFormat/>
    <w:rsid w:val="00CE1BFC"/>
    <w:pPr>
      <w:spacing w:before="60"/>
      <w:outlineLvl w:val="5"/>
    </w:pPr>
    <w:rPr>
      <w:color w:val="918585"/>
      <w:sz w:val="20"/>
    </w:rPr>
  </w:style>
  <w:style w:type="paragraph" w:styleId="Heading7">
    <w:name w:val="heading 7"/>
    <w:basedOn w:val="Normal"/>
    <w:next w:val="Normal"/>
    <w:link w:val="Heading7Char"/>
    <w:qFormat/>
    <w:rsid w:val="00CE1BFC"/>
    <w:pPr>
      <w:ind w:left="720"/>
      <w:outlineLvl w:val="6"/>
    </w:pPr>
    <w:rPr>
      <w:i/>
    </w:rPr>
  </w:style>
  <w:style w:type="paragraph" w:styleId="Heading8">
    <w:name w:val="heading 8"/>
    <w:basedOn w:val="Normal"/>
    <w:next w:val="Normal"/>
    <w:link w:val="Heading8Char"/>
    <w:qFormat/>
    <w:rsid w:val="00CE1BFC"/>
    <w:pPr>
      <w:ind w:left="720"/>
      <w:outlineLvl w:val="7"/>
    </w:pPr>
    <w:rPr>
      <w:i/>
    </w:rPr>
  </w:style>
  <w:style w:type="paragraph" w:styleId="Heading9">
    <w:name w:val="heading 9"/>
    <w:basedOn w:val="Normal"/>
    <w:next w:val="Normal"/>
    <w:link w:val="Heading9Char"/>
    <w:qFormat/>
    <w:rsid w:val="00CE1BFC"/>
    <w:pPr>
      <w:ind w:left="720"/>
      <w:outlineLvl w:val="8"/>
    </w:pPr>
    <w:rPr>
      <w:i/>
    </w:rPr>
  </w:style>
  <w:style w:type="character" w:default="1" w:styleId="DefaultParagraphFont">
    <w:name w:val="Default Paragraph Font"/>
    <w:uiPriority w:val="1"/>
    <w:unhideWhenUsed/>
    <w:rsid w:val="00CE1B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BFC"/>
  </w:style>
  <w:style w:type="character" w:customStyle="1" w:styleId="Heading1Char">
    <w:name w:val="Heading 1 Char"/>
    <w:link w:val="Heading1"/>
    <w:rsid w:val="00CE1BFC"/>
    <w:rPr>
      <w:rFonts w:ascii="Times New Roman" w:eastAsia="Times New Roman" w:hAnsi="Times New Roman" w:cs="Times New Roman"/>
      <w:b/>
      <w:sz w:val="32"/>
      <w:szCs w:val="20"/>
      <w:lang w:eastAsia="en-US"/>
    </w:rPr>
  </w:style>
  <w:style w:type="paragraph" w:styleId="BodyText">
    <w:name w:val="Body Text"/>
    <w:basedOn w:val="Normal"/>
    <w:link w:val="BodyTextChar"/>
    <w:rsid w:val="00CE1BFC"/>
    <w:pPr>
      <w:spacing w:before="120" w:after="120"/>
      <w:contextualSpacing/>
    </w:pPr>
    <w:rPr>
      <w:rFonts w:ascii="Times New Roman" w:hAnsi="Times New Roman"/>
      <w:sz w:val="24"/>
      <w:szCs w:val="22"/>
    </w:rPr>
  </w:style>
  <w:style w:type="character" w:customStyle="1" w:styleId="BodyTextChar">
    <w:name w:val="Body Text Char"/>
    <w:link w:val="BodyText"/>
    <w:rsid w:val="00CE1BFC"/>
    <w:rPr>
      <w:rFonts w:ascii="Times New Roman" w:eastAsia="Times New Roman" w:hAnsi="Times New Roman" w:cs="Times New Roman"/>
      <w:sz w:val="24"/>
      <w:lang w:val="en-US" w:eastAsia="en-US"/>
    </w:rPr>
  </w:style>
  <w:style w:type="paragraph" w:styleId="Footer">
    <w:name w:val="footer"/>
    <w:basedOn w:val="Normal"/>
    <w:link w:val="FooterChar"/>
    <w:rsid w:val="00CE1B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E1BFC"/>
    <w:rPr>
      <w:rFonts w:ascii="Times New Roman" w:eastAsia="Times New Roman" w:hAnsi="Times New Roman" w:cs="Times New Roman"/>
      <w:sz w:val="16"/>
      <w:lang w:val="en-US" w:eastAsia="en-US"/>
    </w:rPr>
  </w:style>
  <w:style w:type="paragraph" w:styleId="List">
    <w:name w:val="List"/>
    <w:basedOn w:val="BodyText"/>
    <w:next w:val="BodyText"/>
    <w:rsid w:val="00CE1BFC"/>
    <w:pPr>
      <w:tabs>
        <w:tab w:val="left" w:pos="340"/>
      </w:tabs>
      <w:spacing w:before="60" w:after="60"/>
      <w:ind w:left="340" w:hanging="340"/>
    </w:pPr>
  </w:style>
  <w:style w:type="paragraph" w:styleId="ListBullet">
    <w:name w:val="List Bullet"/>
    <w:basedOn w:val="List"/>
    <w:rsid w:val="00CE1BFC"/>
    <w:pPr>
      <w:numPr>
        <w:numId w:val="12"/>
      </w:numPr>
      <w:tabs>
        <w:tab w:val="clear" w:pos="340"/>
      </w:tabs>
      <w:spacing w:before="40" w:after="40"/>
    </w:pPr>
  </w:style>
  <w:style w:type="character" w:customStyle="1" w:styleId="SpecialBold">
    <w:name w:val="Special Bold"/>
    <w:rsid w:val="00CE1BFC"/>
    <w:rPr>
      <w:b/>
      <w:spacing w:val="0"/>
    </w:rPr>
  </w:style>
  <w:style w:type="paragraph" w:styleId="Header">
    <w:name w:val="header"/>
    <w:basedOn w:val="Normal"/>
    <w:link w:val="HeaderChar"/>
    <w:rsid w:val="00CE1B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E1B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1BFC"/>
    <w:pPr>
      <w:spacing w:before="240" w:after="120"/>
      <w:outlineLvl w:val="0"/>
    </w:pPr>
    <w:rPr>
      <w:rFonts w:ascii="Times New Roman" w:hAnsi="Times New Roman"/>
      <w:b/>
      <w:sz w:val="28"/>
    </w:rPr>
  </w:style>
  <w:style w:type="paragraph" w:customStyle="1" w:styleId="AllowPageBreak">
    <w:name w:val="AllowPageBreak"/>
    <w:rsid w:val="00CE1B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1BFC"/>
    <w:pPr>
      <w:tabs>
        <w:tab w:val="left" w:pos="680"/>
      </w:tabs>
      <w:spacing w:before="60" w:after="60"/>
      <w:ind w:left="680" w:hanging="340"/>
    </w:pPr>
  </w:style>
  <w:style w:type="character" w:customStyle="1" w:styleId="BoldandItalics">
    <w:name w:val="Bold and Italics"/>
    <w:qFormat/>
    <w:rsid w:val="00CE1BFC"/>
    <w:rPr>
      <w:b/>
      <w:i/>
      <w:u w:val="none"/>
    </w:rPr>
  </w:style>
  <w:style w:type="character" w:customStyle="1" w:styleId="Heading2Char">
    <w:name w:val="Heading 2 Char"/>
    <w:link w:val="Heading2"/>
    <w:rsid w:val="00CE1BFC"/>
    <w:rPr>
      <w:rFonts w:ascii="Times New Roman" w:eastAsia="Times New Roman" w:hAnsi="Times New Roman" w:cs="Times New Roman"/>
      <w:b/>
      <w:sz w:val="28"/>
      <w:szCs w:val="40"/>
      <w:lang w:eastAsia="en-US"/>
    </w:rPr>
  </w:style>
  <w:style w:type="character" w:customStyle="1" w:styleId="Heading3Char">
    <w:name w:val="Heading 3 Char"/>
    <w:link w:val="Heading3"/>
    <w:rsid w:val="00CE1BF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E1BFC"/>
    <w:rPr>
      <w:rFonts w:ascii="Times New Roman" w:eastAsia="Times New Roman" w:hAnsi="Times New Roman" w:cs="Times New Roman"/>
      <w:b/>
      <w:szCs w:val="20"/>
      <w:lang w:eastAsia="en-US"/>
    </w:rPr>
  </w:style>
  <w:style w:type="character" w:customStyle="1" w:styleId="Heading5Char">
    <w:name w:val="Heading 5 Char"/>
    <w:link w:val="Heading5"/>
    <w:rsid w:val="00CE1BF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E1B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B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1B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1BFC"/>
    <w:rPr>
      <w:rFonts w:ascii="Courier New" w:eastAsia="Times New Roman" w:hAnsi="Courier New" w:cs="Times New Roman"/>
      <w:i/>
      <w:szCs w:val="20"/>
      <w:lang w:val="en-US" w:eastAsia="en-US"/>
    </w:rPr>
  </w:style>
  <w:style w:type="paragraph" w:customStyle="1" w:styleId="HeadingBase">
    <w:name w:val="Heading Base"/>
    <w:rsid w:val="00CE1B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BFC"/>
    <w:pPr>
      <w:tabs>
        <w:tab w:val="right" w:leader="dot" w:pos="9072"/>
      </w:tabs>
      <w:ind w:left="567"/>
    </w:pPr>
    <w:rPr>
      <w:szCs w:val="22"/>
    </w:rPr>
  </w:style>
  <w:style w:type="paragraph" w:customStyle="1" w:styleId="TOCBase">
    <w:name w:val="TOC Base"/>
    <w:rsid w:val="00CE1B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BFC"/>
    <w:pPr>
      <w:tabs>
        <w:tab w:val="right" w:leader="dot" w:pos="9072"/>
      </w:tabs>
      <w:spacing w:before="40" w:after="40"/>
      <w:ind w:left="284"/>
    </w:pPr>
    <w:rPr>
      <w:rFonts w:ascii="Times New Roman" w:hAnsi="Times New Roman"/>
    </w:rPr>
  </w:style>
  <w:style w:type="paragraph" w:styleId="TOC1">
    <w:name w:val="toc 1"/>
    <w:basedOn w:val="TOCBase"/>
    <w:next w:val="Normal"/>
    <w:rsid w:val="00CE1B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1BFC"/>
    <w:pPr>
      <w:spacing w:before="5040"/>
      <w:jc w:val="center"/>
    </w:pPr>
    <w:rPr>
      <w:sz w:val="48"/>
      <w:szCs w:val="72"/>
      <w:lang w:val="en-US"/>
    </w:rPr>
  </w:style>
  <w:style w:type="character" w:customStyle="1" w:styleId="TitleChar">
    <w:name w:val="Title Char"/>
    <w:link w:val="Title"/>
    <w:rsid w:val="00CE1B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BFC"/>
    <w:pPr>
      <w:tabs>
        <w:tab w:val="left" w:pos="3600"/>
        <w:tab w:val="left" w:pos="3958"/>
      </w:tabs>
    </w:pPr>
  </w:style>
  <w:style w:type="paragraph" w:customStyle="1" w:styleId="Note">
    <w:name w:val="Note"/>
    <w:basedOn w:val="BodyText"/>
    <w:rsid w:val="00CE1B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BFC"/>
    <w:pPr>
      <w:framePr w:wrap="auto" w:hAnchor="text" w:y="6049"/>
    </w:pPr>
    <w:rPr>
      <w:color w:val="000000"/>
      <w:sz w:val="40"/>
    </w:rPr>
  </w:style>
  <w:style w:type="paragraph" w:customStyle="1" w:styleId="TOCTitle">
    <w:name w:val="TOCTitle"/>
    <w:basedOn w:val="Heading1"/>
    <w:rsid w:val="00CE1BFC"/>
    <w:pPr>
      <w:spacing w:after="240"/>
      <w:jc w:val="center"/>
      <w:outlineLvl w:val="9"/>
    </w:pPr>
    <w:rPr>
      <w:caps/>
    </w:rPr>
  </w:style>
  <w:style w:type="paragraph" w:customStyle="1" w:styleId="Version">
    <w:name w:val="Version"/>
    <w:rsid w:val="00CE1B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1BFC"/>
    <w:pPr>
      <w:numPr>
        <w:numId w:val="13"/>
      </w:numPr>
      <w:tabs>
        <w:tab w:val="clear" w:pos="680"/>
      </w:tabs>
    </w:pPr>
  </w:style>
  <w:style w:type="paragraph" w:styleId="Index1">
    <w:name w:val="index 1"/>
    <w:basedOn w:val="Normal"/>
    <w:next w:val="Normal"/>
    <w:semiHidden/>
    <w:rsid w:val="00CE1BFC"/>
    <w:pPr>
      <w:keepNext w:val="0"/>
      <w:tabs>
        <w:tab w:val="right" w:pos="4176"/>
      </w:tabs>
      <w:ind w:left="198" w:hanging="198"/>
    </w:pPr>
    <w:rPr>
      <w:rFonts w:ascii="Garamond" w:hAnsi="Garamond"/>
    </w:rPr>
  </w:style>
  <w:style w:type="paragraph" w:styleId="IndexHeading">
    <w:name w:val="index heading"/>
    <w:basedOn w:val="Normal"/>
    <w:next w:val="Index1"/>
    <w:semiHidden/>
    <w:rsid w:val="00CE1BFC"/>
    <w:pPr>
      <w:spacing w:before="120" w:after="120"/>
    </w:pPr>
    <w:rPr>
      <w:rFonts w:ascii="Arial" w:hAnsi="Arial"/>
      <w:b/>
      <w:color w:val="918585"/>
      <w:sz w:val="24"/>
    </w:rPr>
  </w:style>
  <w:style w:type="paragraph" w:customStyle="1" w:styleId="Chapter">
    <w:name w:val="Chapter"/>
    <w:basedOn w:val="Normal"/>
    <w:rsid w:val="00CE1BFC"/>
    <w:pPr>
      <w:spacing w:before="240"/>
    </w:pPr>
    <w:rPr>
      <w:rFonts w:ascii="Times New Roman" w:hAnsi="Times New Roman"/>
      <w:smallCaps/>
      <w:spacing w:val="80"/>
      <w:sz w:val="28"/>
    </w:rPr>
  </w:style>
  <w:style w:type="paragraph" w:customStyle="1" w:styleId="InChapter">
    <w:name w:val="InChapter"/>
    <w:basedOn w:val="Heading3"/>
    <w:rsid w:val="00CE1BFC"/>
    <w:pPr>
      <w:spacing w:after="240"/>
      <w:outlineLvl w:val="9"/>
    </w:pPr>
    <w:rPr>
      <w:noProof/>
    </w:rPr>
  </w:style>
  <w:style w:type="paragraph" w:styleId="Index2">
    <w:name w:val="index 2"/>
    <w:basedOn w:val="Normal"/>
    <w:next w:val="Normal"/>
    <w:semiHidden/>
    <w:rsid w:val="00CE1BFC"/>
    <w:pPr>
      <w:tabs>
        <w:tab w:val="right" w:pos="4176"/>
      </w:tabs>
      <w:ind w:left="568" w:hanging="284"/>
    </w:pPr>
    <w:rPr>
      <w:rFonts w:ascii="Garamond" w:hAnsi="Garamond"/>
    </w:rPr>
  </w:style>
  <w:style w:type="paragraph" w:customStyle="1" w:styleId="Byline">
    <w:name w:val="Byline"/>
    <w:rsid w:val="00CE1B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BFC"/>
    <w:pPr>
      <w:tabs>
        <w:tab w:val="clear" w:pos="3600"/>
        <w:tab w:val="clear" w:pos="3958"/>
      </w:tabs>
      <w:jc w:val="right"/>
    </w:pPr>
  </w:style>
  <w:style w:type="character" w:styleId="Emphasis">
    <w:name w:val="Emphasis"/>
    <w:qFormat/>
    <w:rsid w:val="00CE1BFC"/>
    <w:rPr>
      <w:i/>
    </w:rPr>
  </w:style>
  <w:style w:type="paragraph" w:styleId="Caption">
    <w:name w:val="caption"/>
    <w:basedOn w:val="BodyText"/>
    <w:next w:val="Normal"/>
    <w:qFormat/>
    <w:rsid w:val="00CE1BFC"/>
    <w:pPr>
      <w:framePr w:w="2268" w:hSpace="181" w:vSpace="181" w:wrap="around" w:vAnchor="text" w:hAnchor="page" w:x="1135" w:y="285" w:anchorLock="1"/>
    </w:pPr>
    <w:rPr>
      <w:i/>
    </w:rPr>
  </w:style>
  <w:style w:type="paragraph" w:customStyle="1" w:styleId="MiniTOCTitle">
    <w:name w:val="MiniTOCTitle"/>
    <w:basedOn w:val="Heading4"/>
    <w:rsid w:val="00CE1BFC"/>
    <w:pPr>
      <w:spacing w:before="240"/>
      <w:outlineLvl w:val="9"/>
    </w:pPr>
    <w:rPr>
      <w:noProof/>
      <w:sz w:val="24"/>
    </w:rPr>
  </w:style>
  <w:style w:type="paragraph" w:customStyle="1" w:styleId="MiniTOCItem">
    <w:name w:val="MiniTOCItem"/>
    <w:basedOn w:val="ListBullet"/>
    <w:rsid w:val="00CE1BFC"/>
    <w:pPr>
      <w:numPr>
        <w:numId w:val="0"/>
      </w:numPr>
      <w:tabs>
        <w:tab w:val="right" w:leader="dot" w:pos="6521"/>
      </w:tabs>
      <w:spacing w:before="0" w:after="0"/>
    </w:pPr>
  </w:style>
  <w:style w:type="paragraph" w:customStyle="1" w:styleId="TOFTitle">
    <w:name w:val="TOFTitle"/>
    <w:basedOn w:val="TOCTitle"/>
    <w:rsid w:val="00CE1BFC"/>
  </w:style>
  <w:style w:type="paragraph" w:styleId="TableofFigures">
    <w:name w:val="table of figures"/>
    <w:basedOn w:val="Normal"/>
    <w:next w:val="Normal"/>
    <w:semiHidden/>
    <w:rsid w:val="00CE1BFC"/>
    <w:pPr>
      <w:tabs>
        <w:tab w:val="right" w:leader="dot" w:pos="9072"/>
      </w:tabs>
      <w:ind w:left="970" w:hanging="403"/>
    </w:pPr>
    <w:rPr>
      <w:rFonts w:ascii="Times New Roman" w:hAnsi="Times New Roman"/>
      <w:b/>
    </w:rPr>
  </w:style>
  <w:style w:type="paragraph" w:styleId="ListNumber">
    <w:name w:val="List Number"/>
    <w:basedOn w:val="List"/>
    <w:rsid w:val="00CE1BFC"/>
    <w:pPr>
      <w:numPr>
        <w:numId w:val="10"/>
      </w:numPr>
    </w:pPr>
  </w:style>
  <w:style w:type="character" w:customStyle="1" w:styleId="WingdingSymbols">
    <w:name w:val="Wingding Symbols"/>
    <w:rsid w:val="00CE1BFC"/>
    <w:rPr>
      <w:rFonts w:ascii="Wingdings" w:hAnsi="Wingdings"/>
    </w:rPr>
  </w:style>
  <w:style w:type="paragraph" w:customStyle="1" w:styleId="TableHeading">
    <w:name w:val="Table Heading"/>
    <w:basedOn w:val="HeadingBase"/>
    <w:rsid w:val="00CE1BFC"/>
    <w:pPr>
      <w:keepLines/>
      <w:pBdr>
        <w:bottom w:val="single" w:sz="6" w:space="1" w:color="918585"/>
      </w:pBdr>
      <w:spacing w:before="240"/>
    </w:pPr>
  </w:style>
  <w:style w:type="character" w:customStyle="1" w:styleId="HotSpot">
    <w:name w:val="HotSpot"/>
    <w:rsid w:val="00CE1BFC"/>
    <w:rPr>
      <w:color w:val="0033CC"/>
      <w:u w:val="none"/>
    </w:rPr>
  </w:style>
  <w:style w:type="paragraph" w:customStyle="1" w:styleId="BodyTextRight">
    <w:name w:val="Body Text Right"/>
    <w:basedOn w:val="BodyText"/>
    <w:rsid w:val="00CE1BFC"/>
    <w:pPr>
      <w:spacing w:before="0" w:after="0"/>
      <w:jc w:val="right"/>
    </w:pPr>
  </w:style>
  <w:style w:type="paragraph" w:styleId="Index3">
    <w:name w:val="index 3"/>
    <w:basedOn w:val="ListNumber2"/>
    <w:next w:val="Normal"/>
    <w:semiHidden/>
    <w:rsid w:val="00CE1BFC"/>
    <w:pPr>
      <w:numPr>
        <w:numId w:val="0"/>
      </w:numPr>
      <w:tabs>
        <w:tab w:val="right" w:leader="dot" w:pos="4176"/>
      </w:tabs>
    </w:pPr>
  </w:style>
  <w:style w:type="paragraph" w:styleId="ListNumber2">
    <w:name w:val="List Number 2"/>
    <w:basedOn w:val="List2"/>
    <w:rsid w:val="00CE1BFC"/>
    <w:pPr>
      <w:numPr>
        <w:numId w:val="9"/>
      </w:numPr>
      <w:tabs>
        <w:tab w:val="clear" w:pos="1060"/>
      </w:tabs>
    </w:pPr>
  </w:style>
  <w:style w:type="paragraph" w:customStyle="1" w:styleId="MarginNote">
    <w:name w:val="Margin Note"/>
    <w:basedOn w:val="BodyText"/>
    <w:rsid w:val="00CE1B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B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E1B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1BFC"/>
    <w:rPr>
      <w:sz w:val="32"/>
    </w:rPr>
  </w:style>
  <w:style w:type="paragraph" w:customStyle="1" w:styleId="HeadingProcedure">
    <w:name w:val="Heading Procedure"/>
    <w:basedOn w:val="HeadingBase"/>
    <w:next w:val="Normal"/>
    <w:rsid w:val="00CE1BFC"/>
    <w:pPr>
      <w:tabs>
        <w:tab w:val="left" w:pos="0"/>
      </w:tabs>
      <w:spacing w:before="120" w:after="60"/>
    </w:pPr>
    <w:rPr>
      <w:i/>
      <w:color w:val="918585"/>
      <w:sz w:val="22"/>
    </w:rPr>
  </w:style>
  <w:style w:type="paragraph" w:customStyle="1" w:styleId="TableBodyText">
    <w:name w:val="Table Body Text"/>
    <w:basedOn w:val="BodyText"/>
    <w:rsid w:val="00CE1BFC"/>
    <w:pPr>
      <w:spacing w:before="60" w:after="60"/>
    </w:pPr>
  </w:style>
  <w:style w:type="paragraph" w:styleId="ListContinue">
    <w:name w:val="List Continue"/>
    <w:basedOn w:val="List"/>
    <w:rsid w:val="00CE1BFC"/>
    <w:pPr>
      <w:ind w:firstLine="0"/>
    </w:pPr>
  </w:style>
  <w:style w:type="paragraph" w:customStyle="1" w:styleId="ListNote">
    <w:name w:val="List Note"/>
    <w:basedOn w:val="List"/>
    <w:rsid w:val="00CE1BFC"/>
    <w:pPr>
      <w:pBdr>
        <w:top w:val="single" w:sz="6" w:space="2" w:color="918585"/>
        <w:bottom w:val="single" w:sz="6" w:space="2" w:color="918585"/>
      </w:pBdr>
      <w:tabs>
        <w:tab w:val="left" w:pos="1021"/>
      </w:tabs>
      <w:ind w:firstLine="0"/>
    </w:pPr>
  </w:style>
  <w:style w:type="paragraph" w:customStyle="1" w:styleId="Warning">
    <w:name w:val="Warning"/>
    <w:basedOn w:val="BodyText"/>
    <w:rsid w:val="00CE1BFC"/>
    <w:pPr>
      <w:shd w:val="clear" w:color="auto" w:fill="D9D9D9"/>
      <w:tabs>
        <w:tab w:val="left" w:pos="992"/>
      </w:tabs>
      <w:ind w:left="119" w:right="119"/>
    </w:pPr>
    <w:rPr>
      <w:sz w:val="20"/>
    </w:rPr>
  </w:style>
  <w:style w:type="paragraph" w:customStyle="1" w:styleId="MarginIcons">
    <w:name w:val="Margin Icons"/>
    <w:basedOn w:val="BodyText"/>
    <w:rsid w:val="00CE1BF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E1BFC"/>
    <w:rPr>
      <w:rFonts w:ascii="Courier New" w:hAnsi="Courier New"/>
    </w:rPr>
  </w:style>
  <w:style w:type="paragraph" w:customStyle="1" w:styleId="NoteBullet">
    <w:name w:val="Note Bullet"/>
    <w:basedOn w:val="Note"/>
    <w:rsid w:val="00CE1BFC"/>
    <w:pPr>
      <w:tabs>
        <w:tab w:val="clear" w:pos="680"/>
      </w:tabs>
      <w:spacing w:before="60" w:after="60"/>
    </w:pPr>
  </w:style>
  <w:style w:type="paragraph" w:customStyle="1" w:styleId="SubHeading2">
    <w:name w:val="SubHeading2"/>
    <w:basedOn w:val="HeadingBase"/>
    <w:rsid w:val="00CE1BFC"/>
    <w:pPr>
      <w:spacing w:before="240" w:after="60"/>
    </w:pPr>
    <w:rPr>
      <w:sz w:val="20"/>
    </w:rPr>
  </w:style>
  <w:style w:type="paragraph" w:customStyle="1" w:styleId="SubHeading1">
    <w:name w:val="SubHeading1"/>
    <w:basedOn w:val="HeadingBase"/>
    <w:rsid w:val="00CE1BFC"/>
    <w:pPr>
      <w:spacing w:before="240" w:after="60"/>
    </w:pPr>
    <w:rPr>
      <w:color w:val="918585"/>
      <w:sz w:val="22"/>
    </w:rPr>
  </w:style>
  <w:style w:type="paragraph" w:customStyle="1" w:styleId="SideHeading">
    <w:name w:val="Side Heading"/>
    <w:basedOn w:val="HeadingBase"/>
    <w:rsid w:val="00CE1B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BFC"/>
    <w:pPr>
      <w:tabs>
        <w:tab w:val="num" w:pos="360"/>
      </w:tabs>
    </w:pPr>
  </w:style>
  <w:style w:type="paragraph" w:styleId="PlainText">
    <w:name w:val="Plain Text"/>
    <w:basedOn w:val="Normal"/>
    <w:link w:val="PlainTextChar"/>
    <w:rsid w:val="00CE1BFC"/>
    <w:rPr>
      <w:sz w:val="20"/>
    </w:rPr>
  </w:style>
  <w:style w:type="character" w:customStyle="1" w:styleId="PlainTextChar">
    <w:name w:val="Plain Text Char"/>
    <w:basedOn w:val="DefaultParagraphFont"/>
    <w:link w:val="PlainText"/>
    <w:rsid w:val="00CE1BFC"/>
    <w:rPr>
      <w:rFonts w:ascii="Courier New" w:eastAsia="Times New Roman" w:hAnsi="Courier New" w:cs="Times New Roman"/>
      <w:sz w:val="20"/>
      <w:szCs w:val="20"/>
      <w:lang w:val="en-US" w:eastAsia="en-US"/>
    </w:rPr>
  </w:style>
  <w:style w:type="character" w:customStyle="1" w:styleId="MenuOption">
    <w:name w:val="Menu Option"/>
    <w:rsid w:val="00CE1BFC"/>
    <w:rPr>
      <w:b/>
      <w:smallCaps/>
    </w:rPr>
  </w:style>
  <w:style w:type="paragraph" w:customStyle="1" w:styleId="TableListNumber">
    <w:name w:val="Table List Number"/>
    <w:basedOn w:val="ListNumber"/>
    <w:rsid w:val="00CE1BFC"/>
    <w:pPr>
      <w:numPr>
        <w:numId w:val="0"/>
      </w:numPr>
    </w:pPr>
  </w:style>
  <w:style w:type="paragraph" w:styleId="TOC4">
    <w:name w:val="toc 4"/>
    <w:basedOn w:val="TOCBase"/>
    <w:next w:val="Normal"/>
    <w:semiHidden/>
    <w:rsid w:val="00CE1BFC"/>
    <w:pPr>
      <w:tabs>
        <w:tab w:val="right" w:leader="dot" w:pos="9071"/>
      </w:tabs>
      <w:ind w:left="1701"/>
    </w:pPr>
  </w:style>
  <w:style w:type="paragraph" w:customStyle="1" w:styleId="ListAlpha">
    <w:name w:val="List Alpha"/>
    <w:basedOn w:val="List"/>
    <w:rsid w:val="00CE1BFC"/>
    <w:pPr>
      <w:numPr>
        <w:numId w:val="8"/>
      </w:numPr>
    </w:pPr>
  </w:style>
  <w:style w:type="paragraph" w:customStyle="1" w:styleId="ListAlpha2">
    <w:name w:val="List Alpha 2"/>
    <w:basedOn w:val="List2"/>
    <w:rsid w:val="00CE1BFC"/>
    <w:pPr>
      <w:numPr>
        <w:numId w:val="7"/>
      </w:numPr>
    </w:pPr>
  </w:style>
  <w:style w:type="paragraph" w:styleId="List3">
    <w:name w:val="List 3"/>
    <w:basedOn w:val="BodyText"/>
    <w:rsid w:val="00CE1BFC"/>
    <w:pPr>
      <w:tabs>
        <w:tab w:val="left" w:pos="1021"/>
      </w:tabs>
      <w:spacing w:before="60" w:after="60"/>
      <w:ind w:left="1020" w:hanging="340"/>
    </w:pPr>
  </w:style>
  <w:style w:type="paragraph" w:styleId="List4">
    <w:name w:val="List 4"/>
    <w:basedOn w:val="BodyText"/>
    <w:rsid w:val="00CE1BFC"/>
    <w:pPr>
      <w:tabs>
        <w:tab w:val="left" w:pos="1361"/>
      </w:tabs>
      <w:spacing w:before="60" w:after="60"/>
      <w:ind w:left="1361" w:hanging="340"/>
    </w:pPr>
  </w:style>
  <w:style w:type="paragraph" w:styleId="List5">
    <w:name w:val="List 5"/>
    <w:basedOn w:val="BodyText"/>
    <w:rsid w:val="00CE1BFC"/>
    <w:pPr>
      <w:tabs>
        <w:tab w:val="left" w:pos="1701"/>
      </w:tabs>
      <w:spacing w:before="60" w:after="60"/>
      <w:ind w:left="1701" w:hanging="340"/>
    </w:pPr>
  </w:style>
  <w:style w:type="paragraph" w:styleId="ListBullet3">
    <w:name w:val="List Bullet 3"/>
    <w:basedOn w:val="List3"/>
    <w:rsid w:val="00CE1BFC"/>
    <w:pPr>
      <w:numPr>
        <w:numId w:val="14"/>
      </w:numPr>
      <w:tabs>
        <w:tab w:val="clear" w:pos="1021"/>
      </w:tabs>
      <w:ind w:left="1037" w:hanging="357"/>
    </w:pPr>
  </w:style>
  <w:style w:type="paragraph" w:styleId="ListBullet4">
    <w:name w:val="List Bullet 4"/>
    <w:basedOn w:val="List4"/>
    <w:rsid w:val="00CE1BFC"/>
    <w:pPr>
      <w:numPr>
        <w:numId w:val="2"/>
      </w:numPr>
    </w:pPr>
  </w:style>
  <w:style w:type="paragraph" w:styleId="ListBullet5">
    <w:name w:val="List Bullet 5"/>
    <w:basedOn w:val="List5"/>
    <w:rsid w:val="00CE1BFC"/>
    <w:pPr>
      <w:numPr>
        <w:numId w:val="3"/>
      </w:numPr>
    </w:pPr>
  </w:style>
  <w:style w:type="paragraph" w:styleId="ListContinue2">
    <w:name w:val="List Continue 2"/>
    <w:basedOn w:val="List2"/>
    <w:rsid w:val="00CE1BFC"/>
    <w:pPr>
      <w:ind w:firstLine="0"/>
    </w:pPr>
  </w:style>
  <w:style w:type="paragraph" w:styleId="ListContinue3">
    <w:name w:val="List Continue 3"/>
    <w:basedOn w:val="List3"/>
    <w:rsid w:val="00CE1BFC"/>
    <w:pPr>
      <w:ind w:left="1021" w:firstLine="0"/>
    </w:pPr>
  </w:style>
  <w:style w:type="paragraph" w:styleId="ListContinue4">
    <w:name w:val="List Continue 4"/>
    <w:basedOn w:val="List4"/>
    <w:rsid w:val="00CE1BFC"/>
    <w:pPr>
      <w:ind w:firstLine="0"/>
    </w:pPr>
  </w:style>
  <w:style w:type="paragraph" w:styleId="ListContinue5">
    <w:name w:val="List Continue 5"/>
    <w:basedOn w:val="List5"/>
    <w:rsid w:val="00CE1BFC"/>
    <w:pPr>
      <w:ind w:firstLine="0"/>
    </w:pPr>
  </w:style>
  <w:style w:type="paragraph" w:styleId="ListNumber3">
    <w:name w:val="List Number 3"/>
    <w:basedOn w:val="List3"/>
    <w:rsid w:val="00CE1BFC"/>
    <w:pPr>
      <w:numPr>
        <w:numId w:val="4"/>
      </w:numPr>
    </w:pPr>
  </w:style>
  <w:style w:type="paragraph" w:styleId="ListNumber4">
    <w:name w:val="List Number 4"/>
    <w:basedOn w:val="List4"/>
    <w:rsid w:val="00CE1BFC"/>
    <w:pPr>
      <w:numPr>
        <w:numId w:val="5"/>
      </w:numPr>
    </w:pPr>
  </w:style>
  <w:style w:type="paragraph" w:styleId="ListNumber5">
    <w:name w:val="List Number 5"/>
    <w:basedOn w:val="List5"/>
    <w:rsid w:val="00CE1BFC"/>
    <w:pPr>
      <w:numPr>
        <w:numId w:val="6"/>
      </w:numPr>
    </w:pPr>
  </w:style>
  <w:style w:type="paragraph" w:styleId="BlockText">
    <w:name w:val="Block Text"/>
    <w:basedOn w:val="Normal"/>
    <w:rsid w:val="00CE1BFC"/>
    <w:pPr>
      <w:spacing w:after="120"/>
      <w:ind w:left="1440" w:right="1440"/>
    </w:pPr>
  </w:style>
  <w:style w:type="character" w:customStyle="1" w:styleId="Subscript">
    <w:name w:val="Subscript"/>
    <w:rsid w:val="00CE1BFC"/>
    <w:rPr>
      <w:sz w:val="16"/>
      <w:vertAlign w:val="subscript"/>
    </w:rPr>
  </w:style>
  <w:style w:type="character" w:customStyle="1" w:styleId="Superscript">
    <w:name w:val="Superscript"/>
    <w:rsid w:val="00CE1BFC"/>
    <w:rPr>
      <w:sz w:val="16"/>
      <w:vertAlign w:val="superscript"/>
    </w:rPr>
  </w:style>
  <w:style w:type="character" w:customStyle="1" w:styleId="Symbols">
    <w:name w:val="Symbols"/>
    <w:rsid w:val="00CE1BFC"/>
    <w:rPr>
      <w:rFonts w:ascii="Symbol" w:hAnsi="Symbol"/>
    </w:rPr>
  </w:style>
  <w:style w:type="character" w:customStyle="1" w:styleId="MenuOptions">
    <w:name w:val="Menu Options"/>
    <w:rsid w:val="00CE1BFC"/>
    <w:rPr>
      <w:rFonts w:ascii="Arial Narrow" w:hAnsi="Arial Narrow"/>
      <w:smallCaps/>
    </w:rPr>
  </w:style>
  <w:style w:type="character" w:customStyle="1" w:styleId="Buttons">
    <w:name w:val="Buttons"/>
    <w:rsid w:val="00CE1BFC"/>
    <w:rPr>
      <w:b/>
    </w:rPr>
  </w:style>
  <w:style w:type="character" w:customStyle="1" w:styleId="Underlined">
    <w:name w:val="Underlined"/>
    <w:rsid w:val="00CE1BFC"/>
    <w:rPr>
      <w:u w:val="single"/>
    </w:rPr>
  </w:style>
  <w:style w:type="paragraph" w:customStyle="1" w:styleId="TableBodyTextRight">
    <w:name w:val="Table Body Text Right"/>
    <w:basedOn w:val="TableBodyText"/>
    <w:rsid w:val="00CE1BFC"/>
    <w:pPr>
      <w:widowControl w:val="0"/>
      <w:autoSpaceDE w:val="0"/>
      <w:autoSpaceDN w:val="0"/>
      <w:adjustRightInd w:val="0"/>
      <w:jc w:val="right"/>
    </w:pPr>
    <w:rPr>
      <w:rFonts w:cs="Arial"/>
      <w:szCs w:val="18"/>
    </w:rPr>
  </w:style>
  <w:style w:type="paragraph" w:customStyle="1" w:styleId="CopyrightText">
    <w:name w:val="Copyright Text"/>
    <w:basedOn w:val="BodyText"/>
    <w:rsid w:val="00CE1BFC"/>
    <w:rPr>
      <w:sz w:val="18"/>
    </w:rPr>
  </w:style>
  <w:style w:type="paragraph" w:customStyle="1" w:styleId="BodySmallRight">
    <w:name w:val="Body Small Right"/>
    <w:basedOn w:val="BodyTextRight"/>
    <w:rsid w:val="00CE1BFC"/>
    <w:rPr>
      <w:sz w:val="18"/>
      <w:szCs w:val="18"/>
    </w:rPr>
  </w:style>
  <w:style w:type="paragraph" w:customStyle="1" w:styleId="MarginEdition">
    <w:name w:val="Margin Edition"/>
    <w:basedOn w:val="MarginNote"/>
    <w:rsid w:val="00CE1BFC"/>
    <w:pPr>
      <w:spacing w:before="0" w:after="0"/>
    </w:pPr>
    <w:rPr>
      <w:rFonts w:ascii="Times New Roman" w:hAnsi="Times New Roman"/>
      <w:color w:val="999999"/>
    </w:rPr>
  </w:style>
  <w:style w:type="paragraph" w:customStyle="1" w:styleId="Spacer">
    <w:name w:val="Spacer"/>
    <w:basedOn w:val="Normal"/>
    <w:rsid w:val="00CE1BFC"/>
    <w:rPr>
      <w:sz w:val="2"/>
      <w:szCs w:val="2"/>
    </w:rPr>
  </w:style>
  <w:style w:type="character" w:customStyle="1" w:styleId="Small">
    <w:name w:val="Small"/>
    <w:rsid w:val="00CE1BFC"/>
    <w:rPr>
      <w:sz w:val="16"/>
    </w:rPr>
  </w:style>
  <w:style w:type="paragraph" w:customStyle="1" w:styleId="WideTable">
    <w:name w:val="Wide Table"/>
    <w:basedOn w:val="Normal"/>
    <w:rsid w:val="00CE1BFC"/>
    <w:pPr>
      <w:ind w:left="-1418"/>
    </w:pPr>
    <w:rPr>
      <w:sz w:val="2"/>
      <w:szCs w:val="2"/>
    </w:rPr>
  </w:style>
  <w:style w:type="character" w:styleId="PageNumber">
    <w:name w:val="page number"/>
    <w:rsid w:val="00CE1BFC"/>
  </w:style>
  <w:style w:type="paragraph" w:styleId="Quote">
    <w:name w:val="Quote"/>
    <w:basedOn w:val="Heading1"/>
    <w:link w:val="QuoteChar"/>
    <w:qFormat/>
    <w:rsid w:val="00CE1BFC"/>
    <w:rPr>
      <w:b w:val="0"/>
      <w:sz w:val="72"/>
      <w:szCs w:val="72"/>
      <w:lang w:val="en-NZ"/>
    </w:rPr>
  </w:style>
  <w:style w:type="character" w:customStyle="1" w:styleId="QuoteChar">
    <w:name w:val="Quote Char"/>
    <w:link w:val="Quote"/>
    <w:rsid w:val="00CE1B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BFC"/>
    <w:pPr>
      <w:pageBreakBefore/>
    </w:pPr>
  </w:style>
  <w:style w:type="paragraph" w:customStyle="1" w:styleId="Border">
    <w:name w:val="Border"/>
    <w:basedOn w:val="Normal"/>
    <w:qFormat/>
    <w:rsid w:val="00CE1BFC"/>
    <w:pPr>
      <w:pBdr>
        <w:top w:val="single" w:sz="18" w:space="1" w:color="auto"/>
      </w:pBdr>
    </w:pPr>
    <w:rPr>
      <w:rFonts w:ascii="Times New Roman" w:hAnsi="Times New Roman"/>
      <w:color w:val="FFFFFF"/>
      <w:sz w:val="2"/>
    </w:rPr>
  </w:style>
  <w:style w:type="character" w:styleId="IntenseEmphasis">
    <w:name w:val="Intense Emphasis"/>
    <w:uiPriority w:val="21"/>
    <w:qFormat/>
    <w:rsid w:val="00CE1BFC"/>
    <w:rPr>
      <w:b/>
      <w:bCs/>
      <w:i/>
      <w:iCs/>
      <w:color w:val="auto"/>
    </w:rPr>
  </w:style>
  <w:style w:type="paragraph" w:styleId="IntenseQuote">
    <w:name w:val="Intense Quote"/>
    <w:basedOn w:val="Normal"/>
    <w:next w:val="Normal"/>
    <w:link w:val="IntenseQuoteChar"/>
    <w:uiPriority w:val="30"/>
    <w:qFormat/>
    <w:rsid w:val="00CE1BF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E1BFC"/>
    <w:rPr>
      <w:rFonts w:ascii="Courier New" w:eastAsia="Times New Roman" w:hAnsi="Courier New" w:cs="Times New Roman"/>
      <w:b/>
      <w:bCs/>
      <w:i/>
      <w:iCs/>
      <w:szCs w:val="20"/>
      <w:lang w:val="en-US" w:eastAsia="en-US"/>
    </w:rPr>
  </w:style>
  <w:style w:type="character" w:styleId="SubtleReference">
    <w:name w:val="Subtle Reference"/>
    <w:uiPriority w:val="31"/>
    <w:qFormat/>
    <w:rsid w:val="00CE1BFC"/>
    <w:rPr>
      <w:smallCaps/>
      <w:color w:val="auto"/>
      <w:u w:val="single"/>
    </w:rPr>
  </w:style>
  <w:style w:type="character" w:styleId="IntenseReference">
    <w:name w:val="Intense Reference"/>
    <w:uiPriority w:val="32"/>
    <w:qFormat/>
    <w:rsid w:val="00CE1BFC"/>
    <w:rPr>
      <w:b/>
      <w:bCs/>
      <w:smallCaps/>
      <w:color w:val="auto"/>
      <w:spacing w:val="5"/>
      <w:u w:val="single"/>
    </w:rPr>
  </w:style>
  <w:style w:type="paragraph" w:customStyle="1" w:styleId="2ColumnHeading">
    <w:name w:val="2Column Heading"/>
    <w:basedOn w:val="BodyText"/>
    <w:qFormat/>
    <w:rsid w:val="00CE1BFC"/>
    <w:pPr>
      <w:spacing w:after="60"/>
      <w:ind w:left="-2268"/>
    </w:pPr>
    <w:rPr>
      <w:b/>
    </w:rPr>
  </w:style>
  <w:style w:type="paragraph" w:customStyle="1" w:styleId="Heading1TOC">
    <w:name w:val="Heading1 TOC"/>
    <w:basedOn w:val="Normal"/>
    <w:qFormat/>
    <w:rsid w:val="00CE1BFC"/>
    <w:pPr>
      <w:spacing w:before="240" w:after="120"/>
    </w:pPr>
    <w:rPr>
      <w:rFonts w:ascii="Times New Roman" w:hAnsi="Times New Roman"/>
      <w:b/>
      <w:sz w:val="32"/>
    </w:rPr>
  </w:style>
  <w:style w:type="paragraph" w:customStyle="1" w:styleId="Heading2TOC">
    <w:name w:val="Heading2 TOC"/>
    <w:basedOn w:val="Normal"/>
    <w:qFormat/>
    <w:rsid w:val="00CE1BFC"/>
    <w:pPr>
      <w:spacing w:before="240" w:after="60"/>
    </w:pPr>
    <w:rPr>
      <w:rFonts w:ascii="Times New Roman" w:hAnsi="Times New Roman"/>
      <w:b/>
      <w:sz w:val="28"/>
    </w:rPr>
  </w:style>
  <w:style w:type="character" w:customStyle="1" w:styleId="Underline">
    <w:name w:val="Underline"/>
    <w:qFormat/>
    <w:rsid w:val="00CE1BFC"/>
    <w:rPr>
      <w:u w:val="single"/>
    </w:rPr>
  </w:style>
  <w:style w:type="paragraph" w:styleId="BalloonText">
    <w:name w:val="Balloon Text"/>
    <w:basedOn w:val="Normal"/>
    <w:link w:val="BalloonTextChar"/>
    <w:rsid w:val="00CE1BFC"/>
    <w:rPr>
      <w:rFonts w:ascii="Tahoma" w:hAnsi="Tahoma" w:cs="Tahoma"/>
      <w:sz w:val="16"/>
      <w:szCs w:val="16"/>
    </w:rPr>
  </w:style>
  <w:style w:type="character" w:customStyle="1" w:styleId="BalloonTextChar">
    <w:name w:val="Balloon Text Char"/>
    <w:link w:val="BalloonText"/>
    <w:rsid w:val="00CE1B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1BF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E1BF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CF3466FC.dotm</Template>
  <TotalTime>1</TotalTime>
  <Pages>6</Pages>
  <Words>1299</Words>
  <Characters>8096</Characters>
  <Application>Microsoft Office Word</Application>
  <DocSecurity>0</DocSecurity>
  <Lines>287</Lines>
  <Paragraphs>138</Paragraphs>
  <ScaleCrop>false</ScaleCrop>
  <Company>Author-it Software Corporation Ltd.</Company>
  <LinksUpToDate>false</LinksUpToDate>
  <CharactersWithSpaces>9323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CUELGT07C Record and operate lighting using advanced techniques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2012-05-26T23:15:00Z</dcterms:created>
  <dcterms:modified xsi:type="dcterms:W3CDTF">2012-05-26T23:16:00Z</dcterms:modified>
</cp:coreProperties>
</file>