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230" w:rsidP="00811230">
      <w:pPr>
        <w:pStyle w:val="Title"/>
      </w:pPr>
      <w:bookmarkStart w:id="0" w:name="_GoBack"/>
      <w:bookmarkEnd w:id="0"/>
      <w:r>
        <w:fldChar w:fldCharType="begin"/>
      </w:r>
      <w:r>
        <w:instrText xml:space="preserve"> TITLE   \* MERGEFORMAT </w:instrText>
      </w:r>
      <w:r>
        <w:fldChar w:fldCharType="separate"/>
      </w:r>
      <w:r>
        <w:t>CUEIND02B Research and evaluate theatrical references to inform industry practice</w:t>
      </w:r>
      <w:r>
        <w:fldChar w:fldCharType="end"/>
      </w:r>
    </w:p>
    <w:p w:rsidR="00811230" w:rsidP="00811230">
      <w:pPr>
        <w:pStyle w:val="Version"/>
        <w:sectPr w:rsidSect="00C44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C63" w:rsidP="00C44C63">
      <w:pPr>
        <w:pStyle w:val="SuperHeading"/>
      </w:pPr>
      <w:r w:rsidRPr="00C44C63">
        <w:t>CUEIND02B Research and evaluate theatrical references to inform industry practice</w:t>
      </w:r>
    </w:p>
    <w:p w:rsidR="00000000" w:rsidRPr="00C44C63" w:rsidP="00C44C63">
      <w:pPr>
        <w:pStyle w:val="Heading1"/>
      </w:pPr>
      <w:bookmarkStart w:id="1" w:name="O_69855"/>
      <w:bookmarkEnd w:id="1"/>
      <w:r w:rsidRPr="00C44C63">
        <w:t>Modification History</w:t>
      </w:r>
    </w:p>
    <w:p w:rsidR="00000000" w:rsidRPr="00C44C63" w:rsidP="00C44C63">
      <w:pPr>
        <w:pStyle w:val="BodyText"/>
      </w:pPr>
      <w:r w:rsidRPr="00C44C63">
        <w:t>Not applicable.</w:t>
      </w:r>
    </w:p>
    <w:p w:rsidR="00000000" w:rsidRPr="00C44C63" w:rsidP="00C44C63">
      <w:pPr>
        <w:pStyle w:val="AllowPageBreak"/>
      </w:pPr>
    </w:p>
    <w:p w:rsidR="00000000" w:rsidRPr="00C44C63" w:rsidP="00C44C63">
      <w:pPr>
        <w:pStyle w:val="Heading1"/>
      </w:pPr>
      <w:bookmarkStart w:id="2" w:name="O_69856"/>
      <w:bookmarkEnd w:id="2"/>
      <w:r w:rsidRPr="00C44C63">
        <w:t>Unit Descriptor</w:t>
      </w:r>
    </w:p>
    <w:tbl>
      <w:tblPr>
        <w:tblW w:w="0" w:type="auto"/>
        <w:tblLayout w:type="fixed"/>
        <w:tblCellMar>
          <w:left w:w="62" w:type="dxa"/>
          <w:right w:w="62" w:type="dxa"/>
        </w:tblCellMar>
        <w:tblLook w:val="0000"/>
      </w:tblPr>
      <w:tblGrid>
        <w:gridCol w:w="2668"/>
        <w:gridCol w:w="5854"/>
      </w:tblGrid>
      <w:tr w:rsidTr="0081123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Un</w:t>
            </w:r>
            <w:r w:rsidRPr="00C44C63">
              <w:rPr>
                <w:rStyle w:val="SpecialBold"/>
              </w:rPr>
              <w:t>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 xml:space="preserve">This unit describes the skills and knowledge required to research and analyse theatrical references for application to work in the entertainment industry. </w:t>
            </w:r>
          </w:p>
          <w:p w:rsidR="00000000" w:rsidRPr="00C44C63" w:rsidP="00C44C63">
            <w:pPr>
              <w:pStyle w:val="BodyText"/>
            </w:pPr>
          </w:p>
          <w:p w:rsidR="00000000" w:rsidRPr="00C44C63" w:rsidP="00C44C63">
            <w:pPr>
              <w:pStyle w:val="BodyText"/>
            </w:pPr>
            <w:r w:rsidRPr="00C44C63">
              <w:t>No licensing, legislative, regulatory or certification requirements apply to this uni</w:t>
            </w:r>
            <w:r w:rsidRPr="00C44C63">
              <w:t>t at the time of endorsement.</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3" w:name="O_69857"/>
      <w:bookmarkEnd w:id="3"/>
      <w:r w:rsidRPr="00C44C63">
        <w:t>Application of the Unit</w:t>
      </w:r>
    </w:p>
    <w:tbl>
      <w:tblPr>
        <w:tblW w:w="0" w:type="auto"/>
        <w:tblLayout w:type="fixed"/>
        <w:tblCellMar>
          <w:left w:w="62" w:type="dxa"/>
          <w:right w:w="62" w:type="dxa"/>
        </w:tblCellMar>
        <w:tblLook w:val="0000"/>
      </w:tblPr>
      <w:tblGrid>
        <w:gridCol w:w="2751"/>
        <w:gridCol w:w="5771"/>
      </w:tblGrid>
      <w:tr w:rsidTr="0081123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 xml:space="preserve">This unit is relevant to a wide range of industry professionals, and is particularly relevant to designers. The scope and nature of theatrical </w:t>
            </w:r>
            <w:r w:rsidRPr="00C44C63">
              <w:t>references will vary depending on the work context, and the unit is written for contextualisation to these different contexts.</w:t>
            </w:r>
          </w:p>
          <w:p w:rsidR="00000000" w:rsidRPr="00C44C63" w:rsidP="00C44C63">
            <w:pPr>
              <w:pStyle w:val="BodyText"/>
            </w:pPr>
          </w:p>
          <w:p w:rsidR="00000000" w:rsidRPr="00C44C63" w:rsidP="00C44C63">
            <w:pPr>
              <w:pStyle w:val="BodyText"/>
            </w:pPr>
            <w:r w:rsidRPr="00C44C63">
              <w:t>This unit has linkages to a wide range of other specialisation units within the Entertainment Training Package and other Trainin</w:t>
            </w:r>
            <w:r w:rsidRPr="00C44C63">
              <w:t>g Packages in the cultural industries. Combined assessment and/or training would be appropriate with those units.</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4" w:name="O_69858"/>
      <w:bookmarkEnd w:id="4"/>
      <w:r w:rsidRPr="00C44C63">
        <w:t>Licensing/Regulatory Information</w:t>
      </w:r>
    </w:p>
    <w:p w:rsidR="00000000" w:rsidRPr="00C44C63" w:rsidP="00C44C63">
      <w:pPr>
        <w:pStyle w:val="BodyText"/>
      </w:pPr>
      <w:r w:rsidRPr="00C44C63">
        <w:t>Not applicable.</w:t>
      </w:r>
    </w:p>
    <w:p w:rsidR="00000000" w:rsidRPr="00C44C63" w:rsidP="00C44C63">
      <w:pPr>
        <w:pStyle w:val="AllowPageBreak"/>
      </w:pPr>
    </w:p>
    <w:p w:rsidR="00000000" w:rsidRPr="00C44C63" w:rsidP="00C44C63">
      <w:pPr>
        <w:pStyle w:val="Heading1"/>
      </w:pPr>
      <w:bookmarkStart w:id="5" w:name="O_69860"/>
      <w:bookmarkEnd w:id="5"/>
      <w:r w:rsidRPr="00C44C63">
        <w:t>Pre-Requisites</w:t>
      </w:r>
    </w:p>
    <w:tbl>
      <w:tblPr>
        <w:tblW w:w="0" w:type="auto"/>
        <w:tblLayout w:type="fixed"/>
        <w:tblCellMar>
          <w:left w:w="62" w:type="dxa"/>
          <w:right w:w="62" w:type="dxa"/>
        </w:tblCellMar>
        <w:tblLook w:val="0000"/>
      </w:tblPr>
      <w:tblGrid>
        <w:gridCol w:w="2775"/>
        <w:gridCol w:w="1295"/>
        <w:gridCol w:w="4452"/>
      </w:tblGrid>
      <w:tr w:rsidTr="008112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p>
        </w:tc>
      </w:tr>
      <w:tr w:rsidTr="008112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p>
        </w:tc>
      </w:tr>
      <w:tr w:rsidTr="008112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6" w:name="O_69859"/>
      <w:bookmarkEnd w:id="6"/>
      <w:r w:rsidRPr="00C44C63">
        <w:t>Employability Skills Information</w:t>
      </w:r>
    </w:p>
    <w:tbl>
      <w:tblPr>
        <w:tblW w:w="0" w:type="auto"/>
        <w:tblLayout w:type="fixed"/>
        <w:tblCellMar>
          <w:left w:w="62" w:type="dxa"/>
          <w:right w:w="62" w:type="dxa"/>
        </w:tblCellMar>
        <w:tblLook w:val="0000"/>
      </w:tblPr>
      <w:tblGrid>
        <w:gridCol w:w="2802"/>
        <w:gridCol w:w="5720"/>
      </w:tblGrid>
      <w:tr w:rsidTr="008112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This unit contains employability skills.</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7" w:name="O_69861"/>
      <w:bookmarkEnd w:id="7"/>
      <w:r w:rsidRPr="00C44C63">
        <w:t>Elements and Performance Criteria Pre-Content</w:t>
      </w:r>
    </w:p>
    <w:tbl>
      <w:tblPr>
        <w:tblW w:w="0" w:type="auto"/>
        <w:tblLayout w:type="fixed"/>
        <w:tblCellMar>
          <w:left w:w="62" w:type="dxa"/>
          <w:right w:w="62" w:type="dxa"/>
        </w:tblCellMar>
        <w:tblLook w:val="0000"/>
      </w:tblPr>
      <w:tblGrid>
        <w:gridCol w:w="2565"/>
        <w:gridCol w:w="5957"/>
      </w:tblGrid>
      <w:tr w:rsidTr="0081123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Performance criteria describe the performance needed to demonstrate achievement of the element. Where bold italicised text is used, further information is detailed in the required skills and knowledge section and the range statement. Assessment of performa</w:t>
            </w:r>
            <w:r w:rsidRPr="00C44C63">
              <w:t>nce is to be consistent with the evidence guide.</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8" w:name="O_69862"/>
      <w:bookmarkEnd w:id="8"/>
      <w:r w:rsidRPr="00C44C63">
        <w:t>Elements and Performance Criteria</w:t>
      </w:r>
    </w:p>
    <w:tbl>
      <w:tblPr>
        <w:tblW w:w="0" w:type="auto"/>
        <w:tblLayout w:type="fixed"/>
        <w:tblCellMar>
          <w:left w:w="62" w:type="dxa"/>
          <w:right w:w="62" w:type="dxa"/>
        </w:tblCellMar>
        <w:tblLook w:val="0000"/>
      </w:tblPr>
      <w:tblGrid>
        <w:gridCol w:w="2565"/>
        <w:gridCol w:w="5957"/>
      </w:tblGrid>
      <w:tr w:rsidTr="00811230">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PERFORMANCE CRITERIA</w:t>
            </w:r>
          </w:p>
        </w:tc>
      </w:tr>
      <w:tr w:rsidTr="0081123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List"/>
              <w:rPr>
                <w:lang w:val="en-NZ"/>
              </w:rPr>
            </w:pPr>
            <w:r w:rsidRPr="00C44C63">
              <w:t>1.</w:t>
            </w:r>
            <w:r w:rsidRPr="00C44C63">
              <w:tab/>
              <w:t>Research theatrical references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2"/>
            </w:pPr>
            <w:r w:rsidRPr="00C44C63">
              <w:t>1.1.</w:t>
            </w:r>
            <w:r w:rsidRPr="00C44C63">
              <w:tab/>
              <w:t xml:space="preserve">Identify </w:t>
            </w:r>
            <w:r w:rsidRPr="00C44C63">
              <w:rPr>
                <w:rStyle w:val="BoldandItalics"/>
              </w:rPr>
              <w:t>theatrical references</w:t>
            </w:r>
            <w:r w:rsidRPr="00C44C63">
              <w:t xml:space="preserve"> which are appropriate to area of work</w:t>
            </w:r>
          </w:p>
          <w:p w:rsidR="00000000" w:rsidRPr="00C44C63" w:rsidP="00C44C63">
            <w:pPr>
              <w:pStyle w:val="List2"/>
            </w:pPr>
            <w:r w:rsidRPr="00C44C63">
              <w:t>1.2.</w:t>
            </w:r>
            <w:r w:rsidRPr="00C44C63">
              <w:tab/>
            </w:r>
            <w:r w:rsidRPr="00C44C63">
              <w:t xml:space="preserve">Use formal and informal research techniques appropriately to access </w:t>
            </w:r>
            <w:r w:rsidRPr="00C44C63">
              <w:rPr>
                <w:rStyle w:val="BoldandItalics"/>
              </w:rPr>
              <w:t>information</w:t>
            </w:r>
          </w:p>
          <w:p w:rsidR="00000000" w:rsidP="00C44C63">
            <w:pPr>
              <w:pStyle w:val="List2"/>
              <w:rPr>
                <w:lang w:val="en-NZ"/>
              </w:rPr>
            </w:pPr>
            <w:r w:rsidRPr="00C44C63">
              <w:t>1.3.</w:t>
            </w:r>
            <w:r w:rsidRPr="00C44C63">
              <w:tab/>
            </w:r>
            <w:r w:rsidRPr="00C44C63">
              <w:rPr>
                <w:rStyle w:val="BoldandItalics"/>
              </w:rPr>
              <w:t>Organise research materials</w:t>
            </w:r>
            <w:r w:rsidRPr="00C44C63">
              <w:t xml:space="preserve"> and findings for current and future use by self and others in a manner which facilitates easy access and cross-referencing</w:t>
            </w:r>
          </w:p>
        </w:tc>
      </w:tr>
      <w:tr w:rsidTr="0081123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List"/>
              <w:rPr>
                <w:lang w:val="en-NZ"/>
              </w:rPr>
            </w:pPr>
            <w:r w:rsidRPr="00C44C63">
              <w:t>2.</w:t>
            </w:r>
            <w:r w:rsidRPr="00C44C63">
              <w:tab/>
              <w:t>Link research to</w:t>
            </w:r>
            <w:r w:rsidRPr="00C44C63">
              <w:t xml:space="preserve"> industry practice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2"/>
            </w:pPr>
            <w:r w:rsidRPr="00C44C63">
              <w:t>2.1.</w:t>
            </w:r>
            <w:r w:rsidRPr="00C44C63">
              <w:tab/>
            </w:r>
            <w:r w:rsidRPr="00C44C63">
              <w:rPr>
                <w:rStyle w:val="BoldandItalics"/>
              </w:rPr>
              <w:t>Critically evaluate</w:t>
            </w:r>
            <w:r w:rsidRPr="00C44C63">
              <w:t xml:space="preserve"> information in the context of current industry practice and philosophy of work</w:t>
            </w:r>
          </w:p>
          <w:p w:rsidR="00000000" w:rsidRPr="00C44C63" w:rsidP="00C44C63">
            <w:pPr>
              <w:pStyle w:val="List2"/>
            </w:pPr>
            <w:r w:rsidRPr="00C44C63">
              <w:t>2.2.</w:t>
            </w:r>
            <w:r w:rsidRPr="00C44C63">
              <w:tab/>
              <w:t>Assess ways in which theatrical references may be used, adapted or challenged within work practices</w:t>
            </w:r>
          </w:p>
          <w:p w:rsidR="00000000" w:rsidRPr="00C44C63" w:rsidP="00C44C63">
            <w:pPr>
              <w:pStyle w:val="List2"/>
            </w:pPr>
            <w:r w:rsidRPr="00C44C63">
              <w:t>2.3.</w:t>
            </w:r>
            <w:r w:rsidRPr="00C44C63">
              <w:tab/>
              <w:t>Develop positions in re</w:t>
            </w:r>
            <w:r w:rsidRPr="00C44C63">
              <w:t>lation to theatrical references to inform work practice</w:t>
            </w:r>
          </w:p>
          <w:p w:rsidR="00000000" w:rsidP="00C44C63">
            <w:pPr>
              <w:pStyle w:val="List2"/>
              <w:rPr>
                <w:lang w:val="en-NZ"/>
              </w:rPr>
            </w:pPr>
            <w:r w:rsidRPr="00C44C63">
              <w:t>2.4.</w:t>
            </w:r>
            <w:r w:rsidRPr="00C44C63">
              <w:tab/>
              <w:t>Discuss ideas and research findings with colleagues and incorporate the views of others into work practice as appropriate</w:t>
            </w:r>
          </w:p>
        </w:tc>
      </w:tr>
      <w:tr w:rsidTr="0081123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List"/>
              <w:rPr>
                <w:lang w:val="en-NZ"/>
              </w:rPr>
            </w:pPr>
            <w:r w:rsidRPr="00C44C63">
              <w:t>3.</w:t>
            </w:r>
            <w:r w:rsidRPr="00C44C63">
              <w:tab/>
              <w:t>Update and maintain knowledge of theatrical trends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2"/>
            </w:pPr>
            <w:r w:rsidRPr="00C44C63">
              <w:t>3.1.</w:t>
            </w:r>
            <w:r w:rsidRPr="00C44C63">
              <w:tab/>
              <w:t xml:space="preserve">Identify and </w:t>
            </w:r>
            <w:r w:rsidRPr="00C44C63">
              <w:t xml:space="preserve">use relevant </w:t>
            </w:r>
            <w:r w:rsidRPr="00C44C63">
              <w:rPr>
                <w:rStyle w:val="BoldandItalics"/>
              </w:rPr>
              <w:t>opportunities to update and expand knowledge</w:t>
            </w:r>
            <w:r w:rsidRPr="00C44C63">
              <w:t xml:space="preserve"> of theatrical trends and developments</w:t>
            </w:r>
          </w:p>
          <w:p w:rsidR="00000000" w:rsidRPr="00C44C63" w:rsidP="00C44C63">
            <w:pPr>
              <w:pStyle w:val="List2"/>
            </w:pPr>
            <w:r w:rsidRPr="00C44C63">
              <w:t>3.2.</w:t>
            </w:r>
            <w:r w:rsidRPr="00C44C63">
              <w:tab/>
              <w:t>Incorporate and integrate knowledge in work activities</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9" w:name="O_69863"/>
      <w:bookmarkEnd w:id="9"/>
      <w:r w:rsidRPr="00C44C63">
        <w:t>Required Skills and Knowledge</w:t>
      </w:r>
    </w:p>
    <w:tbl>
      <w:tblPr>
        <w:tblW w:w="0" w:type="auto"/>
        <w:tblLayout w:type="fixed"/>
        <w:tblCellMar>
          <w:left w:w="62" w:type="dxa"/>
          <w:right w:w="62" w:type="dxa"/>
        </w:tblCellMar>
        <w:tblLook w:val="0000"/>
      </w:tblPr>
      <w:tblGrid>
        <w:gridCol w:w="8522"/>
      </w:tblGrid>
      <w:tr w:rsidTr="008112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REQUIRED SKILLS AND KNOWLEDGE</w:t>
            </w:r>
          </w:p>
        </w:tc>
      </w:tr>
      <w:tr w:rsidTr="008112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t>This section describes the skills and knowledge required for this unit.</w:t>
            </w:r>
          </w:p>
        </w:tc>
      </w:tr>
      <w:tr w:rsidTr="0081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Required skills</w:t>
            </w:r>
          </w:p>
        </w:tc>
      </w:tr>
      <w:tr w:rsidTr="0081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research skills sufficient to analyse and interpret complex and varied references for application to work practices</w:t>
            </w:r>
          </w:p>
          <w:p w:rsidR="00000000" w:rsidP="00C44C63">
            <w:pPr>
              <w:pStyle w:val="ListBullet"/>
              <w:rPr>
                <w:lang w:val="en-NZ"/>
              </w:rPr>
            </w:pPr>
            <w:r w:rsidRPr="00C44C63">
              <w:t>literacy skills sufficient to interpret theatrical references of a complex and varied nature</w:t>
            </w:r>
          </w:p>
        </w:tc>
      </w:tr>
      <w:tr w:rsidTr="0081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Required knowledge</w:t>
            </w:r>
          </w:p>
        </w:tc>
      </w:tr>
      <w:tr w:rsidTr="0081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sources of theatrical references in relation to particular areas of work</w:t>
            </w:r>
          </w:p>
          <w:p w:rsidR="00000000" w:rsidRPr="00C44C63" w:rsidP="00C44C63">
            <w:pPr>
              <w:pStyle w:val="ListBullet"/>
            </w:pPr>
            <w:r w:rsidRPr="00C44C63">
              <w:t>different types of references that apply to professionals involved in</w:t>
            </w:r>
            <w:r w:rsidRPr="00C44C63">
              <w:t xml:space="preserve"> cultural productions</w:t>
            </w:r>
          </w:p>
          <w:p w:rsidR="00000000" w:rsidRPr="00C44C63" w:rsidP="00C44C63">
            <w:pPr>
              <w:pStyle w:val="ListBullet"/>
            </w:pPr>
            <w:r w:rsidRPr="00C44C63">
              <w:t>current production trends within the relevant industry context</w:t>
            </w:r>
          </w:p>
          <w:p w:rsidR="00000000" w:rsidRPr="00C44C63" w:rsidP="00C44C63">
            <w:pPr>
              <w:pStyle w:val="ListBullet"/>
            </w:pPr>
            <w:r w:rsidRPr="00C44C63">
              <w:t>evolution of theatrical and other productions as relevant to the industry context, e.g. film, performance, set design</w:t>
            </w:r>
          </w:p>
          <w:p w:rsidR="00000000" w:rsidRPr="00C44C63" w:rsidP="00C44C63">
            <w:pPr>
              <w:pStyle w:val="ListBullet"/>
            </w:pPr>
            <w:r w:rsidRPr="00C44C63">
              <w:t>networks and opportunities for maintaining current in</w:t>
            </w:r>
            <w:r w:rsidRPr="00C44C63">
              <w:t>dustry knowledge</w:t>
            </w:r>
          </w:p>
          <w:p w:rsidR="00000000" w:rsidRPr="00C44C63" w:rsidP="00C44C63">
            <w:pPr>
              <w:pStyle w:val="ListBullet"/>
            </w:pPr>
            <w:r w:rsidRPr="00C44C63">
              <w:t>copyright, moral rights and intellectual property issues and legislation and their impact on industry practice</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10" w:name="O_69864"/>
      <w:bookmarkEnd w:id="10"/>
      <w:r w:rsidRPr="00C44C63">
        <w:t>Evidence Guide</w:t>
      </w:r>
    </w:p>
    <w:tbl>
      <w:tblPr>
        <w:tblW w:w="9570" w:type="dxa"/>
        <w:tblLayout w:type="fixed"/>
        <w:tblCellMar>
          <w:left w:w="62" w:type="dxa"/>
          <w:right w:w="62" w:type="dxa"/>
        </w:tblCellMar>
        <w:tblLook w:val="0000"/>
      </w:tblPr>
      <w:tblGrid>
        <w:gridCol w:w="3908"/>
        <w:gridCol w:w="5662"/>
      </w:tblGrid>
      <w:tr w:rsidTr="008112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EVIDENCE GUIDE</w:t>
            </w:r>
          </w:p>
        </w:tc>
      </w:tr>
      <w:tr w:rsidTr="008112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t>The Evidence Guide provides advice on assessment and must be read in conjunction with the performance criteria, required skills and knowledge, range statement and the Assessment Guidelines for the Training Package.</w:t>
            </w:r>
          </w:p>
        </w:tc>
      </w:tr>
      <w:tr w:rsidTr="0081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p>
        </w:tc>
      </w:tr>
      <w:tr w:rsidTr="0081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The following evidence is critical to the judgement of competence in this unit:</w:t>
            </w:r>
          </w:p>
          <w:p w:rsidR="00000000" w:rsidRPr="00C44C63" w:rsidP="00C44C63">
            <w:pPr>
              <w:pStyle w:val="ListBullet"/>
            </w:pPr>
            <w:r w:rsidRPr="00C44C63">
              <w:t>application of research and analytical skills to inform specific work practice</w:t>
            </w:r>
          </w:p>
          <w:p w:rsidR="00000000" w:rsidP="00C44C63">
            <w:pPr>
              <w:pStyle w:val="ListBullet"/>
              <w:rPr>
                <w:lang w:val="en-NZ"/>
              </w:rPr>
            </w:pPr>
            <w:r w:rsidRPr="00C44C63">
              <w:t>soun</w:t>
            </w:r>
            <w:r w:rsidRPr="00C44C63">
              <w:t>d knowledge of theatrical references and their application to the relevant area of work.</w:t>
            </w:r>
          </w:p>
        </w:tc>
      </w:tr>
      <w:tr w:rsidTr="0081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The assessment context must provide for:</w:t>
            </w:r>
          </w:p>
          <w:p w:rsidR="00000000" w:rsidP="00C44C63">
            <w:pPr>
              <w:pStyle w:val="ListBullet"/>
              <w:rPr>
                <w:lang w:val="en-NZ"/>
              </w:rPr>
            </w:pPr>
            <w:r w:rsidRPr="00C44C63">
              <w:t>project or work activities that allow the candidate to apply research and an</w:t>
            </w:r>
            <w:r w:rsidRPr="00C44C63">
              <w:t>alytical skills to a specific industry context.</w:t>
            </w:r>
          </w:p>
        </w:tc>
      </w:tr>
      <w:tr w:rsidTr="0081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Assessment may incorporate a range of methods to assess performance and the application of essential underpinning knowledge, and might include:</w:t>
            </w:r>
          </w:p>
          <w:p w:rsidR="00000000" w:rsidRPr="00C44C63" w:rsidP="00C44C63">
            <w:pPr>
              <w:pStyle w:val="ListBullet"/>
            </w:pPr>
            <w:r w:rsidRPr="00C44C63">
              <w:t xml:space="preserve">case studies to assess ability to analyse </w:t>
            </w:r>
            <w:r w:rsidRPr="00C44C63">
              <w:t>references for specific purposes</w:t>
            </w:r>
          </w:p>
          <w:p w:rsidR="00000000" w:rsidRPr="00C44C63" w:rsidP="00C44C63">
            <w:pPr>
              <w:pStyle w:val="ListBullet"/>
            </w:pPr>
            <w:r w:rsidRPr="00C44C63">
              <w:t>review of portfolios of evidence and third party workplace reports of on-the-job performance by the candidate.</w:t>
            </w:r>
          </w:p>
          <w:p w:rsidR="00000000" w:rsidRPr="00C44C63" w:rsidP="00C44C63">
            <w:pPr>
              <w:pStyle w:val="BodyText"/>
            </w:pPr>
          </w:p>
          <w:p w:rsidR="00000000" w:rsidP="00C44C63">
            <w:pPr>
              <w:pStyle w:val="BodyText"/>
              <w:rPr>
                <w:lang w:val="en-NZ"/>
              </w:rPr>
            </w:pPr>
            <w:r w:rsidRPr="00C44C63">
              <w:t>Assessment methods should closely reflect workplace demands and the needs of particular groups (e.g. people wit</w:t>
            </w:r>
            <w:r w:rsidRPr="00C44C63">
              <w:t>h disabilities, and people who may have literacy or numeracy difficulties such as speakers of languages other than English, remote communities and those with interrupted schooling).</w:t>
            </w:r>
          </w:p>
        </w:tc>
      </w:tr>
      <w:tr w:rsidTr="0081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Assessment of this unit requires access to:</w:t>
            </w:r>
          </w:p>
          <w:p w:rsidR="00000000" w:rsidRPr="00C44C63" w:rsidP="00C44C63">
            <w:pPr>
              <w:pStyle w:val="ListBullet"/>
            </w:pPr>
            <w:r w:rsidRPr="00C44C63">
              <w:t>theatrical references.</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11" w:name="O_69865"/>
      <w:bookmarkEnd w:id="11"/>
      <w:r w:rsidRPr="00C44C63">
        <w:t>Range Statement</w:t>
      </w:r>
    </w:p>
    <w:tbl>
      <w:tblPr>
        <w:tblW w:w="0" w:type="auto"/>
        <w:tblLayout w:type="fixed"/>
        <w:tblCellMar>
          <w:left w:w="62" w:type="dxa"/>
          <w:right w:w="62" w:type="dxa"/>
        </w:tblCellMar>
        <w:tblLook w:val="0000"/>
      </w:tblPr>
      <w:tblGrid>
        <w:gridCol w:w="3462"/>
        <w:gridCol w:w="5060"/>
      </w:tblGrid>
      <w:tr w:rsidTr="008112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RANGE STATEMENT</w:t>
            </w:r>
          </w:p>
        </w:tc>
      </w:tr>
      <w:tr w:rsidTr="008112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t>The range statement relates to the unit of competency as a whole. It allows for different work environments and situations that may affect</w:t>
            </w:r>
            <w:r w:rsidRPr="00C44C63">
              <w:t xml:space="preserve"> performance. Bold italicised wording, if used in the performance criteria, is detailed below. Essential operating conditions that may be present with training and assessment (depending on the work situation, needs of the candidate, accessibility of the it</w:t>
            </w:r>
            <w:r w:rsidRPr="00C44C63">
              <w:t>em, and local industry and regional contexts) may also be included.</w:t>
            </w:r>
          </w:p>
        </w:tc>
      </w:tr>
      <w:tr w:rsidTr="0081123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BoldandItalics"/>
              </w:rPr>
              <w:t>Theatrical references</w:t>
            </w:r>
            <w:r w:rsidRPr="00C44C63">
              <w:t xml:space="preserve"> may apply to multiple aspects of production, including:</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costume design</w:t>
            </w:r>
          </w:p>
          <w:p w:rsidR="00000000" w:rsidRPr="00C44C63" w:rsidP="00C44C63">
            <w:pPr>
              <w:pStyle w:val="ListBullet"/>
            </w:pPr>
            <w:r w:rsidRPr="00C44C63">
              <w:t>lighting design</w:t>
            </w:r>
          </w:p>
          <w:p w:rsidR="00000000" w:rsidRPr="00C44C63" w:rsidP="00C44C63">
            <w:pPr>
              <w:pStyle w:val="ListBullet"/>
            </w:pPr>
            <w:r w:rsidRPr="00C44C63">
              <w:t>production technology</w:t>
            </w:r>
          </w:p>
          <w:p w:rsidR="00000000" w:rsidRPr="00C44C63" w:rsidP="00C44C63">
            <w:pPr>
              <w:pStyle w:val="ListBullet"/>
            </w:pPr>
            <w:r w:rsidRPr="00C44C63">
              <w:t>props design</w:t>
            </w:r>
          </w:p>
          <w:p w:rsidR="00000000" w:rsidP="00C44C63">
            <w:pPr>
              <w:pStyle w:val="ListBullet"/>
              <w:rPr>
                <w:lang w:val="en-NZ"/>
              </w:rPr>
            </w:pPr>
            <w:r w:rsidRPr="00C44C63">
              <w:t>set design</w:t>
            </w:r>
          </w:p>
        </w:tc>
      </w:tr>
      <w:tr w:rsidTr="0081123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BoldandItalics"/>
              </w:rPr>
              <w:t>Theatrical references</w:t>
            </w:r>
            <w:r w:rsidRPr="00C44C6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films</w:t>
            </w:r>
          </w:p>
          <w:p w:rsidR="00000000" w:rsidRPr="00C44C63" w:rsidP="00C44C63">
            <w:pPr>
              <w:pStyle w:val="ListBullet"/>
            </w:pPr>
            <w:r w:rsidRPr="00C44C63">
              <w:t xml:space="preserve">historical texts </w:t>
            </w:r>
          </w:p>
          <w:p w:rsidR="00000000" w:rsidRPr="00C44C63" w:rsidP="00C44C63">
            <w:pPr>
              <w:pStyle w:val="ListBullet"/>
            </w:pPr>
            <w:r w:rsidRPr="00C44C63">
              <w:t xml:space="preserve">images/objects </w:t>
            </w:r>
          </w:p>
          <w:p w:rsidR="00000000" w:rsidRPr="00C44C63" w:rsidP="00C44C63">
            <w:pPr>
              <w:pStyle w:val="ListBullet"/>
            </w:pPr>
            <w:r w:rsidRPr="00C44C63">
              <w:t xml:space="preserve">Internet </w:t>
            </w:r>
          </w:p>
          <w:p w:rsidR="00000000" w:rsidRPr="00C44C63" w:rsidP="00C44C63">
            <w:pPr>
              <w:pStyle w:val="ListBullet"/>
            </w:pPr>
            <w:r w:rsidRPr="00C44C63">
              <w:t>journal articles</w:t>
            </w:r>
          </w:p>
          <w:p w:rsidR="00000000" w:rsidRPr="00C44C63" w:rsidP="00C44C63">
            <w:pPr>
              <w:pStyle w:val="ListBullet"/>
            </w:pPr>
            <w:r w:rsidRPr="00C44C63">
              <w:t>oral histories</w:t>
            </w:r>
          </w:p>
          <w:p w:rsidR="00000000" w:rsidP="00C44C63">
            <w:pPr>
              <w:pStyle w:val="ListBullet"/>
              <w:rPr>
                <w:lang w:val="en-NZ"/>
              </w:rPr>
            </w:pPr>
            <w:r w:rsidRPr="00C44C63">
              <w:t>other productions</w:t>
            </w:r>
          </w:p>
        </w:tc>
      </w:tr>
      <w:tr w:rsidTr="0081123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BoldandItalics"/>
              </w:rPr>
              <w:t>Information</w:t>
            </w:r>
            <w:r w:rsidRPr="00C44C63">
              <w:t xml:space="preserve"> may relate to a vast range of topics which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architectural styles</w:t>
            </w:r>
          </w:p>
          <w:p w:rsidR="00000000" w:rsidRPr="00C44C63" w:rsidP="00C44C63">
            <w:pPr>
              <w:pStyle w:val="ListBullet"/>
            </w:pPr>
            <w:r w:rsidRPr="00C44C63">
              <w:t>colour</w:t>
            </w:r>
          </w:p>
          <w:p w:rsidR="00000000" w:rsidRPr="00C44C63" w:rsidP="00C44C63">
            <w:pPr>
              <w:pStyle w:val="ListBullet"/>
            </w:pPr>
            <w:r w:rsidRPr="00C44C63">
              <w:t>history of theatre</w:t>
            </w:r>
          </w:p>
          <w:p w:rsidR="00000000" w:rsidRPr="00C44C63" w:rsidP="00C44C63">
            <w:pPr>
              <w:pStyle w:val="ListBullet"/>
            </w:pPr>
            <w:r w:rsidRPr="00C44C63">
              <w:t>light</w:t>
            </w:r>
          </w:p>
          <w:p w:rsidR="00000000" w:rsidRPr="00C44C63" w:rsidP="00C44C63">
            <w:pPr>
              <w:pStyle w:val="ListBullet"/>
            </w:pPr>
            <w:r w:rsidRPr="00C44C63">
              <w:t>philosophy of theatre</w:t>
            </w:r>
          </w:p>
          <w:p w:rsidR="00000000" w:rsidRPr="00C44C63" w:rsidP="00C44C63">
            <w:pPr>
              <w:pStyle w:val="ListBullet"/>
            </w:pPr>
            <w:r w:rsidRPr="00C44C63">
              <w:t>production genres</w:t>
            </w:r>
          </w:p>
          <w:p w:rsidR="00000000" w:rsidRPr="00C44C63" w:rsidP="00C44C63">
            <w:pPr>
              <w:pStyle w:val="ListBullet"/>
            </w:pPr>
            <w:r w:rsidRPr="00C44C63">
              <w:t>social history</w:t>
            </w:r>
          </w:p>
          <w:p w:rsidR="00000000" w:rsidP="00C44C63">
            <w:pPr>
              <w:pStyle w:val="ListBullet"/>
              <w:rPr>
                <w:lang w:val="en-NZ"/>
              </w:rPr>
            </w:pPr>
            <w:r w:rsidRPr="00C44C63">
              <w:t>texture</w:t>
            </w:r>
          </w:p>
        </w:tc>
      </w:tr>
      <w:tr w:rsidTr="0081123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BoldandItalics"/>
              </w:rPr>
              <w:t>Organising research materials</w:t>
            </w:r>
            <w:r w:rsidRPr="00C44C63">
              <w:t xml:space="preserve"> may involve the use of:</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charts/diagrams</w:t>
            </w:r>
          </w:p>
          <w:p w:rsidR="00000000" w:rsidRPr="00C44C63" w:rsidP="00C44C63">
            <w:pPr>
              <w:pStyle w:val="ListBullet"/>
            </w:pPr>
            <w:r w:rsidRPr="00C44C63">
              <w:t>databases</w:t>
            </w:r>
          </w:p>
          <w:p w:rsidR="00000000" w:rsidRPr="00C44C63" w:rsidP="00C44C63">
            <w:pPr>
              <w:pStyle w:val="ListBullet"/>
            </w:pPr>
            <w:r w:rsidRPr="00C44C63">
              <w:t>files</w:t>
            </w:r>
          </w:p>
          <w:p w:rsidR="00000000" w:rsidRPr="00C44C63" w:rsidP="00C44C63">
            <w:pPr>
              <w:pStyle w:val="ListBullet"/>
            </w:pPr>
            <w:r w:rsidRPr="00C44C63">
              <w:t>indices</w:t>
            </w:r>
          </w:p>
          <w:p w:rsidR="00000000" w:rsidP="00C44C63">
            <w:pPr>
              <w:pStyle w:val="ListBullet"/>
              <w:rPr>
                <w:lang w:val="en-NZ"/>
              </w:rPr>
            </w:pPr>
            <w:r w:rsidRPr="00C44C63">
              <w:t>plans</w:t>
            </w:r>
          </w:p>
        </w:tc>
      </w:tr>
      <w:tr w:rsidTr="0081123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BoldandItalics"/>
              </w:rPr>
              <w:t>Critical evaluation</w:t>
            </w:r>
            <w:r w:rsidRPr="00C44C6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comparing</w:t>
            </w:r>
          </w:p>
          <w:p w:rsidR="00000000" w:rsidRPr="00C44C63" w:rsidP="00C44C63">
            <w:pPr>
              <w:pStyle w:val="ListBullet"/>
            </w:pPr>
            <w:r w:rsidRPr="00C44C63">
              <w:t>considering merit</w:t>
            </w:r>
          </w:p>
          <w:p w:rsidR="00000000" w:rsidRPr="00C44C63" w:rsidP="00C44C63">
            <w:pPr>
              <w:pStyle w:val="ListBullet"/>
            </w:pPr>
            <w:r w:rsidRPr="00C44C63">
              <w:t>contrasting</w:t>
            </w:r>
          </w:p>
          <w:p w:rsidR="00000000" w:rsidRPr="00C44C63" w:rsidP="00C44C63">
            <w:pPr>
              <w:pStyle w:val="ListBullet"/>
            </w:pPr>
            <w:r w:rsidRPr="00C44C63">
              <w:t>critiquing/challenging</w:t>
            </w:r>
          </w:p>
          <w:p w:rsidR="00000000" w:rsidRPr="00C44C63" w:rsidP="00C44C63">
            <w:pPr>
              <w:pStyle w:val="ListBullet"/>
            </w:pPr>
            <w:r w:rsidRPr="00C44C63">
              <w:t>discussion and debate</w:t>
            </w:r>
          </w:p>
          <w:p w:rsidR="00000000" w:rsidP="00C44C63">
            <w:pPr>
              <w:pStyle w:val="ListBullet"/>
              <w:rPr>
                <w:lang w:val="en-NZ"/>
              </w:rPr>
            </w:pPr>
            <w:r w:rsidRPr="00C44C63">
              <w:t>reflecting</w:t>
            </w:r>
          </w:p>
        </w:tc>
      </w:tr>
      <w:tr w:rsidTr="0081123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BoldandItalics"/>
              </w:rPr>
              <w:t>Opportunities to update and expand knowledge</w:t>
            </w:r>
            <w:r w:rsidRPr="00C44C6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ListBullet"/>
            </w:pPr>
            <w:r w:rsidRPr="00C44C63">
              <w:t>formal training</w:t>
            </w:r>
          </w:p>
          <w:p w:rsidR="00000000" w:rsidRPr="00C44C63" w:rsidP="00C44C63">
            <w:pPr>
              <w:pStyle w:val="ListBullet"/>
            </w:pPr>
            <w:r w:rsidRPr="00C44C63">
              <w:t>further research</w:t>
            </w:r>
          </w:p>
          <w:p w:rsidR="00000000" w:rsidRPr="00C44C63" w:rsidP="00C44C63">
            <w:pPr>
              <w:pStyle w:val="ListBullet"/>
            </w:pPr>
            <w:r w:rsidRPr="00C44C63">
              <w:t>industry networks</w:t>
            </w:r>
          </w:p>
          <w:p w:rsidR="00000000" w:rsidRPr="00C44C63" w:rsidP="00C44C63">
            <w:pPr>
              <w:pStyle w:val="ListBullet"/>
            </w:pPr>
            <w:r w:rsidRPr="00C44C63">
              <w:t>professional associations</w:t>
            </w:r>
          </w:p>
          <w:p w:rsidR="00000000" w:rsidRPr="00C44C63" w:rsidP="00C44C63">
            <w:pPr>
              <w:pStyle w:val="ListBullet"/>
            </w:pPr>
            <w:r w:rsidRPr="00C44C63">
              <w:t>seminars</w:t>
            </w:r>
          </w:p>
        </w:tc>
      </w:tr>
    </w:tbl>
    <w:p w:rsidR="00811230" w:rsidP="00C44C63">
      <w:pPr>
        <w:pStyle w:val="BodyText"/>
      </w:pPr>
    </w:p>
    <w:p w:rsidR="00811230" w:rsidP="00C44C63">
      <w:pPr>
        <w:pStyle w:val="BodyText"/>
      </w:pPr>
    </w:p>
    <w:p w:rsidR="00000000" w:rsidRPr="00C44C63" w:rsidP="00C44C63">
      <w:pPr>
        <w:pStyle w:val="Heading1"/>
      </w:pPr>
      <w:bookmarkStart w:id="12" w:name="O_69866"/>
      <w:bookmarkEnd w:id="12"/>
      <w:r w:rsidRPr="00C44C63">
        <w:t>Unit Sector(s)</w:t>
      </w:r>
    </w:p>
    <w:tbl>
      <w:tblPr>
        <w:tblW w:w="0" w:type="auto"/>
        <w:tblLayout w:type="fixed"/>
        <w:tblCellMar>
          <w:left w:w="62" w:type="dxa"/>
          <w:right w:w="62" w:type="dxa"/>
        </w:tblCellMar>
        <w:tblLook w:val="0000"/>
      </w:tblPr>
      <w:tblGrid>
        <w:gridCol w:w="2654"/>
        <w:gridCol w:w="5868"/>
      </w:tblGrid>
      <w:tr w:rsidTr="0081123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13" w:name="O_154935"/>
      <w:bookmarkEnd w:id="13"/>
      <w:r w:rsidRPr="00C44C63">
        <w:t>Competency field</w:t>
      </w:r>
    </w:p>
    <w:tbl>
      <w:tblPr>
        <w:tblW w:w="0" w:type="auto"/>
        <w:tblLayout w:type="fixed"/>
        <w:tblCellMar>
          <w:left w:w="62" w:type="dxa"/>
          <w:right w:w="62" w:type="dxa"/>
        </w:tblCellMar>
        <w:tblLook w:val="0000"/>
      </w:tblPr>
      <w:tblGrid>
        <w:gridCol w:w="2778"/>
        <w:gridCol w:w="5744"/>
      </w:tblGrid>
      <w:tr w:rsidTr="0081123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r w:rsidRPr="00C44C63">
              <w:t>Industry capability - industry context</w:t>
            </w:r>
          </w:p>
        </w:tc>
      </w:tr>
    </w:tbl>
    <w:p w:rsidR="00000000" w:rsidRPr="00C44C63" w:rsidP="00C44C63">
      <w:pPr>
        <w:pStyle w:val="BodyText"/>
      </w:pPr>
    </w:p>
    <w:p w:rsidR="00000000" w:rsidRPr="00C44C63" w:rsidP="00C44C63">
      <w:pPr>
        <w:pStyle w:val="AllowPageBreak"/>
      </w:pPr>
    </w:p>
    <w:p w:rsidR="00000000" w:rsidRPr="00C44C63" w:rsidP="00C44C63">
      <w:pPr>
        <w:pStyle w:val="Heading1"/>
      </w:pPr>
      <w:bookmarkStart w:id="14" w:name="O_154934"/>
      <w:bookmarkEnd w:id="14"/>
      <w:r w:rsidRPr="00C44C63">
        <w:t>Co-requisite units</w:t>
      </w:r>
    </w:p>
    <w:tbl>
      <w:tblPr>
        <w:tblW w:w="0" w:type="auto"/>
        <w:tblLayout w:type="fixed"/>
        <w:tblCellMar>
          <w:left w:w="62" w:type="dxa"/>
          <w:right w:w="62" w:type="dxa"/>
        </w:tblCellMar>
        <w:tblLook w:val="0000"/>
      </w:tblPr>
      <w:tblGrid>
        <w:gridCol w:w="2641"/>
        <w:gridCol w:w="1322"/>
        <w:gridCol w:w="4559"/>
      </w:tblGrid>
      <w:tr w:rsidTr="008112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r w:rsidRPr="00C44C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p>
        </w:tc>
      </w:tr>
      <w:tr w:rsidTr="008112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C63">
            <w:pPr>
              <w:pStyle w:val="BodyText"/>
              <w:rPr>
                <w:lang w:val="en-NZ"/>
              </w:rPr>
            </w:pPr>
          </w:p>
        </w:tc>
      </w:tr>
      <w:tr w:rsidTr="008112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C63" w:rsidP="00C44C63">
            <w:pPr>
              <w:pStyle w:val="BodyText"/>
            </w:pPr>
          </w:p>
        </w:tc>
      </w:tr>
    </w:tbl>
    <w:p w:rsidR="00000000" w:rsidRPr="00C44C63" w:rsidP="00C44C63">
      <w:pPr>
        <w:pStyle w:val="BodyText"/>
      </w:pPr>
    </w:p>
    <w:p w:rsidR="00000000" w:rsidRPr="00C44C63" w:rsidP="00C44C63"/>
    <w:sectPr w:rsidSect="00C44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230" w:rsidP="008112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30" w:rsidP="00C44C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1230" w:rsidP="00C44C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1230" w:rsidP="00C44C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3" w:rsidRPr="00811230" w:rsidP="008112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30" w:rsidRPr="002D2AF8" w:rsidP="00C44C63">
    <w:pPr>
      <w:pStyle w:val="Header"/>
      <w:framePr w:wrap="around"/>
    </w:pPr>
    <w:r>
      <w:fldChar w:fldCharType="begin"/>
    </w:r>
    <w:r>
      <w:instrText xml:space="preserve"> TITLE   \* MERGEFORMAT </w:instrText>
    </w:r>
    <w:r>
      <w:fldChar w:fldCharType="separate"/>
    </w:r>
    <w:r>
      <w:t>CUEIND02B Research and evaluate theatrical references to inform industry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11230" w:rsidP="00C44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BC05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C63"/>
    <w:pPr>
      <w:spacing w:before="360" w:after="60"/>
      <w:outlineLvl w:val="0"/>
    </w:pPr>
    <w:rPr>
      <w:sz w:val="32"/>
    </w:rPr>
  </w:style>
  <w:style w:type="paragraph" w:styleId="Heading2">
    <w:name w:val="heading 2"/>
    <w:basedOn w:val="HeadingBase"/>
    <w:next w:val="BodyText"/>
    <w:link w:val="Heading2Char"/>
    <w:qFormat/>
    <w:rsid w:val="00C44C63"/>
    <w:pPr>
      <w:keepLines/>
      <w:spacing w:before="240" w:after="120"/>
      <w:outlineLvl w:val="1"/>
    </w:pPr>
    <w:rPr>
      <w:sz w:val="28"/>
      <w:szCs w:val="40"/>
    </w:rPr>
  </w:style>
  <w:style w:type="paragraph" w:styleId="Heading3">
    <w:name w:val="heading 3"/>
    <w:basedOn w:val="HeadingBase"/>
    <w:next w:val="BodyText"/>
    <w:link w:val="Heading3Char"/>
    <w:qFormat/>
    <w:rsid w:val="00C44C63"/>
    <w:pPr>
      <w:spacing w:before="180" w:after="120"/>
      <w:outlineLvl w:val="2"/>
    </w:pPr>
    <w:rPr>
      <w:spacing w:val="-10"/>
      <w:kern w:val="32"/>
    </w:rPr>
  </w:style>
  <w:style w:type="paragraph" w:styleId="Heading4">
    <w:name w:val="heading 4"/>
    <w:basedOn w:val="HeadingBase"/>
    <w:next w:val="BodyText"/>
    <w:link w:val="Heading4Char"/>
    <w:qFormat/>
    <w:rsid w:val="00C44C63"/>
    <w:pPr>
      <w:spacing w:before="160" w:after="120"/>
      <w:outlineLvl w:val="3"/>
    </w:pPr>
    <w:rPr>
      <w:sz w:val="22"/>
    </w:rPr>
  </w:style>
  <w:style w:type="paragraph" w:styleId="Heading5">
    <w:name w:val="heading 5"/>
    <w:basedOn w:val="HeadingBase"/>
    <w:next w:val="Normal"/>
    <w:link w:val="Heading5Char"/>
    <w:qFormat/>
    <w:rsid w:val="00C44C63"/>
    <w:pPr>
      <w:spacing w:before="80"/>
      <w:outlineLvl w:val="4"/>
    </w:pPr>
    <w:rPr>
      <w:color w:val="918585"/>
      <w:sz w:val="20"/>
    </w:rPr>
  </w:style>
  <w:style w:type="paragraph" w:styleId="Heading6">
    <w:name w:val="heading 6"/>
    <w:basedOn w:val="HeadingBase"/>
    <w:next w:val="Normal"/>
    <w:link w:val="Heading6Char"/>
    <w:qFormat/>
    <w:rsid w:val="00C44C63"/>
    <w:pPr>
      <w:spacing w:before="60"/>
      <w:outlineLvl w:val="5"/>
    </w:pPr>
    <w:rPr>
      <w:color w:val="918585"/>
      <w:sz w:val="20"/>
    </w:rPr>
  </w:style>
  <w:style w:type="paragraph" w:styleId="Heading7">
    <w:name w:val="heading 7"/>
    <w:basedOn w:val="Normal"/>
    <w:next w:val="Normal"/>
    <w:link w:val="Heading7Char"/>
    <w:qFormat/>
    <w:rsid w:val="00C44C63"/>
    <w:pPr>
      <w:ind w:left="720"/>
      <w:outlineLvl w:val="6"/>
    </w:pPr>
    <w:rPr>
      <w:i/>
    </w:rPr>
  </w:style>
  <w:style w:type="paragraph" w:styleId="Heading8">
    <w:name w:val="heading 8"/>
    <w:basedOn w:val="Normal"/>
    <w:next w:val="Normal"/>
    <w:link w:val="Heading8Char"/>
    <w:qFormat/>
    <w:rsid w:val="00C44C63"/>
    <w:pPr>
      <w:ind w:left="720"/>
      <w:outlineLvl w:val="7"/>
    </w:pPr>
    <w:rPr>
      <w:i/>
    </w:rPr>
  </w:style>
  <w:style w:type="paragraph" w:styleId="Heading9">
    <w:name w:val="heading 9"/>
    <w:basedOn w:val="Normal"/>
    <w:next w:val="Normal"/>
    <w:link w:val="Heading9Char"/>
    <w:qFormat/>
    <w:rsid w:val="00C44C63"/>
    <w:pPr>
      <w:ind w:left="720"/>
      <w:outlineLvl w:val="8"/>
    </w:pPr>
    <w:rPr>
      <w:i/>
    </w:rPr>
  </w:style>
  <w:style w:type="character" w:default="1" w:styleId="DefaultParagraphFont">
    <w:name w:val="Default Paragraph Font"/>
    <w:uiPriority w:val="1"/>
    <w:unhideWhenUsed/>
    <w:rsid w:val="00C44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C63"/>
  </w:style>
  <w:style w:type="character" w:customStyle="1" w:styleId="Heading1Char">
    <w:name w:val="Heading 1 Char"/>
    <w:basedOn w:val="DefaultParagraphFont"/>
    <w:link w:val="Heading1"/>
    <w:rsid w:val="00C44C63"/>
    <w:rPr>
      <w:rFonts w:ascii="Times New Roman" w:eastAsia="Times New Roman" w:hAnsi="Times New Roman" w:cs="Times New Roman"/>
      <w:b/>
      <w:sz w:val="32"/>
      <w:szCs w:val="20"/>
      <w:lang w:eastAsia="en-US"/>
    </w:rPr>
  </w:style>
  <w:style w:type="paragraph" w:styleId="BodyText">
    <w:name w:val="Body Text"/>
    <w:basedOn w:val="Normal"/>
    <w:link w:val="BodyTextChar"/>
    <w:rsid w:val="00C44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C63"/>
    <w:rPr>
      <w:rFonts w:ascii="Times New Roman" w:eastAsia="Times New Roman" w:hAnsi="Times New Roman" w:cs="Times New Roman"/>
      <w:sz w:val="24"/>
      <w:lang w:eastAsia="en-US"/>
    </w:rPr>
  </w:style>
  <w:style w:type="paragraph" w:styleId="Footer">
    <w:name w:val="footer"/>
    <w:basedOn w:val="Normal"/>
    <w:link w:val="FooterChar"/>
    <w:rsid w:val="00C44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C63"/>
    <w:rPr>
      <w:rFonts w:ascii="Times New Roman" w:eastAsia="Times New Roman" w:hAnsi="Times New Roman" w:cs="Times New Roman"/>
      <w:sz w:val="16"/>
      <w:lang w:eastAsia="en-US"/>
    </w:rPr>
  </w:style>
  <w:style w:type="paragraph" w:styleId="List">
    <w:name w:val="List"/>
    <w:basedOn w:val="BodyText"/>
    <w:next w:val="BodyText"/>
    <w:rsid w:val="00C44C63"/>
    <w:pPr>
      <w:tabs>
        <w:tab w:val="left" w:pos="340"/>
      </w:tabs>
      <w:spacing w:before="60" w:after="60"/>
      <w:ind w:left="340" w:hanging="340"/>
    </w:pPr>
  </w:style>
  <w:style w:type="paragraph" w:styleId="ListBullet">
    <w:name w:val="List Bullet"/>
    <w:basedOn w:val="List"/>
    <w:rsid w:val="00C44C63"/>
    <w:pPr>
      <w:numPr>
        <w:numId w:val="12"/>
      </w:numPr>
      <w:tabs>
        <w:tab w:val="clear" w:pos="340"/>
      </w:tabs>
      <w:spacing w:before="40" w:after="40"/>
    </w:pPr>
  </w:style>
  <w:style w:type="character" w:customStyle="1" w:styleId="SpecialBold">
    <w:name w:val="Special Bold"/>
    <w:basedOn w:val="DefaultParagraphFont"/>
    <w:rsid w:val="00C44C63"/>
    <w:rPr>
      <w:b/>
      <w:spacing w:val="0"/>
    </w:rPr>
  </w:style>
  <w:style w:type="paragraph" w:customStyle="1" w:styleId="SuperHeading">
    <w:name w:val="SuperHeading"/>
    <w:basedOn w:val="Normal"/>
    <w:rsid w:val="00C44C63"/>
    <w:pPr>
      <w:spacing w:before="240" w:after="120"/>
      <w:outlineLvl w:val="0"/>
    </w:pPr>
    <w:rPr>
      <w:rFonts w:ascii="Times New Roman" w:hAnsi="Times New Roman"/>
      <w:b/>
      <w:sz w:val="28"/>
    </w:rPr>
  </w:style>
  <w:style w:type="paragraph" w:customStyle="1" w:styleId="AllowPageBreak">
    <w:name w:val="AllowPageBreak"/>
    <w:rsid w:val="00C44C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4C63"/>
    <w:pPr>
      <w:tabs>
        <w:tab w:val="left" w:pos="680"/>
      </w:tabs>
      <w:spacing w:before="60" w:after="60"/>
      <w:ind w:left="680" w:hanging="340"/>
    </w:pPr>
  </w:style>
  <w:style w:type="character" w:customStyle="1" w:styleId="BoldandItalics">
    <w:name w:val="Bold and Italics"/>
    <w:qFormat/>
    <w:rsid w:val="00C44C63"/>
    <w:rPr>
      <w:b/>
      <w:i/>
      <w:u w:val="none"/>
    </w:rPr>
  </w:style>
  <w:style w:type="character" w:customStyle="1" w:styleId="Heading2Char">
    <w:name w:val="Heading 2 Char"/>
    <w:basedOn w:val="DefaultParagraphFont"/>
    <w:link w:val="Heading2"/>
    <w:rsid w:val="00C44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C63"/>
    <w:rPr>
      <w:rFonts w:ascii="Courier New" w:eastAsia="Times New Roman" w:hAnsi="Courier New" w:cs="Times New Roman"/>
      <w:i/>
      <w:szCs w:val="20"/>
      <w:lang w:eastAsia="en-US"/>
    </w:rPr>
  </w:style>
  <w:style w:type="paragraph" w:customStyle="1" w:styleId="HeadingBase">
    <w:name w:val="Heading Base"/>
    <w:rsid w:val="00C44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C63"/>
    <w:pPr>
      <w:tabs>
        <w:tab w:val="right" w:leader="dot" w:pos="9072"/>
      </w:tabs>
      <w:ind w:left="567"/>
    </w:pPr>
    <w:rPr>
      <w:szCs w:val="22"/>
    </w:rPr>
  </w:style>
  <w:style w:type="paragraph" w:customStyle="1" w:styleId="TOCBase">
    <w:name w:val="TOC Base"/>
    <w:rsid w:val="00C44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C63"/>
    <w:pPr>
      <w:tabs>
        <w:tab w:val="right" w:leader="dot" w:pos="9072"/>
      </w:tabs>
      <w:spacing w:before="40" w:after="40"/>
      <w:ind w:left="284"/>
    </w:pPr>
    <w:rPr>
      <w:rFonts w:ascii="Times New Roman" w:hAnsi="Times New Roman"/>
    </w:rPr>
  </w:style>
  <w:style w:type="paragraph" w:styleId="TOC1">
    <w:name w:val="toc 1"/>
    <w:basedOn w:val="TOCBase"/>
    <w:next w:val="Normal"/>
    <w:rsid w:val="00C44C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C63"/>
    <w:pPr>
      <w:spacing w:before="5040"/>
      <w:jc w:val="center"/>
    </w:pPr>
    <w:rPr>
      <w:sz w:val="48"/>
      <w:szCs w:val="72"/>
      <w:lang w:val="en-US"/>
    </w:rPr>
  </w:style>
  <w:style w:type="character" w:customStyle="1" w:styleId="TitleChar">
    <w:name w:val="Title Char"/>
    <w:basedOn w:val="DefaultParagraphFont"/>
    <w:link w:val="Title"/>
    <w:rsid w:val="00C44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C63"/>
    <w:pPr>
      <w:tabs>
        <w:tab w:val="left" w:pos="3600"/>
        <w:tab w:val="left" w:pos="3958"/>
      </w:tabs>
    </w:pPr>
  </w:style>
  <w:style w:type="paragraph" w:customStyle="1" w:styleId="Note">
    <w:name w:val="Note"/>
    <w:basedOn w:val="BodyText"/>
    <w:rsid w:val="00C44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C63"/>
    <w:pPr>
      <w:framePr w:wrap="auto" w:hAnchor="text" w:y="6049"/>
    </w:pPr>
    <w:rPr>
      <w:color w:val="000000"/>
      <w:sz w:val="40"/>
    </w:rPr>
  </w:style>
  <w:style w:type="paragraph" w:customStyle="1" w:styleId="TOCTitle">
    <w:name w:val="TOCTitle"/>
    <w:basedOn w:val="Heading1"/>
    <w:rsid w:val="00C44C63"/>
    <w:pPr>
      <w:spacing w:after="240"/>
      <w:jc w:val="center"/>
      <w:outlineLvl w:val="9"/>
    </w:pPr>
    <w:rPr>
      <w:caps/>
    </w:rPr>
  </w:style>
  <w:style w:type="paragraph" w:customStyle="1" w:styleId="Version">
    <w:name w:val="Version"/>
    <w:rsid w:val="00C44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C63"/>
    <w:pPr>
      <w:numPr>
        <w:numId w:val="13"/>
      </w:numPr>
      <w:tabs>
        <w:tab w:val="clear" w:pos="680"/>
      </w:tabs>
    </w:pPr>
  </w:style>
  <w:style w:type="paragraph" w:styleId="Index1">
    <w:name w:val="index 1"/>
    <w:basedOn w:val="Normal"/>
    <w:next w:val="Normal"/>
    <w:semiHidden/>
    <w:rsid w:val="00C44C63"/>
    <w:pPr>
      <w:keepNext w:val="0"/>
      <w:tabs>
        <w:tab w:val="right" w:pos="4176"/>
      </w:tabs>
      <w:ind w:left="198" w:hanging="198"/>
    </w:pPr>
    <w:rPr>
      <w:rFonts w:ascii="Garamond" w:hAnsi="Garamond"/>
    </w:rPr>
  </w:style>
  <w:style w:type="paragraph" w:styleId="IndexHeading">
    <w:name w:val="index heading"/>
    <w:basedOn w:val="Normal"/>
    <w:next w:val="Index1"/>
    <w:semiHidden/>
    <w:rsid w:val="00C44C63"/>
    <w:pPr>
      <w:spacing w:before="120" w:after="120"/>
    </w:pPr>
    <w:rPr>
      <w:rFonts w:ascii="Arial" w:hAnsi="Arial"/>
      <w:b/>
      <w:color w:val="918585"/>
      <w:sz w:val="24"/>
    </w:rPr>
  </w:style>
  <w:style w:type="paragraph" w:styleId="Header">
    <w:name w:val="header"/>
    <w:basedOn w:val="Normal"/>
    <w:link w:val="HeaderChar"/>
    <w:rsid w:val="00C44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C63"/>
    <w:rPr>
      <w:rFonts w:ascii="Times New Roman" w:eastAsia="Times New Roman" w:hAnsi="Times New Roman" w:cs="Times New Roman"/>
      <w:sz w:val="16"/>
      <w:szCs w:val="20"/>
      <w:lang w:val="en-GB" w:eastAsia="en-US"/>
    </w:rPr>
  </w:style>
  <w:style w:type="paragraph" w:customStyle="1" w:styleId="Chapter">
    <w:name w:val="Chapter"/>
    <w:basedOn w:val="Normal"/>
    <w:rsid w:val="00C44C63"/>
    <w:pPr>
      <w:spacing w:before="240"/>
    </w:pPr>
    <w:rPr>
      <w:rFonts w:ascii="Times New Roman" w:hAnsi="Times New Roman"/>
      <w:smallCaps/>
      <w:spacing w:val="80"/>
      <w:sz w:val="28"/>
    </w:rPr>
  </w:style>
  <w:style w:type="paragraph" w:customStyle="1" w:styleId="InChapter">
    <w:name w:val="InChapter"/>
    <w:basedOn w:val="Heading3"/>
    <w:rsid w:val="00C44C63"/>
    <w:pPr>
      <w:spacing w:after="240"/>
      <w:outlineLvl w:val="9"/>
    </w:pPr>
    <w:rPr>
      <w:noProof/>
    </w:rPr>
  </w:style>
  <w:style w:type="paragraph" w:styleId="Index2">
    <w:name w:val="index 2"/>
    <w:basedOn w:val="Normal"/>
    <w:next w:val="Normal"/>
    <w:semiHidden/>
    <w:rsid w:val="00C44C63"/>
    <w:pPr>
      <w:tabs>
        <w:tab w:val="right" w:pos="4176"/>
      </w:tabs>
      <w:ind w:left="568" w:hanging="284"/>
    </w:pPr>
    <w:rPr>
      <w:rFonts w:ascii="Garamond" w:hAnsi="Garamond"/>
    </w:rPr>
  </w:style>
  <w:style w:type="paragraph" w:customStyle="1" w:styleId="Byline">
    <w:name w:val="Byline"/>
    <w:rsid w:val="00C44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C63"/>
    <w:pPr>
      <w:tabs>
        <w:tab w:val="clear" w:pos="3600"/>
        <w:tab w:val="clear" w:pos="3958"/>
      </w:tabs>
      <w:jc w:val="right"/>
    </w:pPr>
  </w:style>
  <w:style w:type="character" w:styleId="Emphasis">
    <w:name w:val="Emphasis"/>
    <w:basedOn w:val="DefaultParagraphFont"/>
    <w:qFormat/>
    <w:rsid w:val="00C44C63"/>
    <w:rPr>
      <w:i/>
    </w:rPr>
  </w:style>
  <w:style w:type="paragraph" w:styleId="Caption">
    <w:name w:val="caption"/>
    <w:basedOn w:val="BodyText"/>
    <w:next w:val="Normal"/>
    <w:qFormat/>
    <w:rsid w:val="00C44C63"/>
    <w:pPr>
      <w:framePr w:w="2268" w:hSpace="181" w:vSpace="181" w:wrap="around" w:vAnchor="text" w:hAnchor="page" w:x="1135" w:y="285" w:anchorLock="1"/>
    </w:pPr>
    <w:rPr>
      <w:i/>
    </w:rPr>
  </w:style>
  <w:style w:type="paragraph" w:customStyle="1" w:styleId="MiniTOCTitle">
    <w:name w:val="MiniTOCTitle"/>
    <w:basedOn w:val="Heading4"/>
    <w:rsid w:val="00C44C63"/>
    <w:pPr>
      <w:spacing w:before="240"/>
      <w:outlineLvl w:val="9"/>
    </w:pPr>
    <w:rPr>
      <w:noProof/>
      <w:sz w:val="24"/>
    </w:rPr>
  </w:style>
  <w:style w:type="paragraph" w:customStyle="1" w:styleId="MiniTOCItem">
    <w:name w:val="MiniTOCItem"/>
    <w:basedOn w:val="ListBullet"/>
    <w:rsid w:val="00C44C63"/>
    <w:pPr>
      <w:numPr>
        <w:numId w:val="0"/>
      </w:numPr>
      <w:tabs>
        <w:tab w:val="right" w:leader="dot" w:pos="6521"/>
      </w:tabs>
      <w:spacing w:before="0" w:after="0"/>
    </w:pPr>
  </w:style>
  <w:style w:type="paragraph" w:customStyle="1" w:styleId="TOFTitle">
    <w:name w:val="TOFTitle"/>
    <w:basedOn w:val="TOCTitle"/>
    <w:rsid w:val="00C44C63"/>
  </w:style>
  <w:style w:type="paragraph" w:styleId="TableofFigures">
    <w:name w:val="table of figures"/>
    <w:basedOn w:val="Normal"/>
    <w:next w:val="Normal"/>
    <w:semiHidden/>
    <w:rsid w:val="00C44C63"/>
    <w:pPr>
      <w:tabs>
        <w:tab w:val="right" w:leader="dot" w:pos="9072"/>
      </w:tabs>
      <w:ind w:left="970" w:hanging="403"/>
    </w:pPr>
    <w:rPr>
      <w:rFonts w:ascii="Times New Roman" w:hAnsi="Times New Roman"/>
      <w:b/>
    </w:rPr>
  </w:style>
  <w:style w:type="paragraph" w:styleId="ListNumber">
    <w:name w:val="List Number"/>
    <w:basedOn w:val="List"/>
    <w:rsid w:val="00C44C63"/>
    <w:pPr>
      <w:numPr>
        <w:numId w:val="10"/>
      </w:numPr>
    </w:pPr>
  </w:style>
  <w:style w:type="character" w:customStyle="1" w:styleId="WingdingSymbols">
    <w:name w:val="Wingding Symbols"/>
    <w:rsid w:val="00C44C63"/>
    <w:rPr>
      <w:rFonts w:ascii="Wingdings" w:hAnsi="Wingdings"/>
    </w:rPr>
  </w:style>
  <w:style w:type="paragraph" w:customStyle="1" w:styleId="TableHeading">
    <w:name w:val="Table Heading"/>
    <w:basedOn w:val="HeadingBase"/>
    <w:rsid w:val="00C44C63"/>
    <w:pPr>
      <w:keepLines/>
      <w:pBdr>
        <w:bottom w:val="single" w:sz="6" w:space="1" w:color="918585"/>
      </w:pBdr>
      <w:spacing w:before="240"/>
    </w:pPr>
  </w:style>
  <w:style w:type="character" w:customStyle="1" w:styleId="HotSpot">
    <w:name w:val="HotSpot"/>
    <w:rsid w:val="00C44C63"/>
    <w:rPr>
      <w:color w:val="0033CC"/>
      <w:u w:val="none"/>
    </w:rPr>
  </w:style>
  <w:style w:type="paragraph" w:customStyle="1" w:styleId="BodyTextRight">
    <w:name w:val="Body Text Right"/>
    <w:basedOn w:val="BodyText"/>
    <w:rsid w:val="00C44C63"/>
    <w:pPr>
      <w:spacing w:before="0" w:after="0"/>
      <w:jc w:val="right"/>
    </w:pPr>
  </w:style>
  <w:style w:type="paragraph" w:styleId="Index3">
    <w:name w:val="index 3"/>
    <w:basedOn w:val="ListNumber2"/>
    <w:next w:val="Normal"/>
    <w:semiHidden/>
    <w:rsid w:val="00C44C63"/>
    <w:pPr>
      <w:numPr>
        <w:numId w:val="0"/>
      </w:numPr>
      <w:tabs>
        <w:tab w:val="right" w:leader="dot" w:pos="4176"/>
      </w:tabs>
    </w:pPr>
  </w:style>
  <w:style w:type="paragraph" w:styleId="ListNumber2">
    <w:name w:val="List Number 2"/>
    <w:basedOn w:val="List2"/>
    <w:rsid w:val="00C44C63"/>
    <w:pPr>
      <w:numPr>
        <w:numId w:val="9"/>
      </w:numPr>
      <w:tabs>
        <w:tab w:val="clear" w:pos="1060"/>
      </w:tabs>
    </w:pPr>
  </w:style>
  <w:style w:type="paragraph" w:customStyle="1" w:styleId="MarginNote">
    <w:name w:val="Margin Note"/>
    <w:basedOn w:val="BodyText"/>
    <w:rsid w:val="00C44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C63"/>
    <w:rPr>
      <w:sz w:val="32"/>
    </w:rPr>
  </w:style>
  <w:style w:type="paragraph" w:customStyle="1" w:styleId="HeadingProcedure">
    <w:name w:val="Heading Procedure"/>
    <w:basedOn w:val="HeadingBase"/>
    <w:next w:val="Normal"/>
    <w:rsid w:val="00C44C63"/>
    <w:pPr>
      <w:tabs>
        <w:tab w:val="left" w:pos="0"/>
      </w:tabs>
      <w:spacing w:before="120" w:after="60"/>
    </w:pPr>
    <w:rPr>
      <w:i/>
      <w:color w:val="918585"/>
      <w:sz w:val="22"/>
    </w:rPr>
  </w:style>
  <w:style w:type="paragraph" w:customStyle="1" w:styleId="TableBodyText">
    <w:name w:val="Table Body Text"/>
    <w:basedOn w:val="BodyText"/>
    <w:rsid w:val="00C44C63"/>
    <w:pPr>
      <w:spacing w:before="60" w:after="60"/>
    </w:pPr>
  </w:style>
  <w:style w:type="paragraph" w:styleId="ListContinue">
    <w:name w:val="List Continue"/>
    <w:basedOn w:val="List"/>
    <w:rsid w:val="00C44C63"/>
    <w:pPr>
      <w:ind w:firstLine="0"/>
    </w:pPr>
  </w:style>
  <w:style w:type="paragraph" w:customStyle="1" w:styleId="ListNote">
    <w:name w:val="List Note"/>
    <w:basedOn w:val="List"/>
    <w:rsid w:val="00C44C63"/>
    <w:pPr>
      <w:pBdr>
        <w:top w:val="single" w:sz="6" w:space="2" w:color="918585"/>
        <w:bottom w:val="single" w:sz="6" w:space="2" w:color="918585"/>
      </w:pBdr>
      <w:tabs>
        <w:tab w:val="left" w:pos="1021"/>
      </w:tabs>
      <w:ind w:firstLine="0"/>
    </w:pPr>
  </w:style>
  <w:style w:type="paragraph" w:customStyle="1" w:styleId="Warning">
    <w:name w:val="Warning"/>
    <w:basedOn w:val="BodyText"/>
    <w:rsid w:val="00C44C63"/>
    <w:pPr>
      <w:shd w:val="clear" w:color="auto" w:fill="D9D9D9"/>
      <w:tabs>
        <w:tab w:val="left" w:pos="992"/>
      </w:tabs>
      <w:ind w:left="119" w:right="119"/>
    </w:pPr>
    <w:rPr>
      <w:sz w:val="20"/>
    </w:rPr>
  </w:style>
  <w:style w:type="paragraph" w:customStyle="1" w:styleId="MarginIcons">
    <w:name w:val="Margin Icons"/>
    <w:basedOn w:val="BodyText"/>
    <w:rsid w:val="00C44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C63"/>
    <w:rPr>
      <w:rFonts w:ascii="Courier New" w:hAnsi="Courier New"/>
    </w:rPr>
  </w:style>
  <w:style w:type="paragraph" w:customStyle="1" w:styleId="NoteBullet">
    <w:name w:val="Note Bullet"/>
    <w:basedOn w:val="Note"/>
    <w:rsid w:val="00C44C63"/>
    <w:pPr>
      <w:tabs>
        <w:tab w:val="clear" w:pos="680"/>
      </w:tabs>
      <w:spacing w:before="60" w:after="60"/>
    </w:pPr>
  </w:style>
  <w:style w:type="paragraph" w:customStyle="1" w:styleId="SubHeading2">
    <w:name w:val="SubHeading2"/>
    <w:basedOn w:val="HeadingBase"/>
    <w:rsid w:val="00C44C63"/>
    <w:pPr>
      <w:spacing w:before="240" w:after="60"/>
    </w:pPr>
    <w:rPr>
      <w:sz w:val="20"/>
    </w:rPr>
  </w:style>
  <w:style w:type="paragraph" w:customStyle="1" w:styleId="SubHeading1">
    <w:name w:val="SubHeading1"/>
    <w:basedOn w:val="HeadingBase"/>
    <w:rsid w:val="00C44C63"/>
    <w:pPr>
      <w:spacing w:before="240" w:after="60"/>
    </w:pPr>
    <w:rPr>
      <w:color w:val="918585"/>
      <w:sz w:val="22"/>
    </w:rPr>
  </w:style>
  <w:style w:type="paragraph" w:customStyle="1" w:styleId="SideHeading">
    <w:name w:val="Side Heading"/>
    <w:basedOn w:val="HeadingBase"/>
    <w:rsid w:val="00C44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C63"/>
    <w:pPr>
      <w:tabs>
        <w:tab w:val="num" w:pos="360"/>
      </w:tabs>
    </w:pPr>
  </w:style>
  <w:style w:type="paragraph" w:styleId="PlainText">
    <w:name w:val="Plain Text"/>
    <w:basedOn w:val="Normal"/>
    <w:link w:val="PlainTextChar"/>
    <w:rsid w:val="00C44C63"/>
    <w:rPr>
      <w:sz w:val="20"/>
    </w:rPr>
  </w:style>
  <w:style w:type="character" w:customStyle="1" w:styleId="PlainTextChar">
    <w:name w:val="Plain Text Char"/>
    <w:basedOn w:val="DefaultParagraphFont"/>
    <w:link w:val="PlainText"/>
    <w:rsid w:val="00C44C63"/>
    <w:rPr>
      <w:rFonts w:ascii="Courier New" w:eastAsia="Times New Roman" w:hAnsi="Courier New" w:cs="Times New Roman"/>
      <w:sz w:val="20"/>
      <w:szCs w:val="20"/>
      <w:lang w:eastAsia="en-US"/>
    </w:rPr>
  </w:style>
  <w:style w:type="character" w:customStyle="1" w:styleId="MenuOption">
    <w:name w:val="Menu Option"/>
    <w:basedOn w:val="DefaultParagraphFont"/>
    <w:rsid w:val="00C44C63"/>
    <w:rPr>
      <w:b/>
      <w:smallCaps/>
    </w:rPr>
  </w:style>
  <w:style w:type="paragraph" w:customStyle="1" w:styleId="TableListNumber">
    <w:name w:val="Table List Number"/>
    <w:basedOn w:val="ListNumber"/>
    <w:rsid w:val="00C44C63"/>
    <w:pPr>
      <w:numPr>
        <w:numId w:val="0"/>
      </w:numPr>
    </w:pPr>
  </w:style>
  <w:style w:type="paragraph" w:styleId="TOC4">
    <w:name w:val="toc 4"/>
    <w:basedOn w:val="TOCBase"/>
    <w:next w:val="Normal"/>
    <w:semiHidden/>
    <w:rsid w:val="00C44C63"/>
    <w:pPr>
      <w:tabs>
        <w:tab w:val="right" w:leader="dot" w:pos="9071"/>
      </w:tabs>
      <w:ind w:left="1701"/>
    </w:pPr>
  </w:style>
  <w:style w:type="paragraph" w:customStyle="1" w:styleId="ListAlpha">
    <w:name w:val="List Alpha"/>
    <w:basedOn w:val="List"/>
    <w:rsid w:val="00C44C63"/>
    <w:pPr>
      <w:numPr>
        <w:numId w:val="8"/>
      </w:numPr>
    </w:pPr>
  </w:style>
  <w:style w:type="paragraph" w:customStyle="1" w:styleId="ListAlpha2">
    <w:name w:val="List Alpha 2"/>
    <w:basedOn w:val="List2"/>
    <w:rsid w:val="00C44C63"/>
    <w:pPr>
      <w:numPr>
        <w:numId w:val="7"/>
      </w:numPr>
    </w:pPr>
  </w:style>
  <w:style w:type="paragraph" w:styleId="List3">
    <w:name w:val="List 3"/>
    <w:basedOn w:val="BodyText"/>
    <w:rsid w:val="00C44C63"/>
    <w:pPr>
      <w:tabs>
        <w:tab w:val="left" w:pos="1021"/>
      </w:tabs>
      <w:spacing w:before="60" w:after="60"/>
      <w:ind w:left="1020" w:hanging="340"/>
    </w:pPr>
  </w:style>
  <w:style w:type="paragraph" w:styleId="List4">
    <w:name w:val="List 4"/>
    <w:basedOn w:val="BodyText"/>
    <w:rsid w:val="00C44C63"/>
    <w:pPr>
      <w:tabs>
        <w:tab w:val="left" w:pos="1361"/>
      </w:tabs>
      <w:spacing w:before="60" w:after="60"/>
      <w:ind w:left="1361" w:hanging="340"/>
    </w:pPr>
  </w:style>
  <w:style w:type="paragraph" w:styleId="List5">
    <w:name w:val="List 5"/>
    <w:basedOn w:val="BodyText"/>
    <w:rsid w:val="00C44C63"/>
    <w:pPr>
      <w:tabs>
        <w:tab w:val="left" w:pos="1701"/>
      </w:tabs>
      <w:spacing w:before="60" w:after="60"/>
      <w:ind w:left="1701" w:hanging="340"/>
    </w:pPr>
  </w:style>
  <w:style w:type="paragraph" w:styleId="ListBullet3">
    <w:name w:val="List Bullet 3"/>
    <w:basedOn w:val="List3"/>
    <w:rsid w:val="00C44C63"/>
    <w:pPr>
      <w:numPr>
        <w:numId w:val="14"/>
      </w:numPr>
      <w:tabs>
        <w:tab w:val="clear" w:pos="1021"/>
      </w:tabs>
      <w:ind w:left="1037" w:hanging="357"/>
    </w:pPr>
  </w:style>
  <w:style w:type="paragraph" w:styleId="ListBullet4">
    <w:name w:val="List Bullet 4"/>
    <w:basedOn w:val="List4"/>
    <w:rsid w:val="00C44C63"/>
    <w:pPr>
      <w:numPr>
        <w:numId w:val="2"/>
      </w:numPr>
    </w:pPr>
  </w:style>
  <w:style w:type="paragraph" w:styleId="ListBullet5">
    <w:name w:val="List Bullet 5"/>
    <w:basedOn w:val="List5"/>
    <w:rsid w:val="00C44C63"/>
    <w:pPr>
      <w:numPr>
        <w:numId w:val="3"/>
      </w:numPr>
    </w:pPr>
  </w:style>
  <w:style w:type="paragraph" w:styleId="ListContinue2">
    <w:name w:val="List Continue 2"/>
    <w:basedOn w:val="List2"/>
    <w:rsid w:val="00C44C63"/>
    <w:pPr>
      <w:ind w:firstLine="0"/>
    </w:pPr>
  </w:style>
  <w:style w:type="paragraph" w:styleId="ListContinue3">
    <w:name w:val="List Continue 3"/>
    <w:basedOn w:val="List3"/>
    <w:rsid w:val="00C44C63"/>
    <w:pPr>
      <w:ind w:left="1021" w:firstLine="0"/>
    </w:pPr>
  </w:style>
  <w:style w:type="paragraph" w:styleId="ListContinue4">
    <w:name w:val="List Continue 4"/>
    <w:basedOn w:val="List4"/>
    <w:rsid w:val="00C44C63"/>
    <w:pPr>
      <w:ind w:firstLine="0"/>
    </w:pPr>
  </w:style>
  <w:style w:type="paragraph" w:styleId="ListContinue5">
    <w:name w:val="List Continue 5"/>
    <w:basedOn w:val="List5"/>
    <w:rsid w:val="00C44C63"/>
    <w:pPr>
      <w:ind w:firstLine="0"/>
    </w:pPr>
  </w:style>
  <w:style w:type="paragraph" w:styleId="ListNumber3">
    <w:name w:val="List Number 3"/>
    <w:basedOn w:val="List3"/>
    <w:rsid w:val="00C44C63"/>
    <w:pPr>
      <w:numPr>
        <w:numId w:val="4"/>
      </w:numPr>
    </w:pPr>
  </w:style>
  <w:style w:type="paragraph" w:styleId="ListNumber4">
    <w:name w:val="List Number 4"/>
    <w:basedOn w:val="List4"/>
    <w:rsid w:val="00C44C63"/>
    <w:pPr>
      <w:numPr>
        <w:numId w:val="5"/>
      </w:numPr>
    </w:pPr>
  </w:style>
  <w:style w:type="paragraph" w:styleId="ListNumber5">
    <w:name w:val="List Number 5"/>
    <w:basedOn w:val="List5"/>
    <w:rsid w:val="00C44C63"/>
    <w:pPr>
      <w:numPr>
        <w:numId w:val="6"/>
      </w:numPr>
    </w:pPr>
  </w:style>
  <w:style w:type="paragraph" w:styleId="BlockText">
    <w:name w:val="Block Text"/>
    <w:basedOn w:val="Normal"/>
    <w:rsid w:val="00C44C63"/>
    <w:pPr>
      <w:spacing w:after="120"/>
      <w:ind w:left="1440" w:right="1440"/>
    </w:pPr>
  </w:style>
  <w:style w:type="character" w:customStyle="1" w:styleId="Subscript">
    <w:name w:val="Subscript"/>
    <w:basedOn w:val="DefaultParagraphFont"/>
    <w:rsid w:val="00C44C63"/>
    <w:rPr>
      <w:sz w:val="16"/>
      <w:vertAlign w:val="subscript"/>
    </w:rPr>
  </w:style>
  <w:style w:type="character" w:customStyle="1" w:styleId="Superscript">
    <w:name w:val="Superscript"/>
    <w:basedOn w:val="DefaultParagraphFont"/>
    <w:rsid w:val="00C44C63"/>
    <w:rPr>
      <w:sz w:val="16"/>
      <w:vertAlign w:val="superscript"/>
    </w:rPr>
  </w:style>
  <w:style w:type="character" w:customStyle="1" w:styleId="Symbols">
    <w:name w:val="Symbols"/>
    <w:basedOn w:val="DefaultParagraphFont"/>
    <w:rsid w:val="00C44C63"/>
    <w:rPr>
      <w:rFonts w:ascii="Symbol" w:hAnsi="Symbol"/>
    </w:rPr>
  </w:style>
  <w:style w:type="character" w:customStyle="1" w:styleId="MenuOptions">
    <w:name w:val="Menu Options"/>
    <w:basedOn w:val="DefaultParagraphFont"/>
    <w:rsid w:val="00C44C63"/>
    <w:rPr>
      <w:rFonts w:ascii="Arial Narrow" w:hAnsi="Arial Narrow"/>
      <w:smallCaps/>
    </w:rPr>
  </w:style>
  <w:style w:type="character" w:customStyle="1" w:styleId="Buttons">
    <w:name w:val="Buttons"/>
    <w:basedOn w:val="DefaultParagraphFont"/>
    <w:rsid w:val="00C44C63"/>
    <w:rPr>
      <w:b/>
    </w:rPr>
  </w:style>
  <w:style w:type="character" w:customStyle="1" w:styleId="Underlined">
    <w:name w:val="Underlined"/>
    <w:basedOn w:val="DefaultParagraphFont"/>
    <w:rsid w:val="00C44C63"/>
    <w:rPr>
      <w:u w:val="single"/>
    </w:rPr>
  </w:style>
  <w:style w:type="paragraph" w:customStyle="1" w:styleId="TableBodyTextRight">
    <w:name w:val="Table Body Text Right"/>
    <w:basedOn w:val="TableBodyText"/>
    <w:rsid w:val="00C44C63"/>
    <w:pPr>
      <w:widowControl w:val="0"/>
      <w:autoSpaceDE w:val="0"/>
      <w:autoSpaceDN w:val="0"/>
      <w:adjustRightInd w:val="0"/>
      <w:jc w:val="right"/>
    </w:pPr>
    <w:rPr>
      <w:rFonts w:cs="Arial"/>
      <w:szCs w:val="18"/>
    </w:rPr>
  </w:style>
  <w:style w:type="paragraph" w:customStyle="1" w:styleId="CopyrightText">
    <w:name w:val="Copyright Text"/>
    <w:basedOn w:val="BodyText"/>
    <w:rsid w:val="00C44C63"/>
    <w:rPr>
      <w:sz w:val="18"/>
    </w:rPr>
  </w:style>
  <w:style w:type="paragraph" w:customStyle="1" w:styleId="BodySmallRight">
    <w:name w:val="Body Small Right"/>
    <w:basedOn w:val="BodyTextRight"/>
    <w:rsid w:val="00C44C63"/>
    <w:rPr>
      <w:sz w:val="18"/>
      <w:szCs w:val="18"/>
    </w:rPr>
  </w:style>
  <w:style w:type="paragraph" w:customStyle="1" w:styleId="MarginEdition">
    <w:name w:val="Margin Edition"/>
    <w:basedOn w:val="MarginNote"/>
    <w:rsid w:val="00C44C63"/>
    <w:pPr>
      <w:spacing w:before="0" w:after="0"/>
    </w:pPr>
    <w:rPr>
      <w:rFonts w:ascii="Times New Roman" w:hAnsi="Times New Roman"/>
      <w:color w:val="999999"/>
    </w:rPr>
  </w:style>
  <w:style w:type="paragraph" w:customStyle="1" w:styleId="Spacer">
    <w:name w:val="Spacer"/>
    <w:basedOn w:val="Normal"/>
    <w:rsid w:val="00C44C63"/>
    <w:rPr>
      <w:sz w:val="2"/>
      <w:szCs w:val="2"/>
    </w:rPr>
  </w:style>
  <w:style w:type="character" w:customStyle="1" w:styleId="Small">
    <w:name w:val="Small"/>
    <w:basedOn w:val="DefaultParagraphFont"/>
    <w:rsid w:val="00C44C63"/>
    <w:rPr>
      <w:sz w:val="16"/>
    </w:rPr>
  </w:style>
  <w:style w:type="paragraph" w:customStyle="1" w:styleId="WideTable">
    <w:name w:val="Wide Table"/>
    <w:basedOn w:val="Normal"/>
    <w:rsid w:val="00C44C63"/>
    <w:pPr>
      <w:ind w:left="-1418"/>
    </w:pPr>
    <w:rPr>
      <w:sz w:val="2"/>
      <w:szCs w:val="2"/>
    </w:rPr>
  </w:style>
  <w:style w:type="character" w:styleId="PageNumber">
    <w:name w:val="page number"/>
    <w:basedOn w:val="DefaultParagraphFont"/>
    <w:rsid w:val="00C44C63"/>
  </w:style>
  <w:style w:type="paragraph" w:styleId="Quote">
    <w:name w:val="Quote"/>
    <w:basedOn w:val="Heading1"/>
    <w:link w:val="QuoteChar"/>
    <w:qFormat/>
    <w:rsid w:val="00C44C63"/>
    <w:rPr>
      <w:b w:val="0"/>
      <w:sz w:val="72"/>
      <w:szCs w:val="72"/>
      <w:lang w:val="en-NZ"/>
    </w:rPr>
  </w:style>
  <w:style w:type="character" w:customStyle="1" w:styleId="QuoteChar">
    <w:name w:val="Quote Char"/>
    <w:basedOn w:val="DefaultParagraphFont"/>
    <w:link w:val="Quote"/>
    <w:rsid w:val="00C44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C63"/>
    <w:pPr>
      <w:pageBreakBefore/>
    </w:pPr>
  </w:style>
  <w:style w:type="paragraph" w:customStyle="1" w:styleId="Border">
    <w:name w:val="Border"/>
    <w:basedOn w:val="Normal"/>
    <w:qFormat/>
    <w:rsid w:val="00C44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C63"/>
    <w:rPr>
      <w:b/>
      <w:bCs/>
      <w:i/>
      <w:iCs/>
      <w:color w:val="auto"/>
    </w:rPr>
  </w:style>
  <w:style w:type="paragraph" w:styleId="IntenseQuote">
    <w:name w:val="Intense Quote"/>
    <w:basedOn w:val="Normal"/>
    <w:next w:val="Normal"/>
    <w:link w:val="IntenseQuoteChar"/>
    <w:uiPriority w:val="30"/>
    <w:qFormat/>
    <w:rsid w:val="00C44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C63"/>
    <w:rPr>
      <w:smallCaps/>
      <w:color w:val="auto"/>
      <w:u w:val="single"/>
    </w:rPr>
  </w:style>
  <w:style w:type="character" w:styleId="IntenseReference">
    <w:name w:val="Intense Reference"/>
    <w:basedOn w:val="DefaultParagraphFont"/>
    <w:uiPriority w:val="32"/>
    <w:qFormat/>
    <w:rsid w:val="00C44C63"/>
    <w:rPr>
      <w:b/>
      <w:bCs/>
      <w:smallCaps/>
      <w:color w:val="auto"/>
      <w:spacing w:val="5"/>
      <w:u w:val="single"/>
    </w:rPr>
  </w:style>
  <w:style w:type="paragraph" w:customStyle="1" w:styleId="2ColumnHeading">
    <w:name w:val="2Column Heading"/>
    <w:basedOn w:val="BodyText"/>
    <w:qFormat/>
    <w:rsid w:val="00C44C63"/>
    <w:pPr>
      <w:spacing w:after="60"/>
      <w:ind w:left="-2268"/>
    </w:pPr>
    <w:rPr>
      <w:b/>
    </w:rPr>
  </w:style>
  <w:style w:type="paragraph" w:customStyle="1" w:styleId="Heading1TOC">
    <w:name w:val="Heading1 TOC"/>
    <w:basedOn w:val="Normal"/>
    <w:qFormat/>
    <w:rsid w:val="00C44C63"/>
    <w:pPr>
      <w:spacing w:before="240" w:after="120"/>
    </w:pPr>
    <w:rPr>
      <w:rFonts w:ascii="Times New Roman" w:hAnsi="Times New Roman"/>
      <w:b/>
      <w:sz w:val="32"/>
    </w:rPr>
  </w:style>
  <w:style w:type="paragraph" w:customStyle="1" w:styleId="Heading2TOC">
    <w:name w:val="Heading2 TOC"/>
    <w:basedOn w:val="Normal"/>
    <w:qFormat/>
    <w:rsid w:val="00C44C63"/>
    <w:pPr>
      <w:spacing w:before="240" w:after="60"/>
    </w:pPr>
    <w:rPr>
      <w:rFonts w:ascii="Times New Roman" w:hAnsi="Times New Roman"/>
      <w:b/>
      <w:sz w:val="28"/>
    </w:rPr>
  </w:style>
  <w:style w:type="character" w:customStyle="1" w:styleId="Underline">
    <w:name w:val="Underline"/>
    <w:basedOn w:val="DefaultParagraphFont"/>
    <w:qFormat/>
    <w:rsid w:val="00C44C63"/>
    <w:rPr>
      <w:u w:val="single"/>
    </w:rPr>
  </w:style>
  <w:style w:type="paragraph" w:styleId="BalloonText">
    <w:name w:val="Balloon Text"/>
    <w:basedOn w:val="Normal"/>
    <w:link w:val="BalloonTextChar"/>
    <w:rsid w:val="00C44C63"/>
    <w:rPr>
      <w:rFonts w:ascii="Tahoma" w:hAnsi="Tahoma" w:cs="Tahoma"/>
      <w:sz w:val="16"/>
      <w:szCs w:val="16"/>
    </w:rPr>
  </w:style>
  <w:style w:type="character" w:customStyle="1" w:styleId="BalloonTextChar">
    <w:name w:val="Balloon Text Char"/>
    <w:basedOn w:val="DefaultParagraphFont"/>
    <w:link w:val="BalloonText"/>
    <w:rsid w:val="00C44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C63"/>
    <w:rPr>
      <w:b/>
      <w:color w:val="660033"/>
      <w:spacing w:val="0"/>
    </w:rPr>
  </w:style>
  <w:style w:type="paragraph" w:customStyle="1" w:styleId="Nameditemlist">
    <w:name w:val="Named item list"/>
    <w:basedOn w:val="BodyText"/>
    <w:qFormat/>
    <w:rsid w:val="00C44C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930</Words>
  <Characters>5839</Characters>
  <Application>Microsoft Office Word</Application>
  <DocSecurity>0</DocSecurity>
  <Lines>242</Lines>
  <Paragraphs>122</Paragraphs>
  <ScaleCrop>false</ScaleCrop>
  <Company>Author-it Software Corporation Ltd.</Company>
  <LinksUpToDate>false</LinksUpToDate>
  <CharactersWithSpaces>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CUEIND02B Research and evaluate theatrical references to inform industry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2012-10-05T15:33:00Z</dcterms:created>
  <dcterms:modified xsi:type="dcterms:W3CDTF">2012-10-05T15:33:00Z</dcterms:modified>
</cp:coreProperties>
</file>