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1FC" w:rsidP="002141FC">
      <w:pPr>
        <w:pStyle w:val="Title"/>
      </w:pPr>
      <w:r>
        <w:fldChar w:fldCharType="begin"/>
      </w:r>
      <w:r>
        <w:instrText xml:space="preserve"> TITLE   \* MERGEFORMAT </w:instrText>
      </w:r>
      <w:r>
        <w:fldChar w:fldCharType="separate"/>
      </w:r>
      <w:r>
        <w:t>CUEFOH10B Monitor entry to a venue</w:t>
      </w:r>
      <w:r>
        <w:fldChar w:fldCharType="end"/>
      </w:r>
    </w:p>
    <w:p w:rsidR="002141FC" w:rsidP="002141FC">
      <w:pPr>
        <w:pStyle w:val="Version"/>
        <w:sectPr w:rsidSect="006C6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6E21" w:rsidP="006C6E21">
      <w:pPr>
        <w:pStyle w:val="SuperHeading"/>
      </w:pPr>
      <w:r w:rsidRPr="006C6E21">
        <w:t>CUEFOH10B Monitor entry to a venue</w:t>
      </w:r>
    </w:p>
    <w:p w:rsidR="00000000" w:rsidRPr="006C6E21" w:rsidP="006C6E21">
      <w:pPr>
        <w:pStyle w:val="SuperHeading"/>
      </w:pPr>
    </w:p>
    <w:p w:rsidR="00000000" w:rsidRPr="006C6E21" w:rsidP="006C6E21">
      <w:pPr>
        <w:pStyle w:val="Heading1"/>
      </w:pPr>
      <w:bookmarkStart w:id="1" w:name="O_69795"/>
      <w:bookmarkEnd w:id="1"/>
      <w:r w:rsidRPr="006C6E21">
        <w:t>Modification History</w:t>
      </w:r>
    </w:p>
    <w:p w:rsidR="00000000" w:rsidRPr="006C6E21" w:rsidP="006C6E21">
      <w:pPr>
        <w:pStyle w:val="BodyText"/>
      </w:pPr>
      <w:r w:rsidRPr="006C6E21">
        <w:t>Not applicable.</w:t>
      </w:r>
    </w:p>
    <w:p w:rsidR="00000000" w:rsidRPr="006C6E21" w:rsidP="006C6E21">
      <w:pPr>
        <w:pStyle w:val="AllowPageBreak"/>
      </w:pPr>
    </w:p>
    <w:p w:rsidR="00000000" w:rsidRPr="006C6E21" w:rsidP="006C6E21">
      <w:pPr>
        <w:pStyle w:val="Heading1"/>
      </w:pPr>
      <w:bookmarkStart w:id="2" w:name="O_69796"/>
      <w:bookmarkEnd w:id="2"/>
      <w:r w:rsidRPr="006C6E21">
        <w:t>Unit Descriptor</w:t>
      </w:r>
    </w:p>
    <w:tbl>
      <w:tblPr>
        <w:tblW w:w="0" w:type="auto"/>
        <w:tblLayout w:type="fixed"/>
        <w:tblCellMar>
          <w:left w:w="62" w:type="dxa"/>
          <w:right w:w="62" w:type="dxa"/>
        </w:tblCellMar>
        <w:tblLook w:val="0000"/>
      </w:tblPr>
      <w:tblGrid>
        <w:gridCol w:w="2667"/>
        <w:gridCol w:w="5855"/>
      </w:tblGrid>
      <w:tr w:rsidTr="002141F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This unit describes the skills and knowledge required to monitor entry to a venue and to monitor and report on crowd m</w:t>
            </w:r>
            <w:r w:rsidRPr="006C6E21">
              <w:t>ovements. It does not cover specialist security activities performed by licensed security staff. Units covering security skills are found within the Asset Maintenance Training Package (PRM04).</w:t>
            </w:r>
          </w:p>
          <w:p w:rsidR="00000000" w:rsidRPr="006C6E21" w:rsidP="006C6E21">
            <w:pPr>
              <w:pStyle w:val="BodyText"/>
            </w:pPr>
          </w:p>
          <w:p w:rsidR="00000000" w:rsidRPr="006C6E21" w:rsidP="006C6E21">
            <w:pPr>
              <w:pStyle w:val="BodyText"/>
            </w:pPr>
            <w:r w:rsidRPr="006C6E21">
              <w:t>No licensing, legislative, regulatory or certification require</w:t>
            </w:r>
            <w:r w:rsidRPr="006C6E21">
              <w:t>ments apply to this unit at the time of endorsement.</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3" w:name="O_69797"/>
      <w:bookmarkEnd w:id="3"/>
      <w:r w:rsidRPr="006C6E21">
        <w:t>Application of the Unit</w:t>
      </w:r>
    </w:p>
    <w:tbl>
      <w:tblPr>
        <w:tblW w:w="0" w:type="auto"/>
        <w:tblLayout w:type="fixed"/>
        <w:tblCellMar>
          <w:left w:w="62" w:type="dxa"/>
          <w:right w:w="62" w:type="dxa"/>
        </w:tblCellMar>
        <w:tblLook w:val="0000"/>
      </w:tblPr>
      <w:tblGrid>
        <w:gridCol w:w="2743"/>
        <w:gridCol w:w="5779"/>
      </w:tblGrid>
      <w:tr w:rsidTr="002141F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Operative or managerial front-of-house personnel typically undertake the duties outlined in this unit. They could be working in any live entertainment venue or in cinema complexes.</w:t>
            </w:r>
          </w:p>
          <w:p w:rsidR="00000000" w:rsidRPr="006C6E21" w:rsidP="006C6E21">
            <w:pPr>
              <w:pStyle w:val="BodyText"/>
            </w:pPr>
          </w:p>
          <w:p w:rsidR="00000000" w:rsidRPr="006C6E21" w:rsidP="006C6E21">
            <w:pPr>
              <w:pStyle w:val="BodyText"/>
            </w:pPr>
            <w:r w:rsidRPr="006C6E21">
              <w:t>This unit has strong linkages to the following units, and combined trainin</w:t>
            </w:r>
            <w:r w:rsidRPr="006C6E21">
              <w:t>g and/or assessment is recommended:</w:t>
            </w:r>
          </w:p>
          <w:p w:rsidR="00000000" w:rsidRPr="006C6E21" w:rsidP="006C6E21">
            <w:pPr>
              <w:pStyle w:val="ListBullet"/>
            </w:pPr>
            <w:r w:rsidRPr="006C6E21">
              <w:t xml:space="preserve">CUSOHS301A Follow occupational health and safety procedures </w:t>
            </w:r>
          </w:p>
          <w:p w:rsidR="00000000" w:rsidRPr="006C6E21" w:rsidP="006C6E21">
            <w:pPr>
              <w:pStyle w:val="ListBullet"/>
            </w:pPr>
            <w:r w:rsidRPr="006C6E21">
              <w:t>CUECOR04B Deal with conflict and resolve complaints</w:t>
            </w:r>
          </w:p>
          <w:p w:rsidR="00000000" w:rsidRPr="006C6E21" w:rsidP="006C6E21">
            <w:pPr>
              <w:pStyle w:val="ListBullet"/>
            </w:pPr>
            <w:r w:rsidRPr="006C6E21">
              <w:t>CUEFOH09B Provide venue information and assistance.</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4" w:name="O_69798"/>
      <w:bookmarkEnd w:id="4"/>
      <w:r w:rsidRPr="006C6E21">
        <w:t>Licensing/Regulatory Information</w:t>
      </w:r>
    </w:p>
    <w:p w:rsidR="00000000" w:rsidRPr="006C6E21" w:rsidP="006C6E21">
      <w:pPr>
        <w:pStyle w:val="BodyText"/>
      </w:pPr>
      <w:r w:rsidRPr="006C6E21">
        <w:t>Not applicable.</w:t>
      </w:r>
    </w:p>
    <w:p w:rsidR="00000000" w:rsidRPr="006C6E21" w:rsidP="006C6E21">
      <w:pPr>
        <w:pStyle w:val="AllowPageBreak"/>
      </w:pPr>
    </w:p>
    <w:p w:rsidR="00000000" w:rsidRPr="006C6E21" w:rsidP="006C6E21">
      <w:pPr>
        <w:pStyle w:val="Heading1"/>
      </w:pPr>
      <w:bookmarkStart w:id="5" w:name="O_69800"/>
      <w:bookmarkEnd w:id="5"/>
      <w:r w:rsidRPr="006C6E21">
        <w:t>Pre-Requisites</w:t>
      </w:r>
    </w:p>
    <w:tbl>
      <w:tblPr>
        <w:tblW w:w="0" w:type="auto"/>
        <w:tblLayout w:type="fixed"/>
        <w:tblCellMar>
          <w:left w:w="62" w:type="dxa"/>
          <w:right w:w="62" w:type="dxa"/>
        </w:tblCellMar>
        <w:tblLook w:val="0000"/>
      </w:tblPr>
      <w:tblGrid>
        <w:gridCol w:w="2775"/>
        <w:gridCol w:w="1295"/>
        <w:gridCol w:w="4452"/>
      </w:tblGrid>
      <w:tr w:rsidTr="002141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p>
        </w:tc>
      </w:tr>
      <w:tr w:rsidTr="002141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p>
        </w:tc>
      </w:tr>
      <w:tr w:rsidTr="002141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6" w:name="O_69799"/>
      <w:bookmarkEnd w:id="6"/>
      <w:r w:rsidRPr="006C6E21">
        <w:t>Employability Skills Information</w:t>
      </w:r>
    </w:p>
    <w:tbl>
      <w:tblPr>
        <w:tblW w:w="0" w:type="auto"/>
        <w:tblLayout w:type="fixed"/>
        <w:tblCellMar>
          <w:left w:w="62" w:type="dxa"/>
          <w:right w:w="62" w:type="dxa"/>
        </w:tblCellMar>
        <w:tblLook w:val="0000"/>
      </w:tblPr>
      <w:tblGrid>
        <w:gridCol w:w="2802"/>
        <w:gridCol w:w="5720"/>
      </w:tblGrid>
      <w:tr w:rsidTr="002141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This unit contains employability skills.</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7" w:name="O_69801"/>
      <w:bookmarkEnd w:id="7"/>
      <w:r w:rsidRPr="006C6E21">
        <w:t>Elements and Performance Criteria Pre-Content</w:t>
      </w:r>
    </w:p>
    <w:tbl>
      <w:tblPr>
        <w:tblW w:w="0" w:type="auto"/>
        <w:tblLayout w:type="fixed"/>
        <w:tblCellMar>
          <w:left w:w="62" w:type="dxa"/>
          <w:right w:w="62" w:type="dxa"/>
        </w:tblCellMar>
        <w:tblLook w:val="0000"/>
      </w:tblPr>
      <w:tblGrid>
        <w:gridCol w:w="2532"/>
        <w:gridCol w:w="5990"/>
      </w:tblGrid>
      <w:tr w:rsidTr="002141F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Performance criteria describe the performance needed to demonstrate achievement of the element. Where bold italicised text is used, further information is detailed in the required skills and</w:t>
            </w:r>
            <w:r w:rsidRPr="006C6E21">
              <w:t xml:space="preserve"> knowledge section and the range statement. Assessment of performance is to be consistent with the evidence guide.</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8" w:name="O_69802"/>
      <w:bookmarkEnd w:id="8"/>
      <w:r w:rsidRPr="006C6E21">
        <w:t>Elements and Performance Criteria</w:t>
      </w:r>
    </w:p>
    <w:tbl>
      <w:tblPr>
        <w:tblW w:w="0" w:type="auto"/>
        <w:tblLayout w:type="fixed"/>
        <w:tblCellMar>
          <w:left w:w="62" w:type="dxa"/>
          <w:right w:w="62" w:type="dxa"/>
        </w:tblCellMar>
        <w:tblLook w:val="0000"/>
      </w:tblPr>
      <w:tblGrid>
        <w:gridCol w:w="2532"/>
        <w:gridCol w:w="5990"/>
      </w:tblGrid>
      <w:tr w:rsidTr="002141F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PERFORMANCE CRITERIA</w:t>
            </w:r>
          </w:p>
        </w:tc>
      </w:tr>
      <w:tr w:rsidTr="002141F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List"/>
              <w:rPr>
                <w:lang w:val="en-NZ"/>
              </w:rPr>
            </w:pPr>
            <w:r w:rsidRPr="006C6E21">
              <w:t>1.</w:t>
            </w:r>
            <w:r w:rsidRPr="006C6E21">
              <w:tab/>
              <w:t>Monitor and maintain access to the venue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2"/>
            </w:pPr>
            <w:r w:rsidRPr="006C6E21">
              <w:t>1.1.</w:t>
            </w:r>
            <w:r w:rsidRPr="006C6E21">
              <w:tab/>
              <w:t xml:space="preserve">Check all </w:t>
            </w:r>
            <w:r w:rsidRPr="006C6E21">
              <w:rPr>
                <w:rStyle w:val="BoldandItalics"/>
              </w:rPr>
              <w:t>items associated with access</w:t>
            </w:r>
            <w:r w:rsidRPr="006C6E21">
              <w:t xml:space="preserve"> to the venue before arrival of customers to ensure functionality</w:t>
            </w:r>
          </w:p>
          <w:p w:rsidR="00000000" w:rsidRPr="006C6E21" w:rsidP="006C6E21">
            <w:pPr>
              <w:pStyle w:val="List2"/>
            </w:pPr>
            <w:r w:rsidRPr="006C6E21">
              <w:t>1.2.</w:t>
            </w:r>
            <w:r w:rsidRPr="006C6E21">
              <w:tab/>
              <w:t xml:space="preserve">Control </w:t>
            </w:r>
            <w:r w:rsidRPr="006C6E21">
              <w:rPr>
                <w:rStyle w:val="BoldandItalics"/>
              </w:rPr>
              <w:t>access</w:t>
            </w:r>
            <w:r w:rsidRPr="006C6E21">
              <w:t xml:space="preserve"> to the </w:t>
            </w:r>
            <w:r w:rsidRPr="006C6E21">
              <w:rPr>
                <w:rStyle w:val="BoldandItalics"/>
              </w:rPr>
              <w:t>venue</w:t>
            </w:r>
            <w:r w:rsidRPr="006C6E21">
              <w:t xml:space="preserve"> according to organisational procedures, complying at all times with specific safety and security regulations</w:t>
            </w:r>
          </w:p>
          <w:p w:rsidR="00000000" w:rsidRPr="006C6E21" w:rsidP="006C6E21">
            <w:pPr>
              <w:pStyle w:val="List2"/>
            </w:pPr>
            <w:r w:rsidRPr="006C6E21">
              <w:t>1.3.</w:t>
            </w:r>
            <w:r w:rsidRPr="006C6E21">
              <w:tab/>
              <w:t>Check areas reg</w:t>
            </w:r>
            <w:r w:rsidRPr="006C6E21">
              <w:t>ularly for safety and comfort of customers.</w:t>
            </w:r>
          </w:p>
          <w:p w:rsidR="00000000" w:rsidRPr="006C6E21" w:rsidP="006C6E21">
            <w:pPr>
              <w:pStyle w:val="List2"/>
            </w:pPr>
            <w:r w:rsidRPr="006C6E21">
              <w:t>1.4.</w:t>
            </w:r>
            <w:r w:rsidRPr="006C6E21">
              <w:tab/>
              <w:t xml:space="preserve">When monitoring </w:t>
            </w:r>
            <w:r w:rsidRPr="006C6E21">
              <w:rPr>
                <w:rStyle w:val="BoldandItalics"/>
              </w:rPr>
              <w:t>restricted access areas</w:t>
            </w:r>
            <w:r w:rsidRPr="006C6E21">
              <w:t>, check identification and allow only authorised personnel to enter restricted areas</w:t>
            </w:r>
          </w:p>
          <w:p w:rsidR="00000000" w:rsidP="006C6E21">
            <w:pPr>
              <w:pStyle w:val="List2"/>
              <w:rPr>
                <w:lang w:val="en-NZ"/>
              </w:rPr>
            </w:pPr>
            <w:r w:rsidRPr="006C6E21">
              <w:t>1.5.</w:t>
            </w:r>
            <w:r w:rsidRPr="006C6E21">
              <w:tab/>
              <w:t>Restrict access to the auditorium until clearance is obtained</w:t>
            </w:r>
          </w:p>
        </w:tc>
      </w:tr>
      <w:tr w:rsidTr="002141F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List"/>
              <w:rPr>
                <w:lang w:val="en-NZ"/>
              </w:rPr>
            </w:pPr>
            <w:r w:rsidRPr="006C6E21">
              <w:t>2.</w:t>
            </w:r>
            <w:r w:rsidRPr="006C6E21">
              <w:tab/>
            </w:r>
            <w:r w:rsidRPr="006C6E21">
              <w:t>Monitor crowds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2"/>
            </w:pPr>
            <w:r w:rsidRPr="006C6E21">
              <w:t>2.1.</w:t>
            </w:r>
            <w:r w:rsidRPr="006C6E21">
              <w:tab/>
              <w:t>Identify the maximum number of customers the area can accommodate</w:t>
            </w:r>
          </w:p>
          <w:p w:rsidR="00000000" w:rsidRPr="006C6E21" w:rsidP="006C6E21">
            <w:pPr>
              <w:pStyle w:val="List2"/>
            </w:pPr>
            <w:r w:rsidRPr="006C6E21">
              <w:t>2.2.</w:t>
            </w:r>
            <w:r w:rsidRPr="006C6E21">
              <w:tab/>
              <w:t>Ensure that queues are controlled firmly and courteously</w:t>
            </w:r>
          </w:p>
          <w:p w:rsidR="00000000" w:rsidRPr="006C6E21" w:rsidP="006C6E21">
            <w:pPr>
              <w:pStyle w:val="List2"/>
            </w:pPr>
            <w:r w:rsidRPr="006C6E21">
              <w:t>2.3.</w:t>
            </w:r>
            <w:r w:rsidRPr="006C6E21">
              <w:tab/>
              <w:t>Monitor the crowd size and ensure that the maximum number is not exceeded</w:t>
            </w:r>
          </w:p>
          <w:p w:rsidR="00000000" w:rsidRPr="006C6E21" w:rsidP="006C6E21">
            <w:pPr>
              <w:pStyle w:val="List2"/>
            </w:pPr>
            <w:r w:rsidRPr="006C6E21">
              <w:t>2.4.</w:t>
            </w:r>
            <w:r w:rsidRPr="006C6E21">
              <w:tab/>
              <w:t>Request that customers s</w:t>
            </w:r>
            <w:r w:rsidRPr="006C6E21">
              <w:t xml:space="preserve">urrender </w:t>
            </w:r>
            <w:r w:rsidRPr="006C6E21">
              <w:rPr>
                <w:rStyle w:val="BoldandItalics"/>
              </w:rPr>
              <w:t>restricted items</w:t>
            </w:r>
            <w:r w:rsidRPr="006C6E21">
              <w:t xml:space="preserve"> and confiscate, if necessary, according to organisational procedures</w:t>
            </w:r>
          </w:p>
          <w:p w:rsidR="00000000" w:rsidRPr="006C6E21" w:rsidP="006C6E21">
            <w:pPr>
              <w:pStyle w:val="List2"/>
            </w:pPr>
            <w:r w:rsidRPr="006C6E21">
              <w:t>2.5.</w:t>
            </w:r>
            <w:r w:rsidRPr="006C6E21">
              <w:tab/>
              <w:t xml:space="preserve">Identify problems promptly and take action to rectify or refer to </w:t>
            </w:r>
            <w:r w:rsidRPr="006C6E21">
              <w:rPr>
                <w:rStyle w:val="BoldandItalics"/>
              </w:rPr>
              <w:t>relevant personnel</w:t>
            </w:r>
          </w:p>
          <w:p w:rsidR="00000000" w:rsidRPr="006C6E21" w:rsidP="006C6E21">
            <w:pPr>
              <w:pStyle w:val="List2"/>
            </w:pPr>
            <w:r w:rsidRPr="006C6E21">
              <w:t>2.6.</w:t>
            </w:r>
            <w:r w:rsidRPr="006C6E21">
              <w:tab/>
              <w:t>Monitor crowd behaviour and promptly report any problems to the ap</w:t>
            </w:r>
            <w:r w:rsidRPr="006C6E21">
              <w:t>propriate personnel or security personnel</w:t>
            </w:r>
          </w:p>
          <w:p w:rsidR="00000000" w:rsidRPr="006C6E21" w:rsidP="006C6E21">
            <w:pPr>
              <w:pStyle w:val="List2"/>
            </w:pPr>
            <w:r w:rsidRPr="006C6E21">
              <w:t>2.7.</w:t>
            </w:r>
            <w:r w:rsidRPr="006C6E21">
              <w:tab/>
              <w:t>Communicate with colleagues and customers in a courteous manner at all times</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9" w:name="O_69803"/>
      <w:bookmarkEnd w:id="9"/>
      <w:r w:rsidRPr="006C6E21">
        <w:t>Required Skills and Knowledge</w:t>
      </w:r>
    </w:p>
    <w:tbl>
      <w:tblPr>
        <w:tblW w:w="0" w:type="auto"/>
        <w:tblLayout w:type="fixed"/>
        <w:tblCellMar>
          <w:left w:w="62" w:type="dxa"/>
          <w:right w:w="62" w:type="dxa"/>
        </w:tblCellMar>
        <w:tblLook w:val="0000"/>
      </w:tblPr>
      <w:tblGrid>
        <w:gridCol w:w="8522"/>
      </w:tblGrid>
      <w:tr w:rsidTr="002141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REQUIRED SKILLS AND KNOWLEDGE</w:t>
            </w:r>
          </w:p>
        </w:tc>
      </w:tr>
      <w:tr w:rsidTr="002141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t>This section describes the skills and knowledge required for this unit.</w:t>
            </w:r>
          </w:p>
        </w:tc>
      </w:tr>
      <w:tr w:rsidTr="00214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Required skills</w:t>
            </w:r>
          </w:p>
        </w:tc>
      </w:tr>
      <w:tr w:rsidTr="00214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effective communication techniques for dealing with customers and crowds</w:t>
            </w:r>
          </w:p>
          <w:p w:rsidR="00000000" w:rsidP="006C6E21">
            <w:pPr>
              <w:pStyle w:val="ListBullet"/>
              <w:rPr>
                <w:lang w:val="en-NZ"/>
              </w:rPr>
            </w:pPr>
            <w:r w:rsidRPr="006C6E21">
              <w:t>numeracy skills sufficient to make counts and estimate crowd numbers</w:t>
            </w:r>
          </w:p>
        </w:tc>
      </w:tr>
      <w:tr w:rsidTr="00214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Required knowledge</w:t>
            </w:r>
          </w:p>
        </w:tc>
      </w:tr>
      <w:tr w:rsidTr="002141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venue security and monitoring procedures</w:t>
            </w:r>
          </w:p>
          <w:p w:rsidR="00000000" w:rsidRPr="006C6E21" w:rsidP="006C6E21">
            <w:pPr>
              <w:pStyle w:val="ListBullet"/>
            </w:pPr>
            <w:r w:rsidRPr="006C6E21">
              <w:t>restricted items and associated policies</w:t>
            </w:r>
          </w:p>
          <w:p w:rsidR="00000000" w:rsidRPr="006C6E21" w:rsidP="006C6E21">
            <w:pPr>
              <w:pStyle w:val="ListBullet"/>
            </w:pPr>
            <w:r w:rsidRPr="006C6E21">
              <w:t>health and safety issues and regulations</w:t>
            </w:r>
          </w:p>
          <w:p w:rsidR="00000000" w:rsidRPr="006C6E21" w:rsidP="006C6E21">
            <w:pPr>
              <w:pStyle w:val="ListBullet"/>
            </w:pPr>
            <w:r w:rsidRPr="006C6E21">
              <w:t>protocols for contacting emergency or security services and relevant contacts</w:t>
            </w:r>
          </w:p>
          <w:p w:rsidR="00000000" w:rsidRPr="006C6E21" w:rsidP="006C6E21">
            <w:pPr>
              <w:pStyle w:val="ListBullet"/>
            </w:pPr>
            <w:r w:rsidRPr="006C6E21">
              <w:t>layout of venue, including fire and safety exits, entra</w:t>
            </w:r>
            <w:r w:rsidRPr="006C6E21">
              <w:t>nce doors/gates</w:t>
            </w:r>
          </w:p>
          <w:p w:rsidR="00000000" w:rsidRPr="006C6E21" w:rsidP="006C6E21">
            <w:pPr>
              <w:pStyle w:val="ListBullet"/>
            </w:pPr>
            <w:r w:rsidRPr="006C6E21">
              <w:t>various formats for identification worn by those associated with the performance/session/event</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10" w:name="O_69804"/>
      <w:bookmarkEnd w:id="10"/>
      <w:r w:rsidRPr="006C6E21">
        <w:t>Evidence Guide</w:t>
      </w:r>
    </w:p>
    <w:tbl>
      <w:tblPr>
        <w:tblW w:w="9570" w:type="dxa"/>
        <w:tblLayout w:type="fixed"/>
        <w:tblCellMar>
          <w:left w:w="62" w:type="dxa"/>
          <w:right w:w="62" w:type="dxa"/>
        </w:tblCellMar>
        <w:tblLook w:val="0000"/>
      </w:tblPr>
      <w:tblGrid>
        <w:gridCol w:w="3908"/>
        <w:gridCol w:w="5662"/>
      </w:tblGrid>
      <w:tr w:rsidTr="002141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EVIDENCE GUIDE</w:t>
            </w:r>
          </w:p>
        </w:tc>
      </w:tr>
      <w:tr w:rsidTr="002141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t>The Evidence Guide provides advice on assessment and must be read in conjunction with the performance criteria, required skills and knowledge, range statement and the Assessment Guidelines for the Training Package.</w:t>
            </w:r>
          </w:p>
        </w:tc>
      </w:tr>
      <w:tr w:rsidTr="00214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p>
        </w:tc>
      </w:tr>
      <w:tr w:rsidTr="00214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Critical aspec</w:t>
            </w:r>
            <w:r w:rsidRPr="006C6E2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The following evidence is critical to the judgement of competence in this unit:</w:t>
            </w:r>
          </w:p>
          <w:p w:rsidR="00000000" w:rsidRPr="006C6E21" w:rsidP="006C6E21">
            <w:pPr>
              <w:pStyle w:val="ListBullet"/>
            </w:pPr>
            <w:r w:rsidRPr="006C6E21">
              <w:t>knowledge of procedures for monitoring entry areas</w:t>
            </w:r>
          </w:p>
          <w:p w:rsidR="00000000" w:rsidP="006C6E21">
            <w:pPr>
              <w:pStyle w:val="ListBullet"/>
              <w:rPr>
                <w:lang w:val="en-NZ"/>
              </w:rPr>
            </w:pPr>
            <w:r w:rsidRPr="006C6E21">
              <w:t xml:space="preserve">ability to effectively communicate with </w:t>
            </w:r>
            <w:r w:rsidRPr="006C6E21">
              <w:t>the crowds and quickly resolve any conflict as it arises.</w:t>
            </w:r>
          </w:p>
        </w:tc>
      </w:tr>
      <w:tr w:rsidTr="00214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The assessment context must provide for:</w:t>
            </w:r>
          </w:p>
          <w:p w:rsidR="00000000" w:rsidRPr="006C6E21" w:rsidP="006C6E21">
            <w:pPr>
              <w:pStyle w:val="ListBullet"/>
            </w:pPr>
            <w:r w:rsidRPr="006C6E21">
              <w:t>practical demonstration of skills within a fully equipped operational venue, eg a cinema, live theatre, co</w:t>
            </w:r>
            <w:r w:rsidRPr="006C6E21">
              <w:t>nference centre</w:t>
            </w:r>
          </w:p>
          <w:p w:rsidR="00000000" w:rsidRPr="006C6E21" w:rsidP="006C6E21">
            <w:pPr>
              <w:pStyle w:val="ListBullet"/>
            </w:pPr>
            <w:r w:rsidRPr="006C6E21">
              <w:t xml:space="preserve">monitoring a crowd for a commercially realistic period of time to allow for a variety of crowd circumstances to arise </w:t>
            </w:r>
          </w:p>
          <w:p w:rsidR="00000000" w:rsidP="006C6E21">
            <w:pPr>
              <w:pStyle w:val="ListBullet"/>
              <w:rPr>
                <w:lang w:val="en-NZ"/>
              </w:rPr>
            </w:pPr>
            <w:r w:rsidRPr="006C6E21">
              <w:t>commercially realistic ratios of customers to candidate to reflect typical workplace and crowd conditions.</w:t>
            </w:r>
          </w:p>
        </w:tc>
      </w:tr>
      <w:tr w:rsidTr="00214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Method of ass</w:t>
            </w:r>
            <w:r w:rsidRPr="006C6E21">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Assessment may incorporate a range of methods to assess practical skills and the application of essential underpinning knowledge, and might include:</w:t>
            </w:r>
          </w:p>
          <w:p w:rsidR="00000000" w:rsidRPr="006C6E21" w:rsidP="006C6E21">
            <w:pPr>
              <w:pStyle w:val="ListBullet"/>
            </w:pPr>
            <w:r w:rsidRPr="006C6E21">
              <w:t>direct observation of the candidate monitoring crowds at a venue</w:t>
            </w:r>
          </w:p>
          <w:p w:rsidR="00000000" w:rsidRPr="006C6E21" w:rsidP="006C6E21">
            <w:pPr>
              <w:pStyle w:val="ListBullet"/>
            </w:pPr>
            <w:r w:rsidRPr="006C6E21">
              <w:t>role plays to assess ability to n</w:t>
            </w:r>
            <w:r w:rsidRPr="006C6E21">
              <w:t>egotiate the surrender or confiscation of restricted items</w:t>
            </w:r>
          </w:p>
          <w:p w:rsidR="00000000" w:rsidRPr="006C6E21" w:rsidP="006C6E21">
            <w:pPr>
              <w:pStyle w:val="ListBullet"/>
            </w:pPr>
            <w:r w:rsidRPr="006C6E21">
              <w:t>written or oral questions and tests to assess knowledge of the venue and procedures, e.g. safety and security, confiscation of items</w:t>
            </w:r>
          </w:p>
          <w:p w:rsidR="00000000" w:rsidRPr="006C6E21" w:rsidP="006C6E21">
            <w:pPr>
              <w:pStyle w:val="ListBullet"/>
            </w:pPr>
            <w:r w:rsidRPr="006C6E21">
              <w:t>review of portfolios of evidence and third party workplace reports of on-the-job performance by the candidate.</w:t>
            </w:r>
          </w:p>
          <w:p w:rsidR="00000000" w:rsidRPr="006C6E21" w:rsidP="006C6E21">
            <w:pPr>
              <w:pStyle w:val="BodyText"/>
            </w:pPr>
          </w:p>
          <w:p w:rsidR="00000000" w:rsidP="006C6E21">
            <w:pPr>
              <w:pStyle w:val="BodyText"/>
              <w:rPr>
                <w:lang w:val="en-NZ"/>
              </w:rPr>
            </w:pPr>
            <w:r w:rsidRPr="006C6E21">
              <w:t>Assessment methods should closely reflect workplace demands and the needs of particular groups (e.g. people with disabilities, and people who ma</w:t>
            </w:r>
            <w:r w:rsidRPr="006C6E21">
              <w:t>y have literacy or numeracy difficulties such as speakers of languages other than English, remote communities and those with interrupted schooling).</w:t>
            </w:r>
          </w:p>
        </w:tc>
      </w:tr>
      <w:tr w:rsidTr="002141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Assessment of this unit requires access to:</w:t>
            </w:r>
          </w:p>
          <w:p w:rsidR="00000000" w:rsidRPr="006C6E21" w:rsidP="006C6E21">
            <w:pPr>
              <w:pStyle w:val="ListBullet"/>
            </w:pPr>
            <w:r w:rsidRPr="006C6E21">
              <w:t>a venue where performance</w:t>
            </w:r>
            <w:r w:rsidRPr="006C6E21">
              <w:t>s/cinema sessions/events take place.</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11" w:name="O_69805"/>
      <w:bookmarkEnd w:id="11"/>
      <w:r w:rsidRPr="006C6E21">
        <w:t>Range Statement</w:t>
      </w:r>
    </w:p>
    <w:tbl>
      <w:tblPr>
        <w:tblW w:w="0" w:type="auto"/>
        <w:tblLayout w:type="fixed"/>
        <w:tblCellMar>
          <w:left w:w="62" w:type="dxa"/>
          <w:right w:w="62" w:type="dxa"/>
        </w:tblCellMar>
        <w:tblLook w:val="0000"/>
      </w:tblPr>
      <w:tblGrid>
        <w:gridCol w:w="3452"/>
        <w:gridCol w:w="5070"/>
      </w:tblGrid>
      <w:tr w:rsidTr="002141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RANGE STATEMENT</w:t>
            </w:r>
          </w:p>
        </w:tc>
      </w:tr>
      <w:tr w:rsidTr="002141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t xml:space="preserve">The range statement relates to the unit of competency as a whole. It allows for different work environments and situations that may affect </w:t>
            </w:r>
            <w:r w:rsidRPr="006C6E21">
              <w:t>performance. Bold italicised wording, if used in the performance criteria, is detailed below. Essential operating conditions that may be present with training and assessment (depending on the work situation, needs of the candidate, accessibility of the ite</w:t>
            </w:r>
            <w:r w:rsidRPr="006C6E21">
              <w:t>m, and local industry and regional contexts) may also be included.</w:t>
            </w:r>
          </w:p>
        </w:tc>
      </w:tr>
      <w:tr w:rsidTr="002141F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BoldandItalics"/>
              </w:rPr>
              <w:t>Items associated with access</w:t>
            </w:r>
            <w:r w:rsidRPr="006C6E21">
              <w:t xml:space="preserve"> to the venue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barriers</w:t>
            </w:r>
          </w:p>
          <w:p w:rsidR="00000000" w:rsidRPr="006C6E21" w:rsidP="006C6E21">
            <w:pPr>
              <w:pStyle w:val="ListBullet"/>
            </w:pPr>
            <w:r w:rsidRPr="006C6E21">
              <w:t>exit and entry locations</w:t>
            </w:r>
          </w:p>
          <w:p w:rsidR="00000000" w:rsidRPr="006C6E21" w:rsidP="006C6E21">
            <w:pPr>
              <w:pStyle w:val="ListBullet"/>
            </w:pPr>
            <w:r w:rsidRPr="006C6E21">
              <w:t>fences, gates</w:t>
            </w:r>
          </w:p>
          <w:p w:rsidR="00000000" w:rsidP="006C6E21">
            <w:pPr>
              <w:pStyle w:val="ListBullet"/>
              <w:rPr>
                <w:lang w:val="en-NZ"/>
              </w:rPr>
            </w:pPr>
            <w:r w:rsidRPr="006C6E21">
              <w:t>signage</w:t>
            </w:r>
          </w:p>
        </w:tc>
      </w:tr>
      <w:tr w:rsidTr="002141F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BoldandItalics"/>
              </w:rPr>
              <w:t>Access</w:t>
            </w:r>
            <w:r w:rsidRPr="006C6E21">
              <w:t xml:space="preserve"> points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fire exits</w:t>
            </w:r>
          </w:p>
          <w:p w:rsidR="00000000" w:rsidRPr="006C6E21" w:rsidP="006C6E21">
            <w:pPr>
              <w:pStyle w:val="ListBullet"/>
            </w:pPr>
            <w:r w:rsidRPr="006C6E21">
              <w:t>public entrance</w:t>
            </w:r>
          </w:p>
          <w:p w:rsidR="00000000" w:rsidP="006C6E21">
            <w:pPr>
              <w:pStyle w:val="ListBullet"/>
              <w:rPr>
                <w:lang w:val="en-NZ"/>
              </w:rPr>
            </w:pPr>
            <w:r w:rsidRPr="006C6E21">
              <w:t>stage door</w:t>
            </w:r>
          </w:p>
        </w:tc>
      </w:tr>
      <w:tr w:rsidTr="002141F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BoldandItalics"/>
              </w:rPr>
              <w:t>Venue</w:t>
            </w:r>
            <w:r w:rsidRPr="006C6E21">
              <w:t xml:space="preserve"> areas to be monitored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entry areas for the auditorium within the venue</w:t>
            </w:r>
          </w:p>
          <w:p w:rsidR="00000000" w:rsidRPr="006C6E21" w:rsidP="006C6E21">
            <w:pPr>
              <w:pStyle w:val="ListBullet"/>
            </w:pPr>
            <w:r w:rsidRPr="006C6E21">
              <w:t>foyer areas</w:t>
            </w:r>
          </w:p>
          <w:p w:rsidR="00000000" w:rsidP="006C6E21">
            <w:pPr>
              <w:pStyle w:val="ListBullet"/>
              <w:rPr>
                <w:lang w:val="en-NZ"/>
              </w:rPr>
            </w:pPr>
            <w:r w:rsidRPr="006C6E21">
              <w:t>street entrance and footpaths outside the venue</w:t>
            </w:r>
          </w:p>
        </w:tc>
      </w:tr>
      <w:tr w:rsidTr="002141F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BoldandItalics"/>
              </w:rPr>
              <w:t>Restricted access areas</w:t>
            </w:r>
            <w:r w:rsidRPr="006C6E2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backstage</w:t>
            </w:r>
          </w:p>
          <w:p w:rsidR="00000000" w:rsidRPr="006C6E21" w:rsidP="006C6E21">
            <w:pPr>
              <w:pStyle w:val="ListBullet"/>
            </w:pPr>
            <w:r w:rsidRPr="006C6E21">
              <w:t>operating point for technical equipment, e.g. sound mixing des</w:t>
            </w:r>
            <w:r w:rsidRPr="006C6E21">
              <w:t>k</w:t>
            </w:r>
          </w:p>
          <w:p w:rsidR="00000000" w:rsidP="006C6E21">
            <w:pPr>
              <w:pStyle w:val="ListBullet"/>
              <w:rPr>
                <w:lang w:val="en-NZ"/>
              </w:rPr>
            </w:pPr>
            <w:r w:rsidRPr="006C6E21">
              <w:t>the performance area</w:t>
            </w:r>
          </w:p>
        </w:tc>
      </w:tr>
      <w:tr w:rsidTr="002141F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BoldandItalics"/>
              </w:rPr>
              <w:t>Restricted items</w:t>
            </w:r>
            <w:r w:rsidRPr="006C6E21">
              <w:t xml:space="preserve"> to be surrendered or confiscated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cameras</w:t>
            </w:r>
          </w:p>
          <w:p w:rsidR="00000000" w:rsidRPr="006C6E21" w:rsidP="006C6E21">
            <w:pPr>
              <w:pStyle w:val="ListBullet"/>
            </w:pPr>
            <w:r w:rsidRPr="006C6E21">
              <w:t>dangerous or illegal items, eg drugs, weapons, other items that are potential weapons</w:t>
            </w:r>
          </w:p>
          <w:p w:rsidR="00000000" w:rsidRPr="006C6E21" w:rsidP="006C6E21">
            <w:pPr>
              <w:pStyle w:val="ListBullet"/>
            </w:pPr>
            <w:r w:rsidRPr="006C6E21">
              <w:t>drinks</w:t>
            </w:r>
          </w:p>
          <w:p w:rsidR="00000000" w:rsidRPr="006C6E21" w:rsidP="006C6E21">
            <w:pPr>
              <w:pStyle w:val="ListBullet"/>
            </w:pPr>
            <w:r w:rsidRPr="006C6E21">
              <w:t>food</w:t>
            </w:r>
          </w:p>
          <w:p w:rsidR="00000000" w:rsidRPr="006C6E21" w:rsidP="006C6E21">
            <w:pPr>
              <w:pStyle w:val="ListBullet"/>
            </w:pPr>
            <w:r w:rsidRPr="006C6E21">
              <w:t>recording devices, e.g. DVD/video recorders</w:t>
            </w:r>
          </w:p>
          <w:p w:rsidR="00000000" w:rsidRPr="006C6E21" w:rsidP="006C6E21">
            <w:pPr>
              <w:pStyle w:val="ListBullet"/>
            </w:pPr>
            <w:r w:rsidRPr="006C6E21">
              <w:t>telecommunication equipment, eg mobile phones, pagers</w:t>
            </w:r>
          </w:p>
          <w:p w:rsidR="00000000" w:rsidP="006C6E21">
            <w:pPr>
              <w:pStyle w:val="ListBullet"/>
              <w:rPr>
                <w:lang w:val="en-NZ"/>
              </w:rPr>
            </w:pPr>
            <w:r w:rsidRPr="006C6E21">
              <w:t>umbrellas</w:t>
            </w:r>
          </w:p>
        </w:tc>
      </w:tr>
      <w:tr w:rsidTr="002141F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BoldandItalics"/>
              </w:rPr>
              <w:t>Relevant personnel</w:t>
            </w:r>
            <w:r w:rsidRPr="006C6E2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ListBullet"/>
            </w:pPr>
            <w:r w:rsidRPr="006C6E21">
              <w:t>crowd control staff</w:t>
            </w:r>
          </w:p>
          <w:p w:rsidR="00000000" w:rsidRPr="006C6E21" w:rsidP="006C6E21">
            <w:pPr>
              <w:pStyle w:val="ListBullet"/>
            </w:pPr>
            <w:r w:rsidRPr="006C6E21">
              <w:t>front-of-house manager</w:t>
            </w:r>
          </w:p>
          <w:p w:rsidR="00000000" w:rsidRPr="006C6E21" w:rsidP="006C6E21">
            <w:pPr>
              <w:pStyle w:val="ListBullet"/>
            </w:pPr>
            <w:r w:rsidRPr="006C6E21">
              <w:t>medical personnel</w:t>
            </w:r>
          </w:p>
          <w:p w:rsidR="00000000" w:rsidRPr="006C6E21" w:rsidP="006C6E21">
            <w:pPr>
              <w:pStyle w:val="ListBullet"/>
            </w:pPr>
            <w:r w:rsidRPr="006C6E21">
              <w:t>other security staff</w:t>
            </w:r>
          </w:p>
          <w:p w:rsidR="00000000" w:rsidRPr="006C6E21" w:rsidP="006C6E21">
            <w:pPr>
              <w:pStyle w:val="ListBullet"/>
            </w:pPr>
            <w:r w:rsidRPr="006C6E21">
              <w:t>police</w:t>
            </w:r>
          </w:p>
          <w:p w:rsidR="00000000" w:rsidRPr="006C6E21" w:rsidP="006C6E21">
            <w:pPr>
              <w:pStyle w:val="ListBullet"/>
            </w:pPr>
            <w:r w:rsidRPr="006C6E21">
              <w:t>venue management</w:t>
            </w:r>
          </w:p>
        </w:tc>
      </w:tr>
    </w:tbl>
    <w:p w:rsidR="002141FC" w:rsidP="006C6E21">
      <w:pPr>
        <w:pStyle w:val="BodyText"/>
      </w:pPr>
    </w:p>
    <w:p w:rsidR="002141FC" w:rsidP="006C6E21">
      <w:pPr>
        <w:pStyle w:val="BodyText"/>
      </w:pPr>
    </w:p>
    <w:p w:rsidR="00000000" w:rsidRPr="006C6E21" w:rsidP="006C6E21">
      <w:pPr>
        <w:pStyle w:val="Heading1"/>
      </w:pPr>
      <w:bookmarkStart w:id="12" w:name="O_69806"/>
      <w:bookmarkEnd w:id="12"/>
      <w:r w:rsidRPr="006C6E21">
        <w:t>Unit Sector(s)</w:t>
      </w:r>
    </w:p>
    <w:tbl>
      <w:tblPr>
        <w:tblW w:w="0" w:type="auto"/>
        <w:tblLayout w:type="fixed"/>
        <w:tblCellMar>
          <w:left w:w="62" w:type="dxa"/>
          <w:right w:w="62" w:type="dxa"/>
        </w:tblCellMar>
        <w:tblLook w:val="0000"/>
      </w:tblPr>
      <w:tblGrid>
        <w:gridCol w:w="2654"/>
        <w:gridCol w:w="5868"/>
      </w:tblGrid>
      <w:tr w:rsidTr="002141F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13" w:name="O_154925"/>
      <w:bookmarkEnd w:id="13"/>
      <w:r w:rsidRPr="006C6E21">
        <w:t>Competency field</w:t>
      </w:r>
    </w:p>
    <w:tbl>
      <w:tblPr>
        <w:tblW w:w="0" w:type="auto"/>
        <w:tblLayout w:type="fixed"/>
        <w:tblCellMar>
          <w:left w:w="62" w:type="dxa"/>
          <w:right w:w="62" w:type="dxa"/>
        </w:tblCellMar>
        <w:tblLook w:val="0000"/>
      </w:tblPr>
      <w:tblGrid>
        <w:gridCol w:w="2778"/>
        <w:gridCol w:w="5744"/>
      </w:tblGrid>
      <w:tr w:rsidTr="002141F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r w:rsidRPr="006C6E21">
              <w:t>Media and entertainment production - front of house</w:t>
            </w:r>
          </w:p>
        </w:tc>
      </w:tr>
    </w:tbl>
    <w:p w:rsidR="00000000" w:rsidRPr="006C6E21" w:rsidP="006C6E21">
      <w:pPr>
        <w:pStyle w:val="BodyText"/>
      </w:pPr>
    </w:p>
    <w:p w:rsidR="00000000" w:rsidRPr="006C6E21" w:rsidP="006C6E21">
      <w:pPr>
        <w:pStyle w:val="AllowPageBreak"/>
      </w:pPr>
    </w:p>
    <w:p w:rsidR="00000000" w:rsidRPr="006C6E21" w:rsidP="006C6E21">
      <w:pPr>
        <w:pStyle w:val="Heading1"/>
      </w:pPr>
      <w:bookmarkStart w:id="14" w:name="O_154924"/>
      <w:bookmarkEnd w:id="14"/>
      <w:r w:rsidRPr="006C6E21">
        <w:t>Co-requisite units</w:t>
      </w:r>
    </w:p>
    <w:tbl>
      <w:tblPr>
        <w:tblW w:w="0" w:type="auto"/>
        <w:tblLayout w:type="fixed"/>
        <w:tblCellMar>
          <w:left w:w="62" w:type="dxa"/>
          <w:right w:w="62" w:type="dxa"/>
        </w:tblCellMar>
        <w:tblLook w:val="0000"/>
      </w:tblPr>
      <w:tblGrid>
        <w:gridCol w:w="2641"/>
        <w:gridCol w:w="1322"/>
        <w:gridCol w:w="4559"/>
      </w:tblGrid>
      <w:tr w:rsidTr="002141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r w:rsidRPr="006C6E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p>
        </w:tc>
      </w:tr>
      <w:tr w:rsidTr="002141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E21">
            <w:pPr>
              <w:pStyle w:val="BodyText"/>
              <w:rPr>
                <w:lang w:val="en-NZ"/>
              </w:rPr>
            </w:pPr>
          </w:p>
        </w:tc>
      </w:tr>
      <w:tr w:rsidTr="002141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E21" w:rsidP="006C6E21">
            <w:pPr>
              <w:pStyle w:val="BodyText"/>
            </w:pPr>
          </w:p>
        </w:tc>
      </w:tr>
    </w:tbl>
    <w:p w:rsidR="00000000" w:rsidRPr="006C6E21" w:rsidP="006C6E21">
      <w:pPr>
        <w:pStyle w:val="BodyText"/>
      </w:pPr>
    </w:p>
    <w:p w:rsidR="00000000" w:rsidRPr="006C6E21" w:rsidP="006C6E21"/>
    <w:sectPr w:rsidSect="006C6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1FC" w:rsidP="00214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FC" w:rsidP="006C6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41FC" w:rsidP="006C6E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1FC" w:rsidP="006C6E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1FC" w:rsidP="002141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1FC" w:rsidP="006C6E21">
    <w:pPr>
      <w:pStyle w:val="Header"/>
      <w:framePr w:wrap="around"/>
    </w:pPr>
    <w:r>
      <w:fldChar w:fldCharType="begin"/>
    </w:r>
    <w:r>
      <w:instrText xml:space="preserve"> TITLE   \* MERGEFORMAT </w:instrText>
    </w:r>
    <w:r>
      <w:fldChar w:fldCharType="separate"/>
    </w:r>
    <w:r>
      <w:t>CUEFOH10B Monitor entry to a venue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1FC" w:rsidP="006C6E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3C4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40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E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E21"/>
    <w:pPr>
      <w:spacing w:before="360" w:after="60"/>
      <w:outlineLvl w:val="0"/>
    </w:pPr>
    <w:rPr>
      <w:sz w:val="32"/>
    </w:rPr>
  </w:style>
  <w:style w:type="paragraph" w:styleId="Heading2">
    <w:name w:val="heading 2"/>
    <w:basedOn w:val="HeadingBase"/>
    <w:next w:val="BodyText"/>
    <w:link w:val="Heading2Char"/>
    <w:qFormat/>
    <w:rsid w:val="006C6E21"/>
    <w:pPr>
      <w:keepLines/>
      <w:spacing w:before="240" w:after="120"/>
      <w:outlineLvl w:val="1"/>
    </w:pPr>
    <w:rPr>
      <w:sz w:val="28"/>
      <w:szCs w:val="40"/>
    </w:rPr>
  </w:style>
  <w:style w:type="paragraph" w:styleId="Heading3">
    <w:name w:val="heading 3"/>
    <w:basedOn w:val="HeadingBase"/>
    <w:next w:val="BodyText"/>
    <w:link w:val="Heading3Char"/>
    <w:qFormat/>
    <w:rsid w:val="006C6E21"/>
    <w:pPr>
      <w:spacing w:before="180" w:after="120"/>
      <w:outlineLvl w:val="2"/>
    </w:pPr>
    <w:rPr>
      <w:spacing w:val="-10"/>
      <w:kern w:val="32"/>
    </w:rPr>
  </w:style>
  <w:style w:type="paragraph" w:styleId="Heading4">
    <w:name w:val="heading 4"/>
    <w:basedOn w:val="HeadingBase"/>
    <w:next w:val="BodyText"/>
    <w:link w:val="Heading4Char"/>
    <w:qFormat/>
    <w:rsid w:val="006C6E21"/>
    <w:pPr>
      <w:spacing w:before="160" w:after="120"/>
      <w:outlineLvl w:val="3"/>
    </w:pPr>
    <w:rPr>
      <w:sz w:val="22"/>
    </w:rPr>
  </w:style>
  <w:style w:type="paragraph" w:styleId="Heading5">
    <w:name w:val="heading 5"/>
    <w:basedOn w:val="HeadingBase"/>
    <w:next w:val="Normal"/>
    <w:link w:val="Heading5Char"/>
    <w:qFormat/>
    <w:rsid w:val="006C6E21"/>
    <w:pPr>
      <w:spacing w:before="80"/>
      <w:outlineLvl w:val="4"/>
    </w:pPr>
    <w:rPr>
      <w:color w:val="918585"/>
      <w:sz w:val="20"/>
    </w:rPr>
  </w:style>
  <w:style w:type="paragraph" w:styleId="Heading6">
    <w:name w:val="heading 6"/>
    <w:basedOn w:val="HeadingBase"/>
    <w:next w:val="Normal"/>
    <w:link w:val="Heading6Char"/>
    <w:qFormat/>
    <w:rsid w:val="006C6E21"/>
    <w:pPr>
      <w:spacing w:before="60"/>
      <w:outlineLvl w:val="5"/>
    </w:pPr>
    <w:rPr>
      <w:color w:val="918585"/>
      <w:sz w:val="20"/>
    </w:rPr>
  </w:style>
  <w:style w:type="paragraph" w:styleId="Heading7">
    <w:name w:val="heading 7"/>
    <w:basedOn w:val="Normal"/>
    <w:next w:val="Normal"/>
    <w:link w:val="Heading7Char"/>
    <w:qFormat/>
    <w:rsid w:val="006C6E21"/>
    <w:pPr>
      <w:ind w:left="720"/>
      <w:outlineLvl w:val="6"/>
    </w:pPr>
    <w:rPr>
      <w:i/>
    </w:rPr>
  </w:style>
  <w:style w:type="paragraph" w:styleId="Heading8">
    <w:name w:val="heading 8"/>
    <w:basedOn w:val="Normal"/>
    <w:next w:val="Normal"/>
    <w:link w:val="Heading8Char"/>
    <w:qFormat/>
    <w:rsid w:val="006C6E21"/>
    <w:pPr>
      <w:ind w:left="720"/>
      <w:outlineLvl w:val="7"/>
    </w:pPr>
    <w:rPr>
      <w:i/>
    </w:rPr>
  </w:style>
  <w:style w:type="paragraph" w:styleId="Heading9">
    <w:name w:val="heading 9"/>
    <w:basedOn w:val="Normal"/>
    <w:next w:val="Normal"/>
    <w:link w:val="Heading9Char"/>
    <w:qFormat/>
    <w:rsid w:val="006C6E21"/>
    <w:pPr>
      <w:ind w:left="720"/>
      <w:outlineLvl w:val="8"/>
    </w:pPr>
    <w:rPr>
      <w:i/>
    </w:rPr>
  </w:style>
  <w:style w:type="character" w:default="1" w:styleId="DefaultParagraphFont">
    <w:name w:val="Default Paragraph Font"/>
    <w:uiPriority w:val="1"/>
    <w:unhideWhenUsed/>
    <w:rsid w:val="006C6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E21"/>
  </w:style>
  <w:style w:type="character" w:customStyle="1" w:styleId="Heading1Char">
    <w:name w:val="Heading 1 Char"/>
    <w:basedOn w:val="DefaultParagraphFont"/>
    <w:link w:val="Heading1"/>
    <w:rsid w:val="006C6E21"/>
    <w:rPr>
      <w:rFonts w:ascii="Times New Roman" w:eastAsia="Times New Roman" w:hAnsi="Times New Roman" w:cs="Times New Roman"/>
      <w:b/>
      <w:sz w:val="32"/>
      <w:szCs w:val="20"/>
      <w:lang w:eastAsia="en-US"/>
    </w:rPr>
  </w:style>
  <w:style w:type="paragraph" w:styleId="BodyText">
    <w:name w:val="Body Text"/>
    <w:basedOn w:val="Normal"/>
    <w:link w:val="BodyTextChar"/>
    <w:rsid w:val="006C6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E21"/>
    <w:rPr>
      <w:rFonts w:ascii="Times New Roman" w:eastAsia="Times New Roman" w:hAnsi="Times New Roman" w:cs="Times New Roman"/>
      <w:sz w:val="24"/>
      <w:lang w:val="en-US" w:eastAsia="en-US"/>
    </w:rPr>
  </w:style>
  <w:style w:type="paragraph" w:styleId="Footer">
    <w:name w:val="footer"/>
    <w:basedOn w:val="Normal"/>
    <w:link w:val="FooterChar"/>
    <w:rsid w:val="006C6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E21"/>
    <w:rPr>
      <w:rFonts w:ascii="Times New Roman" w:eastAsia="Times New Roman" w:hAnsi="Times New Roman" w:cs="Times New Roman"/>
      <w:sz w:val="16"/>
      <w:lang w:val="en-US" w:eastAsia="en-US"/>
    </w:rPr>
  </w:style>
  <w:style w:type="paragraph" w:styleId="List">
    <w:name w:val="List"/>
    <w:basedOn w:val="BodyText"/>
    <w:next w:val="BodyText"/>
    <w:rsid w:val="006C6E21"/>
    <w:pPr>
      <w:tabs>
        <w:tab w:val="left" w:pos="340"/>
      </w:tabs>
      <w:spacing w:before="60" w:after="60"/>
      <w:ind w:left="340" w:hanging="340"/>
    </w:pPr>
  </w:style>
  <w:style w:type="paragraph" w:styleId="ListBullet">
    <w:name w:val="List Bullet"/>
    <w:basedOn w:val="List"/>
    <w:rsid w:val="006C6E21"/>
    <w:pPr>
      <w:numPr>
        <w:numId w:val="12"/>
      </w:numPr>
      <w:tabs>
        <w:tab w:val="clear" w:pos="340"/>
      </w:tabs>
      <w:spacing w:before="40" w:after="40"/>
    </w:pPr>
  </w:style>
  <w:style w:type="character" w:customStyle="1" w:styleId="SpecialBold">
    <w:name w:val="Special Bold"/>
    <w:basedOn w:val="DefaultParagraphFont"/>
    <w:rsid w:val="006C6E21"/>
    <w:rPr>
      <w:b/>
      <w:spacing w:val="0"/>
    </w:rPr>
  </w:style>
  <w:style w:type="paragraph" w:styleId="Header">
    <w:name w:val="header"/>
    <w:basedOn w:val="Normal"/>
    <w:link w:val="HeaderChar"/>
    <w:rsid w:val="006C6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E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E21"/>
    <w:pPr>
      <w:spacing w:before="240" w:after="120"/>
      <w:outlineLvl w:val="0"/>
    </w:pPr>
    <w:rPr>
      <w:rFonts w:ascii="Times New Roman" w:hAnsi="Times New Roman"/>
      <w:b/>
      <w:sz w:val="28"/>
    </w:rPr>
  </w:style>
  <w:style w:type="paragraph" w:customStyle="1" w:styleId="AllowPageBreak">
    <w:name w:val="AllowPageBreak"/>
    <w:rsid w:val="006C6E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6E21"/>
    <w:pPr>
      <w:tabs>
        <w:tab w:val="left" w:pos="680"/>
      </w:tabs>
      <w:spacing w:before="60" w:after="60"/>
      <w:ind w:left="680" w:hanging="340"/>
    </w:pPr>
  </w:style>
  <w:style w:type="character" w:customStyle="1" w:styleId="BoldandItalics">
    <w:name w:val="Bold and Italics"/>
    <w:qFormat/>
    <w:rsid w:val="006C6E21"/>
    <w:rPr>
      <w:b/>
      <w:i/>
      <w:u w:val="none"/>
    </w:rPr>
  </w:style>
  <w:style w:type="character" w:customStyle="1" w:styleId="Heading2Char">
    <w:name w:val="Heading 2 Char"/>
    <w:basedOn w:val="DefaultParagraphFont"/>
    <w:link w:val="Heading2"/>
    <w:rsid w:val="006C6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E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E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E21"/>
    <w:rPr>
      <w:rFonts w:ascii="Courier New" w:eastAsia="Times New Roman" w:hAnsi="Courier New" w:cs="Times New Roman"/>
      <w:i/>
      <w:szCs w:val="20"/>
      <w:lang w:val="en-US" w:eastAsia="en-US"/>
    </w:rPr>
  </w:style>
  <w:style w:type="paragraph" w:customStyle="1" w:styleId="HeadingBase">
    <w:name w:val="Heading Base"/>
    <w:rsid w:val="006C6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E21"/>
    <w:pPr>
      <w:tabs>
        <w:tab w:val="right" w:leader="dot" w:pos="9072"/>
      </w:tabs>
      <w:ind w:left="567"/>
    </w:pPr>
    <w:rPr>
      <w:szCs w:val="22"/>
    </w:rPr>
  </w:style>
  <w:style w:type="paragraph" w:customStyle="1" w:styleId="TOCBase">
    <w:name w:val="TOC Base"/>
    <w:rsid w:val="006C6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E21"/>
    <w:pPr>
      <w:tabs>
        <w:tab w:val="right" w:leader="dot" w:pos="9072"/>
      </w:tabs>
      <w:spacing w:before="40" w:after="40"/>
      <w:ind w:left="284"/>
    </w:pPr>
    <w:rPr>
      <w:rFonts w:ascii="Times New Roman" w:hAnsi="Times New Roman"/>
    </w:rPr>
  </w:style>
  <w:style w:type="paragraph" w:styleId="TOC1">
    <w:name w:val="toc 1"/>
    <w:basedOn w:val="TOCBase"/>
    <w:next w:val="Normal"/>
    <w:rsid w:val="006C6E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E21"/>
    <w:pPr>
      <w:spacing w:before="5040"/>
      <w:jc w:val="center"/>
    </w:pPr>
    <w:rPr>
      <w:sz w:val="48"/>
      <w:szCs w:val="72"/>
      <w:lang w:val="en-US"/>
    </w:rPr>
  </w:style>
  <w:style w:type="character" w:customStyle="1" w:styleId="TitleChar">
    <w:name w:val="Title Char"/>
    <w:basedOn w:val="DefaultParagraphFont"/>
    <w:link w:val="Title"/>
    <w:rsid w:val="006C6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E21"/>
    <w:pPr>
      <w:tabs>
        <w:tab w:val="left" w:pos="3600"/>
        <w:tab w:val="left" w:pos="3958"/>
      </w:tabs>
    </w:pPr>
  </w:style>
  <w:style w:type="paragraph" w:customStyle="1" w:styleId="Note">
    <w:name w:val="Note"/>
    <w:basedOn w:val="BodyText"/>
    <w:rsid w:val="006C6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E21"/>
    <w:pPr>
      <w:framePr w:wrap="auto" w:hAnchor="text" w:y="6049"/>
    </w:pPr>
    <w:rPr>
      <w:color w:val="000000"/>
      <w:sz w:val="40"/>
    </w:rPr>
  </w:style>
  <w:style w:type="paragraph" w:customStyle="1" w:styleId="TOCTitle">
    <w:name w:val="TOCTitle"/>
    <w:basedOn w:val="Heading1"/>
    <w:rsid w:val="006C6E21"/>
    <w:pPr>
      <w:spacing w:after="240"/>
      <w:jc w:val="center"/>
      <w:outlineLvl w:val="9"/>
    </w:pPr>
    <w:rPr>
      <w:caps/>
    </w:rPr>
  </w:style>
  <w:style w:type="paragraph" w:customStyle="1" w:styleId="Version">
    <w:name w:val="Version"/>
    <w:rsid w:val="006C6E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E21"/>
    <w:pPr>
      <w:numPr>
        <w:numId w:val="13"/>
      </w:numPr>
      <w:tabs>
        <w:tab w:val="clear" w:pos="680"/>
      </w:tabs>
    </w:pPr>
  </w:style>
  <w:style w:type="paragraph" w:styleId="Index1">
    <w:name w:val="index 1"/>
    <w:basedOn w:val="Normal"/>
    <w:next w:val="Normal"/>
    <w:semiHidden/>
    <w:rsid w:val="006C6E21"/>
    <w:pPr>
      <w:keepNext w:val="0"/>
      <w:tabs>
        <w:tab w:val="right" w:pos="4176"/>
      </w:tabs>
      <w:ind w:left="198" w:hanging="198"/>
    </w:pPr>
    <w:rPr>
      <w:rFonts w:ascii="Garamond" w:hAnsi="Garamond"/>
    </w:rPr>
  </w:style>
  <w:style w:type="paragraph" w:styleId="IndexHeading">
    <w:name w:val="index heading"/>
    <w:basedOn w:val="Normal"/>
    <w:next w:val="Index1"/>
    <w:semiHidden/>
    <w:rsid w:val="006C6E21"/>
    <w:pPr>
      <w:spacing w:before="120" w:after="120"/>
    </w:pPr>
    <w:rPr>
      <w:rFonts w:ascii="Arial" w:hAnsi="Arial"/>
      <w:b/>
      <w:color w:val="918585"/>
      <w:sz w:val="24"/>
    </w:rPr>
  </w:style>
  <w:style w:type="paragraph" w:customStyle="1" w:styleId="Chapter">
    <w:name w:val="Chapter"/>
    <w:basedOn w:val="Normal"/>
    <w:rsid w:val="006C6E21"/>
    <w:pPr>
      <w:spacing w:before="240"/>
    </w:pPr>
    <w:rPr>
      <w:rFonts w:ascii="Times New Roman" w:hAnsi="Times New Roman"/>
      <w:smallCaps/>
      <w:spacing w:val="80"/>
      <w:sz w:val="28"/>
    </w:rPr>
  </w:style>
  <w:style w:type="paragraph" w:customStyle="1" w:styleId="InChapter">
    <w:name w:val="InChapter"/>
    <w:basedOn w:val="Heading3"/>
    <w:rsid w:val="006C6E21"/>
    <w:pPr>
      <w:spacing w:after="240"/>
      <w:outlineLvl w:val="9"/>
    </w:pPr>
    <w:rPr>
      <w:noProof/>
    </w:rPr>
  </w:style>
  <w:style w:type="paragraph" w:styleId="Index2">
    <w:name w:val="index 2"/>
    <w:basedOn w:val="Normal"/>
    <w:next w:val="Normal"/>
    <w:semiHidden/>
    <w:rsid w:val="006C6E21"/>
    <w:pPr>
      <w:tabs>
        <w:tab w:val="right" w:pos="4176"/>
      </w:tabs>
      <w:ind w:left="568" w:hanging="284"/>
    </w:pPr>
    <w:rPr>
      <w:rFonts w:ascii="Garamond" w:hAnsi="Garamond"/>
    </w:rPr>
  </w:style>
  <w:style w:type="paragraph" w:customStyle="1" w:styleId="Byline">
    <w:name w:val="Byline"/>
    <w:rsid w:val="006C6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E21"/>
    <w:pPr>
      <w:tabs>
        <w:tab w:val="clear" w:pos="3600"/>
        <w:tab w:val="clear" w:pos="3958"/>
      </w:tabs>
      <w:jc w:val="right"/>
    </w:pPr>
  </w:style>
  <w:style w:type="character" w:styleId="Emphasis">
    <w:name w:val="Emphasis"/>
    <w:basedOn w:val="DefaultParagraphFont"/>
    <w:qFormat/>
    <w:rsid w:val="006C6E21"/>
    <w:rPr>
      <w:i/>
    </w:rPr>
  </w:style>
  <w:style w:type="paragraph" w:styleId="Caption">
    <w:name w:val="caption"/>
    <w:basedOn w:val="BodyText"/>
    <w:next w:val="Normal"/>
    <w:qFormat/>
    <w:rsid w:val="006C6E21"/>
    <w:pPr>
      <w:framePr w:w="2268" w:hSpace="181" w:vSpace="181" w:wrap="around" w:vAnchor="text" w:hAnchor="page" w:x="1135" w:y="285" w:anchorLock="1"/>
    </w:pPr>
    <w:rPr>
      <w:i/>
    </w:rPr>
  </w:style>
  <w:style w:type="paragraph" w:customStyle="1" w:styleId="MiniTOCTitle">
    <w:name w:val="MiniTOCTitle"/>
    <w:basedOn w:val="Heading4"/>
    <w:rsid w:val="006C6E21"/>
    <w:pPr>
      <w:spacing w:before="240"/>
      <w:outlineLvl w:val="9"/>
    </w:pPr>
    <w:rPr>
      <w:noProof/>
      <w:sz w:val="24"/>
    </w:rPr>
  </w:style>
  <w:style w:type="paragraph" w:customStyle="1" w:styleId="MiniTOCItem">
    <w:name w:val="MiniTOCItem"/>
    <w:basedOn w:val="ListBullet"/>
    <w:rsid w:val="006C6E21"/>
    <w:pPr>
      <w:numPr>
        <w:numId w:val="0"/>
      </w:numPr>
      <w:tabs>
        <w:tab w:val="right" w:leader="dot" w:pos="6521"/>
      </w:tabs>
      <w:spacing w:before="0" w:after="0"/>
    </w:pPr>
  </w:style>
  <w:style w:type="paragraph" w:customStyle="1" w:styleId="TOFTitle">
    <w:name w:val="TOFTitle"/>
    <w:basedOn w:val="TOCTitle"/>
    <w:rsid w:val="006C6E21"/>
  </w:style>
  <w:style w:type="paragraph" w:styleId="TableofFigures">
    <w:name w:val="table of figures"/>
    <w:basedOn w:val="Normal"/>
    <w:next w:val="Normal"/>
    <w:semiHidden/>
    <w:rsid w:val="006C6E21"/>
    <w:pPr>
      <w:tabs>
        <w:tab w:val="right" w:leader="dot" w:pos="9072"/>
      </w:tabs>
      <w:ind w:left="970" w:hanging="403"/>
    </w:pPr>
    <w:rPr>
      <w:rFonts w:ascii="Times New Roman" w:hAnsi="Times New Roman"/>
      <w:b/>
    </w:rPr>
  </w:style>
  <w:style w:type="paragraph" w:styleId="ListNumber">
    <w:name w:val="List Number"/>
    <w:basedOn w:val="List"/>
    <w:rsid w:val="006C6E21"/>
    <w:pPr>
      <w:numPr>
        <w:numId w:val="10"/>
      </w:numPr>
    </w:pPr>
  </w:style>
  <w:style w:type="character" w:customStyle="1" w:styleId="WingdingSymbols">
    <w:name w:val="Wingding Symbols"/>
    <w:rsid w:val="006C6E21"/>
    <w:rPr>
      <w:rFonts w:ascii="Wingdings" w:hAnsi="Wingdings"/>
    </w:rPr>
  </w:style>
  <w:style w:type="paragraph" w:customStyle="1" w:styleId="TableHeading">
    <w:name w:val="Table Heading"/>
    <w:basedOn w:val="HeadingBase"/>
    <w:rsid w:val="006C6E21"/>
    <w:pPr>
      <w:keepLines/>
      <w:pBdr>
        <w:bottom w:val="single" w:sz="6" w:space="1" w:color="918585"/>
      </w:pBdr>
      <w:spacing w:before="240"/>
    </w:pPr>
  </w:style>
  <w:style w:type="character" w:customStyle="1" w:styleId="HotSpot">
    <w:name w:val="HotSpot"/>
    <w:rsid w:val="006C6E21"/>
    <w:rPr>
      <w:color w:val="0033CC"/>
      <w:u w:val="none"/>
    </w:rPr>
  </w:style>
  <w:style w:type="paragraph" w:customStyle="1" w:styleId="BodyTextRight">
    <w:name w:val="Body Text Right"/>
    <w:basedOn w:val="BodyText"/>
    <w:rsid w:val="006C6E21"/>
    <w:pPr>
      <w:spacing w:before="0" w:after="0"/>
      <w:jc w:val="right"/>
    </w:pPr>
  </w:style>
  <w:style w:type="paragraph" w:styleId="Index3">
    <w:name w:val="index 3"/>
    <w:basedOn w:val="ListNumber2"/>
    <w:next w:val="Normal"/>
    <w:semiHidden/>
    <w:rsid w:val="006C6E21"/>
    <w:pPr>
      <w:numPr>
        <w:numId w:val="0"/>
      </w:numPr>
      <w:tabs>
        <w:tab w:val="right" w:leader="dot" w:pos="4176"/>
      </w:tabs>
    </w:pPr>
  </w:style>
  <w:style w:type="paragraph" w:styleId="ListNumber2">
    <w:name w:val="List Number 2"/>
    <w:basedOn w:val="List2"/>
    <w:rsid w:val="006C6E21"/>
    <w:pPr>
      <w:numPr>
        <w:numId w:val="9"/>
      </w:numPr>
      <w:tabs>
        <w:tab w:val="clear" w:pos="1060"/>
      </w:tabs>
    </w:pPr>
  </w:style>
  <w:style w:type="paragraph" w:customStyle="1" w:styleId="MarginNote">
    <w:name w:val="Margin Note"/>
    <w:basedOn w:val="BodyText"/>
    <w:rsid w:val="006C6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E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E21"/>
    <w:rPr>
      <w:sz w:val="32"/>
    </w:rPr>
  </w:style>
  <w:style w:type="paragraph" w:customStyle="1" w:styleId="HeadingProcedure">
    <w:name w:val="Heading Procedure"/>
    <w:basedOn w:val="HeadingBase"/>
    <w:next w:val="Normal"/>
    <w:rsid w:val="006C6E21"/>
    <w:pPr>
      <w:tabs>
        <w:tab w:val="left" w:pos="0"/>
      </w:tabs>
      <w:spacing w:before="120" w:after="60"/>
    </w:pPr>
    <w:rPr>
      <w:i/>
      <w:color w:val="918585"/>
      <w:sz w:val="22"/>
    </w:rPr>
  </w:style>
  <w:style w:type="paragraph" w:customStyle="1" w:styleId="TableBodyText">
    <w:name w:val="Table Body Text"/>
    <w:basedOn w:val="BodyText"/>
    <w:rsid w:val="006C6E21"/>
    <w:pPr>
      <w:spacing w:before="60" w:after="60"/>
    </w:pPr>
  </w:style>
  <w:style w:type="paragraph" w:styleId="ListContinue">
    <w:name w:val="List Continue"/>
    <w:basedOn w:val="List"/>
    <w:rsid w:val="006C6E21"/>
    <w:pPr>
      <w:ind w:firstLine="0"/>
    </w:pPr>
  </w:style>
  <w:style w:type="paragraph" w:customStyle="1" w:styleId="ListNote">
    <w:name w:val="List Note"/>
    <w:basedOn w:val="List"/>
    <w:rsid w:val="006C6E21"/>
    <w:pPr>
      <w:pBdr>
        <w:top w:val="single" w:sz="6" w:space="2" w:color="918585"/>
        <w:bottom w:val="single" w:sz="6" w:space="2" w:color="918585"/>
      </w:pBdr>
      <w:tabs>
        <w:tab w:val="left" w:pos="1021"/>
      </w:tabs>
      <w:ind w:firstLine="0"/>
    </w:pPr>
  </w:style>
  <w:style w:type="paragraph" w:customStyle="1" w:styleId="Warning">
    <w:name w:val="Warning"/>
    <w:basedOn w:val="BodyText"/>
    <w:rsid w:val="006C6E21"/>
    <w:pPr>
      <w:shd w:val="clear" w:color="auto" w:fill="D9D9D9"/>
      <w:tabs>
        <w:tab w:val="left" w:pos="992"/>
      </w:tabs>
      <w:ind w:left="119" w:right="119"/>
    </w:pPr>
    <w:rPr>
      <w:sz w:val="20"/>
    </w:rPr>
  </w:style>
  <w:style w:type="paragraph" w:customStyle="1" w:styleId="MarginIcons">
    <w:name w:val="Margin Icons"/>
    <w:basedOn w:val="BodyText"/>
    <w:rsid w:val="006C6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E21"/>
    <w:rPr>
      <w:rFonts w:ascii="Courier New" w:hAnsi="Courier New"/>
    </w:rPr>
  </w:style>
  <w:style w:type="paragraph" w:customStyle="1" w:styleId="NoteBullet">
    <w:name w:val="Note Bullet"/>
    <w:basedOn w:val="Note"/>
    <w:rsid w:val="006C6E21"/>
    <w:pPr>
      <w:tabs>
        <w:tab w:val="clear" w:pos="680"/>
      </w:tabs>
      <w:spacing w:before="60" w:after="60"/>
    </w:pPr>
  </w:style>
  <w:style w:type="paragraph" w:customStyle="1" w:styleId="SubHeading2">
    <w:name w:val="SubHeading2"/>
    <w:basedOn w:val="HeadingBase"/>
    <w:rsid w:val="006C6E21"/>
    <w:pPr>
      <w:spacing w:before="240" w:after="60"/>
    </w:pPr>
    <w:rPr>
      <w:sz w:val="20"/>
    </w:rPr>
  </w:style>
  <w:style w:type="paragraph" w:customStyle="1" w:styleId="SubHeading1">
    <w:name w:val="SubHeading1"/>
    <w:basedOn w:val="HeadingBase"/>
    <w:rsid w:val="006C6E21"/>
    <w:pPr>
      <w:spacing w:before="240" w:after="60"/>
    </w:pPr>
    <w:rPr>
      <w:color w:val="918585"/>
      <w:sz w:val="22"/>
    </w:rPr>
  </w:style>
  <w:style w:type="paragraph" w:customStyle="1" w:styleId="SideHeading">
    <w:name w:val="Side Heading"/>
    <w:basedOn w:val="HeadingBase"/>
    <w:rsid w:val="006C6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E21"/>
    <w:pPr>
      <w:tabs>
        <w:tab w:val="num" w:pos="360"/>
      </w:tabs>
    </w:pPr>
  </w:style>
  <w:style w:type="paragraph" w:styleId="PlainText">
    <w:name w:val="Plain Text"/>
    <w:basedOn w:val="Normal"/>
    <w:link w:val="PlainTextChar"/>
    <w:rsid w:val="006C6E21"/>
    <w:rPr>
      <w:sz w:val="20"/>
    </w:rPr>
  </w:style>
  <w:style w:type="character" w:customStyle="1" w:styleId="PlainTextChar">
    <w:name w:val="Plain Text Char"/>
    <w:basedOn w:val="DefaultParagraphFont"/>
    <w:link w:val="PlainText"/>
    <w:rsid w:val="006C6E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E21"/>
    <w:rPr>
      <w:b/>
      <w:smallCaps/>
    </w:rPr>
  </w:style>
  <w:style w:type="paragraph" w:customStyle="1" w:styleId="TableListNumber">
    <w:name w:val="Table List Number"/>
    <w:basedOn w:val="ListNumber"/>
    <w:rsid w:val="006C6E21"/>
    <w:pPr>
      <w:numPr>
        <w:numId w:val="0"/>
      </w:numPr>
    </w:pPr>
  </w:style>
  <w:style w:type="paragraph" w:styleId="TOC4">
    <w:name w:val="toc 4"/>
    <w:basedOn w:val="TOCBase"/>
    <w:next w:val="Normal"/>
    <w:semiHidden/>
    <w:rsid w:val="006C6E21"/>
    <w:pPr>
      <w:tabs>
        <w:tab w:val="right" w:leader="dot" w:pos="9071"/>
      </w:tabs>
      <w:ind w:left="1701"/>
    </w:pPr>
  </w:style>
  <w:style w:type="paragraph" w:customStyle="1" w:styleId="ListAlpha">
    <w:name w:val="List Alpha"/>
    <w:basedOn w:val="List"/>
    <w:rsid w:val="006C6E21"/>
    <w:pPr>
      <w:numPr>
        <w:numId w:val="8"/>
      </w:numPr>
    </w:pPr>
  </w:style>
  <w:style w:type="paragraph" w:customStyle="1" w:styleId="ListAlpha2">
    <w:name w:val="List Alpha 2"/>
    <w:basedOn w:val="List2"/>
    <w:rsid w:val="006C6E21"/>
    <w:pPr>
      <w:numPr>
        <w:numId w:val="7"/>
      </w:numPr>
    </w:pPr>
  </w:style>
  <w:style w:type="paragraph" w:styleId="List3">
    <w:name w:val="List 3"/>
    <w:basedOn w:val="BodyText"/>
    <w:rsid w:val="006C6E21"/>
    <w:pPr>
      <w:tabs>
        <w:tab w:val="left" w:pos="1021"/>
      </w:tabs>
      <w:spacing w:before="60" w:after="60"/>
      <w:ind w:left="1020" w:hanging="340"/>
    </w:pPr>
  </w:style>
  <w:style w:type="paragraph" w:styleId="List4">
    <w:name w:val="List 4"/>
    <w:basedOn w:val="BodyText"/>
    <w:rsid w:val="006C6E21"/>
    <w:pPr>
      <w:tabs>
        <w:tab w:val="left" w:pos="1361"/>
      </w:tabs>
      <w:spacing w:before="60" w:after="60"/>
      <w:ind w:left="1361" w:hanging="340"/>
    </w:pPr>
  </w:style>
  <w:style w:type="paragraph" w:styleId="List5">
    <w:name w:val="List 5"/>
    <w:basedOn w:val="BodyText"/>
    <w:rsid w:val="006C6E21"/>
    <w:pPr>
      <w:tabs>
        <w:tab w:val="left" w:pos="1701"/>
      </w:tabs>
      <w:spacing w:before="60" w:after="60"/>
      <w:ind w:left="1701" w:hanging="340"/>
    </w:pPr>
  </w:style>
  <w:style w:type="paragraph" w:styleId="ListBullet3">
    <w:name w:val="List Bullet 3"/>
    <w:basedOn w:val="List3"/>
    <w:rsid w:val="006C6E21"/>
    <w:pPr>
      <w:numPr>
        <w:numId w:val="14"/>
      </w:numPr>
      <w:tabs>
        <w:tab w:val="clear" w:pos="1021"/>
      </w:tabs>
      <w:ind w:left="1037" w:hanging="357"/>
    </w:pPr>
  </w:style>
  <w:style w:type="paragraph" w:styleId="ListBullet4">
    <w:name w:val="List Bullet 4"/>
    <w:basedOn w:val="List4"/>
    <w:rsid w:val="006C6E21"/>
    <w:pPr>
      <w:numPr>
        <w:numId w:val="2"/>
      </w:numPr>
    </w:pPr>
  </w:style>
  <w:style w:type="paragraph" w:styleId="ListBullet5">
    <w:name w:val="List Bullet 5"/>
    <w:basedOn w:val="List5"/>
    <w:rsid w:val="006C6E21"/>
    <w:pPr>
      <w:numPr>
        <w:numId w:val="3"/>
      </w:numPr>
    </w:pPr>
  </w:style>
  <w:style w:type="paragraph" w:styleId="ListContinue2">
    <w:name w:val="List Continue 2"/>
    <w:basedOn w:val="List2"/>
    <w:rsid w:val="006C6E21"/>
    <w:pPr>
      <w:ind w:firstLine="0"/>
    </w:pPr>
  </w:style>
  <w:style w:type="paragraph" w:styleId="ListContinue3">
    <w:name w:val="List Continue 3"/>
    <w:basedOn w:val="List3"/>
    <w:rsid w:val="006C6E21"/>
    <w:pPr>
      <w:ind w:left="1021" w:firstLine="0"/>
    </w:pPr>
  </w:style>
  <w:style w:type="paragraph" w:styleId="ListContinue4">
    <w:name w:val="List Continue 4"/>
    <w:basedOn w:val="List4"/>
    <w:rsid w:val="006C6E21"/>
    <w:pPr>
      <w:ind w:firstLine="0"/>
    </w:pPr>
  </w:style>
  <w:style w:type="paragraph" w:styleId="ListContinue5">
    <w:name w:val="List Continue 5"/>
    <w:basedOn w:val="List5"/>
    <w:rsid w:val="006C6E21"/>
    <w:pPr>
      <w:ind w:firstLine="0"/>
    </w:pPr>
  </w:style>
  <w:style w:type="paragraph" w:styleId="ListNumber3">
    <w:name w:val="List Number 3"/>
    <w:basedOn w:val="List3"/>
    <w:rsid w:val="006C6E21"/>
    <w:pPr>
      <w:numPr>
        <w:numId w:val="4"/>
      </w:numPr>
    </w:pPr>
  </w:style>
  <w:style w:type="paragraph" w:styleId="ListNumber4">
    <w:name w:val="List Number 4"/>
    <w:basedOn w:val="List4"/>
    <w:rsid w:val="006C6E21"/>
    <w:pPr>
      <w:numPr>
        <w:numId w:val="5"/>
      </w:numPr>
    </w:pPr>
  </w:style>
  <w:style w:type="paragraph" w:styleId="ListNumber5">
    <w:name w:val="List Number 5"/>
    <w:basedOn w:val="List5"/>
    <w:rsid w:val="006C6E21"/>
    <w:pPr>
      <w:numPr>
        <w:numId w:val="6"/>
      </w:numPr>
    </w:pPr>
  </w:style>
  <w:style w:type="paragraph" w:styleId="BlockText">
    <w:name w:val="Block Text"/>
    <w:basedOn w:val="Normal"/>
    <w:rsid w:val="006C6E21"/>
    <w:pPr>
      <w:spacing w:after="120"/>
      <w:ind w:left="1440" w:right="1440"/>
    </w:pPr>
  </w:style>
  <w:style w:type="character" w:customStyle="1" w:styleId="Subscript">
    <w:name w:val="Subscript"/>
    <w:basedOn w:val="DefaultParagraphFont"/>
    <w:rsid w:val="006C6E21"/>
    <w:rPr>
      <w:sz w:val="16"/>
      <w:vertAlign w:val="subscript"/>
    </w:rPr>
  </w:style>
  <w:style w:type="character" w:customStyle="1" w:styleId="Superscript">
    <w:name w:val="Superscript"/>
    <w:basedOn w:val="DefaultParagraphFont"/>
    <w:rsid w:val="006C6E21"/>
    <w:rPr>
      <w:sz w:val="16"/>
      <w:vertAlign w:val="superscript"/>
    </w:rPr>
  </w:style>
  <w:style w:type="character" w:customStyle="1" w:styleId="Symbols">
    <w:name w:val="Symbols"/>
    <w:basedOn w:val="DefaultParagraphFont"/>
    <w:rsid w:val="006C6E21"/>
    <w:rPr>
      <w:rFonts w:ascii="Symbol" w:hAnsi="Symbol"/>
    </w:rPr>
  </w:style>
  <w:style w:type="character" w:customStyle="1" w:styleId="MenuOptions">
    <w:name w:val="Menu Options"/>
    <w:basedOn w:val="DefaultParagraphFont"/>
    <w:rsid w:val="006C6E21"/>
    <w:rPr>
      <w:rFonts w:ascii="Arial Narrow" w:hAnsi="Arial Narrow"/>
      <w:smallCaps/>
    </w:rPr>
  </w:style>
  <w:style w:type="character" w:customStyle="1" w:styleId="Buttons">
    <w:name w:val="Buttons"/>
    <w:basedOn w:val="DefaultParagraphFont"/>
    <w:rsid w:val="006C6E21"/>
    <w:rPr>
      <w:b/>
    </w:rPr>
  </w:style>
  <w:style w:type="character" w:customStyle="1" w:styleId="Underlined">
    <w:name w:val="Underlined"/>
    <w:basedOn w:val="DefaultParagraphFont"/>
    <w:rsid w:val="006C6E21"/>
    <w:rPr>
      <w:u w:val="single"/>
    </w:rPr>
  </w:style>
  <w:style w:type="paragraph" w:customStyle="1" w:styleId="TableBodyTextRight">
    <w:name w:val="Table Body Text Right"/>
    <w:basedOn w:val="TableBodyText"/>
    <w:rsid w:val="006C6E21"/>
    <w:pPr>
      <w:widowControl w:val="0"/>
      <w:autoSpaceDE w:val="0"/>
      <w:autoSpaceDN w:val="0"/>
      <w:adjustRightInd w:val="0"/>
      <w:jc w:val="right"/>
    </w:pPr>
    <w:rPr>
      <w:rFonts w:cs="Arial"/>
      <w:szCs w:val="18"/>
    </w:rPr>
  </w:style>
  <w:style w:type="paragraph" w:customStyle="1" w:styleId="CopyrightText">
    <w:name w:val="Copyright Text"/>
    <w:basedOn w:val="BodyText"/>
    <w:rsid w:val="006C6E21"/>
    <w:rPr>
      <w:sz w:val="18"/>
    </w:rPr>
  </w:style>
  <w:style w:type="paragraph" w:customStyle="1" w:styleId="BodySmallRight">
    <w:name w:val="Body Small Right"/>
    <w:basedOn w:val="BodyTextRight"/>
    <w:rsid w:val="006C6E21"/>
    <w:rPr>
      <w:sz w:val="18"/>
      <w:szCs w:val="18"/>
    </w:rPr>
  </w:style>
  <w:style w:type="paragraph" w:customStyle="1" w:styleId="MarginEdition">
    <w:name w:val="Margin Edition"/>
    <w:basedOn w:val="MarginNote"/>
    <w:rsid w:val="006C6E21"/>
    <w:pPr>
      <w:spacing w:before="0" w:after="0"/>
    </w:pPr>
    <w:rPr>
      <w:rFonts w:ascii="Times New Roman" w:hAnsi="Times New Roman"/>
      <w:color w:val="999999"/>
    </w:rPr>
  </w:style>
  <w:style w:type="paragraph" w:customStyle="1" w:styleId="Spacer">
    <w:name w:val="Spacer"/>
    <w:basedOn w:val="Normal"/>
    <w:rsid w:val="006C6E21"/>
    <w:rPr>
      <w:sz w:val="2"/>
      <w:szCs w:val="2"/>
    </w:rPr>
  </w:style>
  <w:style w:type="character" w:customStyle="1" w:styleId="Small">
    <w:name w:val="Small"/>
    <w:basedOn w:val="DefaultParagraphFont"/>
    <w:rsid w:val="006C6E21"/>
    <w:rPr>
      <w:sz w:val="16"/>
    </w:rPr>
  </w:style>
  <w:style w:type="paragraph" w:customStyle="1" w:styleId="WideTable">
    <w:name w:val="Wide Table"/>
    <w:basedOn w:val="Normal"/>
    <w:rsid w:val="006C6E21"/>
    <w:pPr>
      <w:ind w:left="-1418"/>
    </w:pPr>
    <w:rPr>
      <w:sz w:val="2"/>
      <w:szCs w:val="2"/>
    </w:rPr>
  </w:style>
  <w:style w:type="character" w:styleId="PageNumber">
    <w:name w:val="page number"/>
    <w:basedOn w:val="DefaultParagraphFont"/>
    <w:rsid w:val="006C6E21"/>
  </w:style>
  <w:style w:type="paragraph" w:styleId="Quote">
    <w:name w:val="Quote"/>
    <w:basedOn w:val="Heading1"/>
    <w:link w:val="QuoteChar"/>
    <w:qFormat/>
    <w:rsid w:val="006C6E21"/>
    <w:rPr>
      <w:b w:val="0"/>
      <w:sz w:val="72"/>
      <w:szCs w:val="72"/>
      <w:lang w:val="en-NZ"/>
    </w:rPr>
  </w:style>
  <w:style w:type="character" w:customStyle="1" w:styleId="QuoteChar">
    <w:name w:val="Quote Char"/>
    <w:basedOn w:val="DefaultParagraphFont"/>
    <w:link w:val="Quote"/>
    <w:rsid w:val="006C6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E21"/>
    <w:pPr>
      <w:pageBreakBefore/>
    </w:pPr>
  </w:style>
  <w:style w:type="paragraph" w:customStyle="1" w:styleId="Border">
    <w:name w:val="Border"/>
    <w:basedOn w:val="Normal"/>
    <w:qFormat/>
    <w:rsid w:val="006C6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E21"/>
    <w:rPr>
      <w:b/>
      <w:bCs/>
      <w:i/>
      <w:iCs/>
      <w:color w:val="auto"/>
    </w:rPr>
  </w:style>
  <w:style w:type="paragraph" w:styleId="IntenseQuote">
    <w:name w:val="Intense Quote"/>
    <w:basedOn w:val="Normal"/>
    <w:next w:val="Normal"/>
    <w:link w:val="IntenseQuoteChar"/>
    <w:uiPriority w:val="30"/>
    <w:qFormat/>
    <w:rsid w:val="006C6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E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E21"/>
    <w:rPr>
      <w:smallCaps/>
      <w:color w:val="auto"/>
      <w:u w:val="single"/>
    </w:rPr>
  </w:style>
  <w:style w:type="character" w:styleId="IntenseReference">
    <w:name w:val="Intense Reference"/>
    <w:basedOn w:val="DefaultParagraphFont"/>
    <w:uiPriority w:val="32"/>
    <w:qFormat/>
    <w:rsid w:val="006C6E21"/>
    <w:rPr>
      <w:b/>
      <w:bCs/>
      <w:smallCaps/>
      <w:color w:val="auto"/>
      <w:spacing w:val="5"/>
      <w:u w:val="single"/>
    </w:rPr>
  </w:style>
  <w:style w:type="paragraph" w:customStyle="1" w:styleId="2ColumnHeading">
    <w:name w:val="2Column Heading"/>
    <w:basedOn w:val="BodyText"/>
    <w:qFormat/>
    <w:rsid w:val="006C6E21"/>
    <w:pPr>
      <w:spacing w:after="60"/>
      <w:ind w:left="-2268"/>
    </w:pPr>
    <w:rPr>
      <w:b/>
    </w:rPr>
  </w:style>
  <w:style w:type="paragraph" w:customStyle="1" w:styleId="Heading1TOC">
    <w:name w:val="Heading1 TOC"/>
    <w:basedOn w:val="Normal"/>
    <w:qFormat/>
    <w:rsid w:val="006C6E21"/>
    <w:pPr>
      <w:spacing w:before="240" w:after="120"/>
    </w:pPr>
    <w:rPr>
      <w:rFonts w:ascii="Times New Roman" w:hAnsi="Times New Roman"/>
      <w:b/>
      <w:sz w:val="32"/>
    </w:rPr>
  </w:style>
  <w:style w:type="paragraph" w:customStyle="1" w:styleId="Heading2TOC">
    <w:name w:val="Heading2 TOC"/>
    <w:basedOn w:val="Normal"/>
    <w:qFormat/>
    <w:rsid w:val="006C6E21"/>
    <w:pPr>
      <w:spacing w:before="240" w:after="60"/>
    </w:pPr>
    <w:rPr>
      <w:rFonts w:ascii="Times New Roman" w:hAnsi="Times New Roman"/>
      <w:b/>
      <w:sz w:val="28"/>
    </w:rPr>
  </w:style>
  <w:style w:type="character" w:customStyle="1" w:styleId="Underline">
    <w:name w:val="Underline"/>
    <w:basedOn w:val="DefaultParagraphFont"/>
    <w:qFormat/>
    <w:rsid w:val="006C6E21"/>
    <w:rPr>
      <w:u w:val="single"/>
    </w:rPr>
  </w:style>
  <w:style w:type="paragraph" w:styleId="BalloonText">
    <w:name w:val="Balloon Text"/>
    <w:basedOn w:val="Normal"/>
    <w:link w:val="BalloonTextChar"/>
    <w:rsid w:val="006C6E21"/>
    <w:rPr>
      <w:rFonts w:ascii="Tahoma" w:hAnsi="Tahoma" w:cs="Tahoma"/>
      <w:sz w:val="16"/>
      <w:szCs w:val="16"/>
    </w:rPr>
  </w:style>
  <w:style w:type="character" w:customStyle="1" w:styleId="BalloonTextChar">
    <w:name w:val="Balloon Text Char"/>
    <w:basedOn w:val="DefaultParagraphFont"/>
    <w:link w:val="BalloonText"/>
    <w:rsid w:val="006C6E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E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6196</Characters>
  <Application>Microsoft Office Word</Application>
  <DocSecurity>0</DocSecurity>
  <Lines>246</Lines>
  <Paragraphs>121</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CUEFOH10B Monitor entry to a venue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