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1D9" w:rsidP="001D21D9">
      <w:pPr>
        <w:pStyle w:val="Title"/>
      </w:pPr>
      <w:bookmarkStart w:id="0" w:name="_GoBack"/>
      <w:bookmarkEnd w:id="0"/>
      <w:r>
        <w:fldChar w:fldCharType="begin"/>
      </w:r>
      <w:r>
        <w:instrText xml:space="preserve"> TITLE   \* MERGEFORMAT </w:instrText>
      </w:r>
      <w:r>
        <w:fldChar w:fldCharType="separate"/>
      </w:r>
      <w:r>
        <w:t>CUEEVT03B Integrate knowledge of creative and technical production into management processes</w:t>
      </w:r>
      <w:r>
        <w:fldChar w:fldCharType="end"/>
      </w:r>
    </w:p>
    <w:p w:rsidR="001D21D9" w:rsidP="001D21D9">
      <w:pPr>
        <w:pStyle w:val="Version"/>
        <w:sectPr w:rsidSect="00CF7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653" w:rsidP="00CF7653">
      <w:pPr>
        <w:pStyle w:val="SuperHeading"/>
      </w:pPr>
      <w:r w:rsidRPr="00CF7653">
        <w:t>CUEEVT03B Integrate knowledge of creative and technical production into management processes</w:t>
      </w:r>
    </w:p>
    <w:p w:rsidR="00000000" w:rsidRPr="00CF7653" w:rsidP="00CF7653">
      <w:pPr>
        <w:pStyle w:val="Heading1"/>
      </w:pPr>
      <w:bookmarkStart w:id="1" w:name="O_69675"/>
      <w:bookmarkEnd w:id="1"/>
      <w:r w:rsidRPr="00CF7653">
        <w:t>Modification History</w:t>
      </w:r>
    </w:p>
    <w:p w:rsidR="00000000" w:rsidRPr="00CF7653" w:rsidP="00CF7653">
      <w:pPr>
        <w:pStyle w:val="BodyText"/>
      </w:pPr>
      <w:r w:rsidRPr="00CF7653">
        <w:t>Not applicable.</w:t>
      </w:r>
    </w:p>
    <w:p w:rsidR="00000000" w:rsidRPr="00CF7653" w:rsidP="00CF7653">
      <w:pPr>
        <w:pStyle w:val="AllowPageBreak"/>
      </w:pPr>
    </w:p>
    <w:p w:rsidR="00000000" w:rsidRPr="00CF7653" w:rsidP="00CF7653">
      <w:pPr>
        <w:pStyle w:val="Heading1"/>
      </w:pPr>
      <w:bookmarkStart w:id="2" w:name="O_69676"/>
      <w:bookmarkEnd w:id="2"/>
      <w:r w:rsidRPr="00CF7653">
        <w:t>Unit De</w:t>
      </w:r>
      <w:r w:rsidRPr="00CF7653">
        <w:t>scriptor</w:t>
      </w:r>
    </w:p>
    <w:tbl>
      <w:tblPr>
        <w:tblW w:w="0" w:type="auto"/>
        <w:tblLayout w:type="fixed"/>
        <w:tblCellMar>
          <w:left w:w="62" w:type="dxa"/>
          <w:right w:w="62" w:type="dxa"/>
        </w:tblCellMar>
        <w:tblLook w:val="0000"/>
      </w:tblPr>
      <w:tblGrid>
        <w:gridCol w:w="2668"/>
        <w:gridCol w:w="5854"/>
      </w:tblGrid>
      <w:tr w:rsidTr="001D21D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This unit describes the skills and knowledge required to integrate knowledge of both the creative and technical aspects of live event production into overall production and event management processes. .</w:t>
            </w:r>
          </w:p>
          <w:p w:rsidR="00000000" w:rsidRPr="00CF7653" w:rsidP="00CF7653">
            <w:pPr>
              <w:pStyle w:val="BodyText"/>
            </w:pPr>
          </w:p>
          <w:p w:rsidR="00000000" w:rsidRPr="00CF7653" w:rsidP="00CF7653">
            <w:pPr>
              <w:pStyle w:val="BodyText"/>
            </w:pPr>
            <w:r w:rsidRPr="00CF7653">
              <w:t xml:space="preserve">No licensing, legislative, </w:t>
            </w:r>
            <w:r w:rsidRPr="00CF7653">
              <w:t>regulatory or certification requirements apply to this unit at the time of endorsement.</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3" w:name="O_69677"/>
      <w:bookmarkEnd w:id="3"/>
      <w:r w:rsidRPr="00CF7653">
        <w:t>Application of the Unit</w:t>
      </w:r>
    </w:p>
    <w:tbl>
      <w:tblPr>
        <w:tblW w:w="0" w:type="auto"/>
        <w:tblLayout w:type="fixed"/>
        <w:tblCellMar>
          <w:left w:w="62" w:type="dxa"/>
          <w:right w:w="62" w:type="dxa"/>
        </w:tblCellMar>
        <w:tblLook w:val="0000"/>
      </w:tblPr>
      <w:tblGrid>
        <w:gridCol w:w="2743"/>
        <w:gridCol w:w="5779"/>
      </w:tblGrid>
      <w:tr w:rsidTr="001D21D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Event managers apply the skills and knowledge outlined in this unit. In this role they work with creative and technical personnel to realise concepts that underpin productions.</w:t>
            </w:r>
          </w:p>
          <w:p w:rsidR="00000000" w:rsidRPr="00CF7653" w:rsidP="00CF7653">
            <w:pPr>
              <w:pStyle w:val="BodyText"/>
            </w:pPr>
          </w:p>
          <w:p w:rsidR="00000000" w:rsidRPr="00CF7653" w:rsidP="00CF7653">
            <w:pPr>
              <w:pStyle w:val="BodyText"/>
            </w:pPr>
            <w:r w:rsidRPr="00CF7653">
              <w:t>This unit has linkages to a range of other event and production management uni</w:t>
            </w:r>
            <w:r w:rsidRPr="00CF7653">
              <w:t>ts, and combined assessment and or training with those units may be appropriate, e.g.:</w:t>
            </w:r>
          </w:p>
          <w:p w:rsidR="00000000" w:rsidRPr="00CF7653" w:rsidP="00CF7653">
            <w:pPr>
              <w:pStyle w:val="ListBullet"/>
            </w:pPr>
            <w:r w:rsidRPr="00CF7653">
              <w:t>SITXEVT009A Develop event concepts</w:t>
            </w:r>
          </w:p>
          <w:p w:rsidR="00000000" w:rsidRPr="00CF7653" w:rsidP="00CF7653">
            <w:pPr>
              <w:pStyle w:val="ListBullet"/>
            </w:pPr>
            <w:r w:rsidRPr="00CF7653">
              <w:t>SITXEVT012A Select event venues and sites.</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4" w:name="O_69678"/>
      <w:bookmarkEnd w:id="4"/>
      <w:r w:rsidRPr="00CF7653">
        <w:t>Licensing/Regulatory Information</w:t>
      </w:r>
    </w:p>
    <w:p w:rsidR="00000000" w:rsidRPr="00CF7653" w:rsidP="00CF7653">
      <w:pPr>
        <w:pStyle w:val="BodyText"/>
      </w:pPr>
      <w:r w:rsidRPr="00CF7653">
        <w:t>Not applicable.</w:t>
      </w:r>
    </w:p>
    <w:p w:rsidR="00000000" w:rsidRPr="00CF7653" w:rsidP="00CF7653">
      <w:pPr>
        <w:pStyle w:val="AllowPageBreak"/>
      </w:pPr>
    </w:p>
    <w:p w:rsidR="00000000" w:rsidRPr="00CF7653" w:rsidP="00CF7653">
      <w:pPr>
        <w:pStyle w:val="Heading1"/>
      </w:pPr>
      <w:bookmarkStart w:id="5" w:name="O_69680"/>
      <w:bookmarkEnd w:id="5"/>
      <w:r w:rsidRPr="00CF7653">
        <w:t>Pre-Requisites</w:t>
      </w:r>
    </w:p>
    <w:tbl>
      <w:tblPr>
        <w:tblW w:w="0" w:type="auto"/>
        <w:tblLayout w:type="fixed"/>
        <w:tblCellMar>
          <w:left w:w="62" w:type="dxa"/>
          <w:right w:w="62" w:type="dxa"/>
        </w:tblCellMar>
        <w:tblLook w:val="0000"/>
      </w:tblPr>
      <w:tblGrid>
        <w:gridCol w:w="2775"/>
        <w:gridCol w:w="1295"/>
        <w:gridCol w:w="4452"/>
      </w:tblGrid>
      <w:tr w:rsidTr="001D21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p>
        </w:tc>
      </w:tr>
      <w:tr w:rsidTr="001D21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p>
        </w:tc>
      </w:tr>
      <w:tr w:rsidTr="001D21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6" w:name="O_69679"/>
      <w:bookmarkEnd w:id="6"/>
      <w:r w:rsidRPr="00CF7653">
        <w:t>Employability Skills Information</w:t>
      </w:r>
    </w:p>
    <w:tbl>
      <w:tblPr>
        <w:tblW w:w="0" w:type="auto"/>
        <w:tblLayout w:type="fixed"/>
        <w:tblCellMar>
          <w:left w:w="62" w:type="dxa"/>
          <w:right w:w="62" w:type="dxa"/>
        </w:tblCellMar>
        <w:tblLook w:val="0000"/>
      </w:tblPr>
      <w:tblGrid>
        <w:gridCol w:w="2802"/>
        <w:gridCol w:w="5720"/>
      </w:tblGrid>
      <w:tr w:rsidTr="001D21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This unit contains employability skills.</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7" w:name="O_69681"/>
      <w:bookmarkEnd w:id="7"/>
      <w:r w:rsidRPr="00CF7653">
        <w:t>Elements and Performance Criteria Pre-Content</w:t>
      </w:r>
    </w:p>
    <w:tbl>
      <w:tblPr>
        <w:tblW w:w="0" w:type="auto"/>
        <w:tblLayout w:type="fixed"/>
        <w:tblCellMar>
          <w:left w:w="62" w:type="dxa"/>
          <w:right w:w="62" w:type="dxa"/>
        </w:tblCellMar>
        <w:tblLook w:val="0000"/>
      </w:tblPr>
      <w:tblGrid>
        <w:gridCol w:w="2554"/>
        <w:gridCol w:w="5968"/>
      </w:tblGrid>
      <w:tr w:rsidTr="001D21D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Performance criteria describe the performance needed to demonstrate achievement of the element. Where bold italicised text is used, further information is detailed in the required skills and</w:t>
            </w:r>
            <w:r w:rsidRPr="00CF7653">
              <w:t xml:space="preserve"> knowledge section and the range statement. Assessment of performance is to be consistent with the evidence guide.</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8" w:name="O_69682"/>
      <w:bookmarkEnd w:id="8"/>
      <w:r w:rsidRPr="00CF7653">
        <w:t>Elements and Performance Criteria</w:t>
      </w:r>
    </w:p>
    <w:tbl>
      <w:tblPr>
        <w:tblW w:w="0" w:type="auto"/>
        <w:tblLayout w:type="fixed"/>
        <w:tblCellMar>
          <w:left w:w="62" w:type="dxa"/>
          <w:right w:w="62" w:type="dxa"/>
        </w:tblCellMar>
        <w:tblLook w:val="0000"/>
      </w:tblPr>
      <w:tblGrid>
        <w:gridCol w:w="2554"/>
        <w:gridCol w:w="5968"/>
      </w:tblGrid>
      <w:tr w:rsidTr="001D21D9">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PERFORMANCE CRITERIA</w:t>
            </w:r>
          </w:p>
        </w:tc>
      </w:tr>
      <w:tr w:rsidTr="001D21D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List"/>
              <w:rPr>
                <w:lang w:val="en-NZ"/>
              </w:rPr>
            </w:pPr>
            <w:r w:rsidRPr="00CF7653">
              <w:t>1.</w:t>
            </w:r>
            <w:r w:rsidRPr="00CF7653">
              <w:tab/>
              <w:t>Assess key creative and technical production aspects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2"/>
            </w:pPr>
            <w:r w:rsidRPr="00CF7653">
              <w:t>1.1.</w:t>
            </w:r>
            <w:r w:rsidRPr="00CF7653">
              <w:tab/>
              <w:t xml:space="preserve">Identify the major </w:t>
            </w:r>
            <w:r w:rsidRPr="00CF7653">
              <w:rPr>
                <w:rStyle w:val="BoldandItalics"/>
              </w:rPr>
              <w:t>creative</w:t>
            </w:r>
            <w:r w:rsidRPr="00CF7653">
              <w:t xml:space="preserve"> and </w:t>
            </w:r>
            <w:r w:rsidRPr="00CF7653">
              <w:rPr>
                <w:rStyle w:val="BoldandItalics"/>
              </w:rPr>
              <w:t>technical aspects</w:t>
            </w:r>
            <w:r w:rsidRPr="00CF7653">
              <w:t xml:space="preserve"> of a production and the relevant personnel with whom liaison is required</w:t>
            </w:r>
          </w:p>
          <w:p w:rsidR="00000000" w:rsidP="00CF7653">
            <w:pPr>
              <w:pStyle w:val="List2"/>
              <w:rPr>
                <w:lang w:val="en-NZ"/>
              </w:rPr>
            </w:pPr>
            <w:r w:rsidRPr="00CF7653">
              <w:t>1.2.</w:t>
            </w:r>
            <w:r w:rsidRPr="00CF7653">
              <w:tab/>
              <w:t xml:space="preserve">Interpret </w:t>
            </w:r>
            <w:r w:rsidRPr="00CF7653">
              <w:rPr>
                <w:rStyle w:val="BoldandItalics"/>
              </w:rPr>
              <w:t>production documentation</w:t>
            </w:r>
            <w:r w:rsidRPr="00CF7653">
              <w:t xml:space="preserve"> correctly to inform assessment of creative and technical production needs</w:t>
            </w:r>
          </w:p>
        </w:tc>
      </w:tr>
      <w:tr w:rsidTr="001D21D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List"/>
              <w:rPr>
                <w:lang w:val="en-NZ"/>
              </w:rPr>
            </w:pPr>
            <w:r w:rsidRPr="00CF7653">
              <w:t>2.</w:t>
            </w:r>
            <w:r w:rsidRPr="00CF7653">
              <w:tab/>
              <w:t>Integrate know</w:t>
            </w:r>
            <w:r w:rsidRPr="00CF7653">
              <w:t>ledge of creative and technical production into work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2"/>
            </w:pPr>
            <w:r w:rsidRPr="00CF7653">
              <w:t>2.1.</w:t>
            </w:r>
            <w:r w:rsidRPr="00CF7653">
              <w:tab/>
              <w:t xml:space="preserve">Liaise with creative and technical personnel in a manner which </w:t>
            </w:r>
            <w:r w:rsidRPr="00CF7653">
              <w:rPr>
                <w:rStyle w:val="BoldandItalics"/>
              </w:rPr>
              <w:t>establishes trust and rapport</w:t>
            </w:r>
            <w:r w:rsidRPr="00CF7653">
              <w:t xml:space="preserve"> and shows an understanding of all areas of the production</w:t>
            </w:r>
          </w:p>
          <w:p w:rsidR="00000000" w:rsidRPr="00CF7653" w:rsidP="00CF7653">
            <w:pPr>
              <w:pStyle w:val="List2"/>
            </w:pPr>
            <w:r w:rsidRPr="00CF7653">
              <w:t>2.2.</w:t>
            </w:r>
            <w:r w:rsidRPr="00CF7653">
              <w:tab/>
            </w:r>
            <w:r w:rsidRPr="00CF7653">
              <w:t>Use knowledge of creative and technical aspects to participate in production decisions and facilitate outcomes which balance different production needs</w:t>
            </w:r>
          </w:p>
          <w:p w:rsidR="00000000" w:rsidP="00CF7653">
            <w:pPr>
              <w:pStyle w:val="List2"/>
              <w:rPr>
                <w:lang w:val="en-NZ"/>
              </w:rPr>
            </w:pPr>
            <w:r w:rsidRPr="00CF7653">
              <w:t>2.3.</w:t>
            </w:r>
            <w:r w:rsidRPr="00CF7653">
              <w:tab/>
              <w:t>Take account of creative and technical needs in the planning and implementation of projects</w:t>
            </w:r>
          </w:p>
        </w:tc>
      </w:tr>
      <w:tr w:rsidTr="001D21D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List"/>
              <w:rPr>
                <w:lang w:val="en-NZ"/>
              </w:rPr>
            </w:pPr>
            <w:r w:rsidRPr="00CF7653">
              <w:t>3.</w:t>
            </w:r>
            <w:r w:rsidRPr="00CF7653">
              <w:tab/>
              <w:t>Upd</w:t>
            </w:r>
            <w:r w:rsidRPr="00CF7653">
              <w:t>ate creative and technical production knowledge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2"/>
            </w:pPr>
            <w:r w:rsidRPr="00CF7653">
              <w:t>3.1.</w:t>
            </w:r>
            <w:r w:rsidRPr="00CF7653">
              <w:tab/>
              <w:t xml:space="preserve">Identify and use </w:t>
            </w:r>
            <w:r w:rsidRPr="00CF7653">
              <w:rPr>
                <w:rStyle w:val="BoldandItalics"/>
              </w:rPr>
              <w:t>opportunities to update knowledge</w:t>
            </w:r>
            <w:r w:rsidRPr="00CF7653">
              <w:t xml:space="preserve"> of current and emerging creative and technical trends</w:t>
            </w:r>
          </w:p>
          <w:p w:rsidR="00000000" w:rsidRPr="00CF7653" w:rsidP="00CF7653">
            <w:pPr>
              <w:pStyle w:val="List2"/>
            </w:pPr>
            <w:r w:rsidRPr="00CF7653">
              <w:t>3.2.</w:t>
            </w:r>
            <w:r w:rsidRPr="00CF7653">
              <w:tab/>
              <w:t>Incorporate updated knowledge appropriately into work activities</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9" w:name="O_69683"/>
      <w:bookmarkEnd w:id="9"/>
      <w:r w:rsidRPr="00CF7653">
        <w:t>Required Sk</w:t>
      </w:r>
      <w:r w:rsidRPr="00CF7653">
        <w:t>ills and Knowledge</w:t>
      </w:r>
    </w:p>
    <w:tbl>
      <w:tblPr>
        <w:tblW w:w="0" w:type="auto"/>
        <w:tblLayout w:type="fixed"/>
        <w:tblCellMar>
          <w:left w:w="62" w:type="dxa"/>
          <w:right w:w="62" w:type="dxa"/>
        </w:tblCellMar>
        <w:tblLook w:val="0000"/>
      </w:tblPr>
      <w:tblGrid>
        <w:gridCol w:w="8522"/>
      </w:tblGrid>
      <w:tr w:rsidTr="001D21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REQUIRED SKILLS AND KNOWLEDGE</w:t>
            </w:r>
          </w:p>
        </w:tc>
      </w:tr>
      <w:tr w:rsidTr="001D21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t>This section describes the skills and knowledge required for this unit.</w:t>
            </w:r>
          </w:p>
        </w:tc>
      </w:tr>
      <w:tr w:rsidTr="001D2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Required skills</w:t>
            </w:r>
          </w:p>
        </w:tc>
      </w:tr>
      <w:tr w:rsidTr="001D2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ListBullet"/>
              <w:rPr>
                <w:lang w:val="en-NZ"/>
              </w:rPr>
            </w:pPr>
            <w:r w:rsidRPr="00CF7653">
              <w:t>current industry trends in relation to creative and technical production</w:t>
            </w:r>
          </w:p>
        </w:tc>
      </w:tr>
      <w:tr w:rsidTr="001D2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Required knowledge</w:t>
            </w:r>
          </w:p>
        </w:tc>
      </w:tr>
      <w:tr w:rsidTr="001D2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Bullet"/>
            </w:pPr>
            <w:r w:rsidRPr="00CF7653">
              <w:t>general knowledge of technical and creative aspects of live production including:</w:t>
            </w:r>
          </w:p>
          <w:p w:rsidR="00000000" w:rsidRPr="00CF7653" w:rsidP="00CF7653">
            <w:pPr>
              <w:pStyle w:val="ListBullet2"/>
            </w:pPr>
            <w:r w:rsidRPr="00CF7653">
              <w:t>key roles and responsibilities</w:t>
            </w:r>
          </w:p>
          <w:p w:rsidR="00000000" w:rsidRPr="00CF7653" w:rsidP="00CF7653">
            <w:pPr>
              <w:pStyle w:val="ListBullet2"/>
            </w:pPr>
            <w:r w:rsidRPr="00CF7653">
              <w:t>technical terminology used in each area</w:t>
            </w:r>
          </w:p>
          <w:p w:rsidR="00000000" w:rsidRPr="00CF7653" w:rsidP="00CF7653">
            <w:pPr>
              <w:pStyle w:val="ListBullet2"/>
            </w:pPr>
            <w:r w:rsidRPr="00CF7653">
              <w:t>the design development realisation process</w:t>
            </w:r>
          </w:p>
          <w:p w:rsidR="00000000" w:rsidRPr="00CF7653" w:rsidP="00CF7653">
            <w:pPr>
              <w:pStyle w:val="ListBullet2"/>
            </w:pPr>
            <w:r w:rsidRPr="00CF7653">
              <w:t>the interrelationship between different production areas, i</w:t>
            </w:r>
            <w:r w:rsidRPr="00CF7653">
              <w:t>ncluding typical challenges</w:t>
            </w:r>
          </w:p>
          <w:p w:rsidR="00000000" w:rsidRPr="00CF7653" w:rsidP="00CF7653">
            <w:pPr>
              <w:pStyle w:val="ListBullet"/>
            </w:pPr>
            <w:r w:rsidRPr="00CF7653">
              <w:t>types of production and event management processes and techniques which foster an integrated approach</w:t>
            </w:r>
          </w:p>
          <w:p w:rsidR="00000000" w:rsidRPr="00CF7653" w:rsidP="00CF7653">
            <w:pPr>
              <w:pStyle w:val="ListBullet"/>
            </w:pPr>
            <w:r w:rsidRPr="00CF7653">
              <w:t>issues associated with balancing different production needs</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10" w:name="O_69684"/>
      <w:bookmarkEnd w:id="10"/>
      <w:r w:rsidRPr="00CF7653">
        <w:t>Evidence Guide</w:t>
      </w:r>
    </w:p>
    <w:tbl>
      <w:tblPr>
        <w:tblW w:w="9570" w:type="dxa"/>
        <w:tblLayout w:type="fixed"/>
        <w:tblCellMar>
          <w:left w:w="62" w:type="dxa"/>
          <w:right w:w="62" w:type="dxa"/>
        </w:tblCellMar>
        <w:tblLook w:val="0000"/>
      </w:tblPr>
      <w:tblGrid>
        <w:gridCol w:w="3908"/>
        <w:gridCol w:w="5662"/>
      </w:tblGrid>
      <w:tr w:rsidTr="001D21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EVIDENCE GUIDE</w:t>
            </w:r>
          </w:p>
        </w:tc>
      </w:tr>
      <w:tr w:rsidTr="001D21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t>The Evidence Guide provides advice on assessment and must be read in conjunction with the performance criteria, required skills and knowledge, range statement and the Assessment Guidelines for the Training Package.</w:t>
            </w:r>
          </w:p>
        </w:tc>
      </w:tr>
      <w:tr w:rsidTr="001D2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p>
        </w:tc>
      </w:tr>
      <w:tr w:rsidTr="001D2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Critical aspec</w:t>
            </w:r>
            <w:r w:rsidRPr="00CF765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The following evidence is critical to the judgement of competence in this unit:</w:t>
            </w:r>
          </w:p>
          <w:p w:rsidR="00000000" w:rsidRPr="00CF7653" w:rsidP="00CF7653">
            <w:pPr>
              <w:pStyle w:val="ListBullet"/>
            </w:pPr>
            <w:r w:rsidRPr="00CF7653">
              <w:t>current knowledge of the way in which the creative and technical aspects of a production are realised, including key roles and responsibilities of different personnel</w:t>
            </w:r>
          </w:p>
          <w:p w:rsidR="00000000" w:rsidP="00CF7653">
            <w:pPr>
              <w:pStyle w:val="ListBullet"/>
              <w:rPr>
                <w:lang w:val="en-NZ"/>
              </w:rPr>
            </w:pPr>
            <w:r w:rsidRPr="00CF7653">
              <w:t>effective use of knowledge within the planning or management of an event production.</w:t>
            </w:r>
          </w:p>
        </w:tc>
      </w:tr>
      <w:tr w:rsidTr="001D2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Con</w:t>
            </w:r>
            <w:r w:rsidRPr="00CF7653">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The assessment context must provide for:</w:t>
            </w:r>
          </w:p>
          <w:p w:rsidR="00000000" w:rsidP="00CF7653">
            <w:pPr>
              <w:pStyle w:val="ListBullet"/>
              <w:rPr>
                <w:lang w:val="en-NZ"/>
              </w:rPr>
            </w:pPr>
            <w:r w:rsidRPr="00CF7653">
              <w:t>application of knowledge to specific event and production management contexts, i.e. the management of a production event.</w:t>
            </w:r>
          </w:p>
        </w:tc>
      </w:tr>
      <w:tr w:rsidTr="001D2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Assessment may incorporat</w:t>
            </w:r>
            <w:r w:rsidRPr="00CF7653">
              <w:t>e a range of methods to assess performance and the application of essential underpinning knowledge, and might include:</w:t>
            </w:r>
          </w:p>
          <w:p w:rsidR="00000000" w:rsidRPr="00CF7653" w:rsidP="00CF7653">
            <w:pPr>
              <w:pStyle w:val="ListBullet"/>
            </w:pPr>
            <w:r w:rsidRPr="00CF7653">
              <w:t>evaluation of the management of an event for which the candidate has been responsible</w:t>
            </w:r>
          </w:p>
          <w:p w:rsidR="00000000" w:rsidRPr="00CF7653" w:rsidP="00CF7653">
            <w:pPr>
              <w:pStyle w:val="ListBullet"/>
            </w:pPr>
            <w:r w:rsidRPr="00CF7653">
              <w:t>case studies to assess ability to integrate knowled</w:t>
            </w:r>
            <w:r w:rsidRPr="00CF7653">
              <w:t>ge of creative and technical components into other management processes</w:t>
            </w:r>
          </w:p>
          <w:p w:rsidR="00000000" w:rsidRPr="00CF7653" w:rsidP="00CF7653">
            <w:pPr>
              <w:pStyle w:val="ListBullet"/>
            </w:pPr>
            <w:r w:rsidRPr="00CF7653">
              <w:t>oral or written questioning to assess knowledge of creative and technical issues</w:t>
            </w:r>
          </w:p>
          <w:p w:rsidR="00000000" w:rsidP="00CF7653">
            <w:pPr>
              <w:pStyle w:val="ListBullet"/>
              <w:rPr>
                <w:lang w:val="en-NZ"/>
              </w:rPr>
            </w:pPr>
            <w:r w:rsidRPr="00CF7653">
              <w:t>review of portfolios of evidence and third party workplace reports of on-the-job performance by the can</w:t>
            </w:r>
            <w:r w:rsidRPr="00CF7653">
              <w:t>didate.</w:t>
            </w:r>
          </w:p>
        </w:tc>
      </w:tr>
      <w:tr w:rsidTr="001D2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There are no particular resource requirements for assessment of this unit.</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11" w:name="O_69685"/>
      <w:bookmarkEnd w:id="11"/>
      <w:r w:rsidRPr="00CF7653">
        <w:t>Range Statement</w:t>
      </w:r>
    </w:p>
    <w:tbl>
      <w:tblPr>
        <w:tblW w:w="0" w:type="auto"/>
        <w:tblLayout w:type="fixed"/>
        <w:tblCellMar>
          <w:left w:w="62" w:type="dxa"/>
          <w:right w:w="62" w:type="dxa"/>
        </w:tblCellMar>
        <w:tblLook w:val="0000"/>
      </w:tblPr>
      <w:tblGrid>
        <w:gridCol w:w="3522"/>
        <w:gridCol w:w="5000"/>
      </w:tblGrid>
      <w:tr w:rsidTr="001D21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RANGE STATEMENT</w:t>
            </w:r>
          </w:p>
        </w:tc>
      </w:tr>
      <w:tr w:rsidTr="001D21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t>The range statement relates to the unit of competency as a whole. It allows for different work environments and situations that may affect performance. Bold italicised wording, if used in the performance criteria, is detailed below. Essential operating con</w:t>
            </w:r>
            <w:r w:rsidRPr="00CF7653">
              <w:t>ditions that may be present with training and assessment (depending on the work situation, needs of the candidate, accessibility of the item, and local industry and regional contexts) may also be included.</w:t>
            </w:r>
          </w:p>
        </w:tc>
      </w:tr>
      <w:tr w:rsidTr="001D21D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BoldandItalics"/>
              </w:rPr>
              <w:t>Creative aspects</w:t>
            </w:r>
            <w:r w:rsidRPr="00CF7653">
              <w:t xml:space="preserve"> of a production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Bullet"/>
            </w:pPr>
            <w:r w:rsidRPr="00CF7653">
              <w:t>cu</w:t>
            </w:r>
            <w:r w:rsidRPr="00CF7653">
              <w:t>ltural issues</w:t>
            </w:r>
          </w:p>
          <w:p w:rsidR="00000000" w:rsidRPr="00CF7653" w:rsidP="00CF7653">
            <w:pPr>
              <w:pStyle w:val="ListBullet"/>
            </w:pPr>
            <w:r w:rsidRPr="00CF7653">
              <w:t>design processes for major production aspects, including sets, lighting, sound and costume</w:t>
            </w:r>
          </w:p>
          <w:p w:rsidR="00000000" w:rsidP="00CF7653">
            <w:pPr>
              <w:pStyle w:val="ListBullet"/>
              <w:rPr>
                <w:lang w:val="en-NZ"/>
              </w:rPr>
            </w:pPr>
            <w:r w:rsidRPr="00CF7653">
              <w:t>the roles and working methods of creative personnel, e.g. director, designers, performers</w:t>
            </w:r>
          </w:p>
        </w:tc>
      </w:tr>
      <w:tr w:rsidTr="001D21D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BoldandItalics"/>
              </w:rPr>
              <w:t>Technical aspects</w:t>
            </w:r>
            <w:r w:rsidRPr="00CF7653">
              <w:t xml:space="preserve"> of a production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Bullet"/>
            </w:pPr>
            <w:r w:rsidRPr="00CF7653">
              <w:t>audio</w:t>
            </w:r>
          </w:p>
          <w:p w:rsidR="00000000" w:rsidRPr="00CF7653" w:rsidP="00CF7653">
            <w:pPr>
              <w:pStyle w:val="ListBullet"/>
            </w:pPr>
            <w:r w:rsidRPr="00CF7653">
              <w:t>audiovisual</w:t>
            </w:r>
          </w:p>
          <w:p w:rsidR="00000000" w:rsidRPr="00CF7653" w:rsidP="00CF7653">
            <w:pPr>
              <w:pStyle w:val="ListBullet"/>
            </w:pPr>
            <w:r w:rsidRPr="00CF7653">
              <w:t>lighting</w:t>
            </w:r>
          </w:p>
          <w:p w:rsidR="00000000" w:rsidP="00CF7653">
            <w:pPr>
              <w:pStyle w:val="ListBullet"/>
              <w:rPr>
                <w:lang w:val="en-NZ"/>
              </w:rPr>
            </w:pPr>
            <w:r w:rsidRPr="00CF7653">
              <w:t>staging</w:t>
            </w:r>
          </w:p>
        </w:tc>
      </w:tr>
      <w:tr w:rsidTr="001D21D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BoldandItalics"/>
              </w:rPr>
              <w:t>Production documentation</w:t>
            </w:r>
            <w:r w:rsidRPr="00CF765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Bullet"/>
            </w:pPr>
            <w:r w:rsidRPr="00CF7653">
              <w:t>cue sheets</w:t>
            </w:r>
          </w:p>
          <w:p w:rsidR="00000000" w:rsidRPr="00CF7653" w:rsidP="00CF7653">
            <w:pPr>
              <w:pStyle w:val="ListBullet"/>
            </w:pPr>
            <w:r w:rsidRPr="00CF7653">
              <w:t>designs and plans, e.g. lighting, costume, sound</w:t>
            </w:r>
          </w:p>
          <w:p w:rsidR="00000000" w:rsidP="00CF7653">
            <w:pPr>
              <w:pStyle w:val="ListBullet"/>
              <w:rPr>
                <w:lang w:val="en-NZ"/>
              </w:rPr>
            </w:pPr>
            <w:r w:rsidRPr="00CF7653">
              <w:t>scripts</w:t>
            </w:r>
          </w:p>
        </w:tc>
      </w:tr>
      <w:tr w:rsidTr="001D21D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t xml:space="preserve">Ways of </w:t>
            </w:r>
            <w:r w:rsidRPr="00CF7653">
              <w:rPr>
                <w:rStyle w:val="BoldandItalics"/>
              </w:rPr>
              <w:t>establishing trust and rapport</w:t>
            </w:r>
            <w:r w:rsidRPr="00CF7653">
              <w:t xml:space="preserve"> with creative and technical personnel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Bullet"/>
            </w:pPr>
            <w:r w:rsidRPr="00CF7653">
              <w:t xml:space="preserve">acknowledging the importance </w:t>
            </w:r>
            <w:r w:rsidRPr="00CF7653">
              <w:t>of creative or technical expertise in the overall event management process</w:t>
            </w:r>
          </w:p>
          <w:p w:rsidR="00000000" w:rsidRPr="00CF7653" w:rsidP="00CF7653">
            <w:pPr>
              <w:pStyle w:val="ListBullet"/>
            </w:pPr>
            <w:r w:rsidRPr="00CF7653">
              <w:t>demonstrating a broad understanding of technical or creative issues</w:t>
            </w:r>
          </w:p>
          <w:p w:rsidR="00000000" w:rsidRPr="00CF7653" w:rsidP="00CF7653">
            <w:pPr>
              <w:pStyle w:val="ListBullet"/>
            </w:pPr>
            <w:r w:rsidRPr="00CF7653">
              <w:t>ensuring currency of knowledge in relation to progress of technical or creative aspects</w:t>
            </w:r>
          </w:p>
          <w:p w:rsidR="00000000" w:rsidP="00CF7653">
            <w:pPr>
              <w:pStyle w:val="ListBullet"/>
              <w:rPr>
                <w:lang w:val="en-NZ"/>
              </w:rPr>
            </w:pPr>
            <w:r w:rsidRPr="00CF7653">
              <w:t>pro-actively working with</w:t>
            </w:r>
            <w:r w:rsidRPr="00CF7653">
              <w:t xml:space="preserve"> colleagues to identify key technical or creative issues and challenges</w:t>
            </w:r>
          </w:p>
        </w:tc>
      </w:tr>
      <w:tr w:rsidTr="001D21D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BoldandItalics"/>
              </w:rPr>
              <w:t>Opportunities to update knowledge</w:t>
            </w:r>
            <w:r w:rsidRPr="00CF765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ListBullet"/>
            </w:pPr>
            <w:r w:rsidRPr="00CF7653">
              <w:t>formal and informal research</w:t>
            </w:r>
          </w:p>
          <w:p w:rsidR="00000000" w:rsidRPr="00CF7653" w:rsidP="00CF7653">
            <w:pPr>
              <w:pStyle w:val="ListBullet"/>
            </w:pPr>
            <w:r w:rsidRPr="00CF7653">
              <w:t>industry seminars</w:t>
            </w:r>
          </w:p>
          <w:p w:rsidR="00000000" w:rsidRPr="00CF7653" w:rsidP="00CF7653">
            <w:pPr>
              <w:pStyle w:val="ListBullet"/>
            </w:pPr>
            <w:r w:rsidRPr="00CF7653">
              <w:t>informal discussions with colleagues</w:t>
            </w:r>
          </w:p>
          <w:p w:rsidR="00000000" w:rsidRPr="00CF7653" w:rsidP="00CF7653">
            <w:pPr>
              <w:pStyle w:val="ListBullet"/>
            </w:pPr>
            <w:r w:rsidRPr="00CF7653">
              <w:t>Internet</w:t>
            </w:r>
          </w:p>
        </w:tc>
      </w:tr>
    </w:tbl>
    <w:p w:rsidR="001D21D9" w:rsidP="00CF7653">
      <w:pPr>
        <w:pStyle w:val="BodyText"/>
      </w:pPr>
    </w:p>
    <w:p w:rsidR="001D21D9" w:rsidP="00CF7653">
      <w:pPr>
        <w:pStyle w:val="BodyText"/>
      </w:pPr>
    </w:p>
    <w:p w:rsidR="00000000" w:rsidRPr="00CF7653" w:rsidP="00CF7653">
      <w:pPr>
        <w:pStyle w:val="Heading1"/>
      </w:pPr>
      <w:bookmarkStart w:id="12" w:name="O_69686"/>
      <w:bookmarkEnd w:id="12"/>
      <w:r w:rsidRPr="00CF7653">
        <w:t>Unit Sector(s)</w:t>
      </w:r>
    </w:p>
    <w:tbl>
      <w:tblPr>
        <w:tblW w:w="0" w:type="auto"/>
        <w:tblLayout w:type="fixed"/>
        <w:tblCellMar>
          <w:left w:w="62" w:type="dxa"/>
          <w:right w:w="62" w:type="dxa"/>
        </w:tblCellMar>
        <w:tblLook w:val="0000"/>
      </w:tblPr>
      <w:tblGrid>
        <w:gridCol w:w="2654"/>
        <w:gridCol w:w="5868"/>
      </w:tblGrid>
      <w:tr w:rsidTr="001D21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13" w:name="O_154905"/>
      <w:bookmarkEnd w:id="13"/>
      <w:r w:rsidRPr="00CF7653">
        <w:t>Competency field</w:t>
      </w:r>
    </w:p>
    <w:tbl>
      <w:tblPr>
        <w:tblW w:w="0" w:type="auto"/>
        <w:tblLayout w:type="fixed"/>
        <w:tblCellMar>
          <w:left w:w="62" w:type="dxa"/>
          <w:right w:w="62" w:type="dxa"/>
        </w:tblCellMar>
        <w:tblLook w:val="0000"/>
      </w:tblPr>
      <w:tblGrid>
        <w:gridCol w:w="2774"/>
        <w:gridCol w:w="5748"/>
      </w:tblGrid>
      <w:tr w:rsidTr="001D21D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r w:rsidRPr="00CF7653">
              <w:t>Management and leadership - event management</w:t>
            </w:r>
          </w:p>
        </w:tc>
      </w:tr>
    </w:tbl>
    <w:p w:rsidR="00000000" w:rsidRPr="00CF7653" w:rsidP="00CF7653">
      <w:pPr>
        <w:pStyle w:val="BodyText"/>
      </w:pPr>
    </w:p>
    <w:p w:rsidR="00000000" w:rsidRPr="00CF7653" w:rsidP="00CF7653">
      <w:pPr>
        <w:pStyle w:val="AllowPageBreak"/>
      </w:pPr>
    </w:p>
    <w:p w:rsidR="00000000" w:rsidRPr="00CF7653" w:rsidP="00CF7653">
      <w:pPr>
        <w:pStyle w:val="Heading1"/>
      </w:pPr>
      <w:bookmarkStart w:id="14" w:name="O_154904"/>
      <w:bookmarkEnd w:id="14"/>
      <w:r w:rsidRPr="00CF7653">
        <w:t>Co-requisite units</w:t>
      </w:r>
    </w:p>
    <w:tbl>
      <w:tblPr>
        <w:tblW w:w="0" w:type="auto"/>
        <w:tblLayout w:type="fixed"/>
        <w:tblCellMar>
          <w:left w:w="62" w:type="dxa"/>
          <w:right w:w="62" w:type="dxa"/>
        </w:tblCellMar>
        <w:tblLook w:val="0000"/>
      </w:tblPr>
      <w:tblGrid>
        <w:gridCol w:w="2641"/>
        <w:gridCol w:w="1322"/>
        <w:gridCol w:w="4559"/>
      </w:tblGrid>
      <w:tr w:rsidTr="001D21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r w:rsidRPr="00CF76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p>
        </w:tc>
      </w:tr>
      <w:tr w:rsidTr="001D21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653">
            <w:pPr>
              <w:pStyle w:val="BodyText"/>
              <w:rPr>
                <w:lang w:val="en-NZ"/>
              </w:rPr>
            </w:pPr>
          </w:p>
        </w:tc>
      </w:tr>
      <w:tr w:rsidTr="001D21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653" w:rsidP="00CF7653">
            <w:pPr>
              <w:pStyle w:val="BodyText"/>
            </w:pPr>
          </w:p>
        </w:tc>
      </w:tr>
    </w:tbl>
    <w:p w:rsidR="00000000" w:rsidRPr="00CF7653" w:rsidP="00CF7653">
      <w:pPr>
        <w:pStyle w:val="BodyText"/>
      </w:pPr>
    </w:p>
    <w:p w:rsidR="00000000" w:rsidRPr="00CF7653" w:rsidP="00CF7653"/>
    <w:sectPr w:rsidSect="00CF7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1D9" w:rsidP="001D21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D9" w:rsidP="00CF76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21D9" w:rsidP="00CF7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21D9" w:rsidP="00CF7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53" w:rsidRPr="001D21D9" w:rsidP="001D21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D9" w:rsidRPr="002D2AF8" w:rsidP="00CF7653">
    <w:pPr>
      <w:pStyle w:val="Header"/>
      <w:framePr w:wrap="around"/>
    </w:pPr>
    <w:r>
      <w:fldChar w:fldCharType="begin"/>
    </w:r>
    <w:r>
      <w:instrText xml:space="preserve"> TITLE   \* MERGEFORMAT </w:instrText>
    </w:r>
    <w:r>
      <w:fldChar w:fldCharType="separate"/>
    </w:r>
    <w:r>
      <w:t>CUEEVT03B Integrate knowledge of creative and technical production into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D21D9" w:rsidP="00CF7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C9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88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08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653"/>
    <w:pPr>
      <w:spacing w:before="360" w:after="60"/>
      <w:outlineLvl w:val="0"/>
    </w:pPr>
    <w:rPr>
      <w:sz w:val="32"/>
    </w:rPr>
  </w:style>
  <w:style w:type="paragraph" w:styleId="Heading2">
    <w:name w:val="heading 2"/>
    <w:basedOn w:val="HeadingBase"/>
    <w:next w:val="BodyText"/>
    <w:link w:val="Heading2Char"/>
    <w:qFormat/>
    <w:rsid w:val="00CF7653"/>
    <w:pPr>
      <w:keepLines/>
      <w:spacing w:before="240" w:after="120"/>
      <w:outlineLvl w:val="1"/>
    </w:pPr>
    <w:rPr>
      <w:sz w:val="28"/>
      <w:szCs w:val="40"/>
    </w:rPr>
  </w:style>
  <w:style w:type="paragraph" w:styleId="Heading3">
    <w:name w:val="heading 3"/>
    <w:basedOn w:val="HeadingBase"/>
    <w:next w:val="BodyText"/>
    <w:link w:val="Heading3Char"/>
    <w:qFormat/>
    <w:rsid w:val="00CF7653"/>
    <w:pPr>
      <w:spacing w:before="180" w:after="120"/>
      <w:outlineLvl w:val="2"/>
    </w:pPr>
    <w:rPr>
      <w:spacing w:val="-10"/>
      <w:kern w:val="32"/>
    </w:rPr>
  </w:style>
  <w:style w:type="paragraph" w:styleId="Heading4">
    <w:name w:val="heading 4"/>
    <w:basedOn w:val="HeadingBase"/>
    <w:next w:val="BodyText"/>
    <w:link w:val="Heading4Char"/>
    <w:qFormat/>
    <w:rsid w:val="00CF7653"/>
    <w:pPr>
      <w:spacing w:before="160" w:after="120"/>
      <w:outlineLvl w:val="3"/>
    </w:pPr>
    <w:rPr>
      <w:sz w:val="22"/>
    </w:rPr>
  </w:style>
  <w:style w:type="paragraph" w:styleId="Heading5">
    <w:name w:val="heading 5"/>
    <w:basedOn w:val="HeadingBase"/>
    <w:next w:val="Normal"/>
    <w:link w:val="Heading5Char"/>
    <w:qFormat/>
    <w:rsid w:val="00CF7653"/>
    <w:pPr>
      <w:spacing w:before="80"/>
      <w:outlineLvl w:val="4"/>
    </w:pPr>
    <w:rPr>
      <w:color w:val="918585"/>
      <w:sz w:val="20"/>
    </w:rPr>
  </w:style>
  <w:style w:type="paragraph" w:styleId="Heading6">
    <w:name w:val="heading 6"/>
    <w:basedOn w:val="HeadingBase"/>
    <w:next w:val="Normal"/>
    <w:link w:val="Heading6Char"/>
    <w:qFormat/>
    <w:rsid w:val="00CF7653"/>
    <w:pPr>
      <w:spacing w:before="60"/>
      <w:outlineLvl w:val="5"/>
    </w:pPr>
    <w:rPr>
      <w:color w:val="918585"/>
      <w:sz w:val="20"/>
    </w:rPr>
  </w:style>
  <w:style w:type="paragraph" w:styleId="Heading7">
    <w:name w:val="heading 7"/>
    <w:basedOn w:val="Normal"/>
    <w:next w:val="Normal"/>
    <w:link w:val="Heading7Char"/>
    <w:qFormat/>
    <w:rsid w:val="00CF7653"/>
    <w:pPr>
      <w:ind w:left="720"/>
      <w:outlineLvl w:val="6"/>
    </w:pPr>
    <w:rPr>
      <w:i/>
    </w:rPr>
  </w:style>
  <w:style w:type="paragraph" w:styleId="Heading8">
    <w:name w:val="heading 8"/>
    <w:basedOn w:val="Normal"/>
    <w:next w:val="Normal"/>
    <w:link w:val="Heading8Char"/>
    <w:qFormat/>
    <w:rsid w:val="00CF7653"/>
    <w:pPr>
      <w:ind w:left="720"/>
      <w:outlineLvl w:val="7"/>
    </w:pPr>
    <w:rPr>
      <w:i/>
    </w:rPr>
  </w:style>
  <w:style w:type="paragraph" w:styleId="Heading9">
    <w:name w:val="heading 9"/>
    <w:basedOn w:val="Normal"/>
    <w:next w:val="Normal"/>
    <w:link w:val="Heading9Char"/>
    <w:qFormat/>
    <w:rsid w:val="00CF7653"/>
    <w:pPr>
      <w:ind w:left="720"/>
      <w:outlineLvl w:val="8"/>
    </w:pPr>
    <w:rPr>
      <w:i/>
    </w:rPr>
  </w:style>
  <w:style w:type="character" w:default="1" w:styleId="DefaultParagraphFont">
    <w:name w:val="Default Paragraph Font"/>
    <w:uiPriority w:val="1"/>
    <w:unhideWhenUsed/>
    <w:rsid w:val="00CF7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653"/>
  </w:style>
  <w:style w:type="character" w:customStyle="1" w:styleId="Heading1Char">
    <w:name w:val="Heading 1 Char"/>
    <w:basedOn w:val="DefaultParagraphFont"/>
    <w:link w:val="Heading1"/>
    <w:rsid w:val="00CF7653"/>
    <w:rPr>
      <w:rFonts w:ascii="Times New Roman" w:eastAsia="Times New Roman" w:hAnsi="Times New Roman" w:cs="Times New Roman"/>
      <w:b/>
      <w:sz w:val="32"/>
      <w:szCs w:val="20"/>
      <w:lang w:eastAsia="en-US"/>
    </w:rPr>
  </w:style>
  <w:style w:type="paragraph" w:styleId="BodyText">
    <w:name w:val="Body Text"/>
    <w:basedOn w:val="Normal"/>
    <w:link w:val="BodyTextChar"/>
    <w:rsid w:val="00CF7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653"/>
    <w:rPr>
      <w:rFonts w:ascii="Times New Roman" w:eastAsia="Times New Roman" w:hAnsi="Times New Roman" w:cs="Times New Roman"/>
      <w:sz w:val="24"/>
      <w:lang w:eastAsia="en-US"/>
    </w:rPr>
  </w:style>
  <w:style w:type="paragraph" w:styleId="Footer">
    <w:name w:val="footer"/>
    <w:basedOn w:val="Normal"/>
    <w:link w:val="FooterChar"/>
    <w:rsid w:val="00CF7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653"/>
    <w:rPr>
      <w:rFonts w:ascii="Times New Roman" w:eastAsia="Times New Roman" w:hAnsi="Times New Roman" w:cs="Times New Roman"/>
      <w:sz w:val="16"/>
      <w:lang w:eastAsia="en-US"/>
    </w:rPr>
  </w:style>
  <w:style w:type="paragraph" w:styleId="List">
    <w:name w:val="List"/>
    <w:basedOn w:val="BodyText"/>
    <w:next w:val="BodyText"/>
    <w:rsid w:val="00CF7653"/>
    <w:pPr>
      <w:tabs>
        <w:tab w:val="left" w:pos="340"/>
      </w:tabs>
      <w:spacing w:before="60" w:after="60"/>
      <w:ind w:left="340" w:hanging="340"/>
    </w:pPr>
  </w:style>
  <w:style w:type="paragraph" w:styleId="ListBullet">
    <w:name w:val="List Bullet"/>
    <w:basedOn w:val="List"/>
    <w:rsid w:val="00CF7653"/>
    <w:pPr>
      <w:numPr>
        <w:numId w:val="13"/>
      </w:numPr>
      <w:tabs>
        <w:tab w:val="clear" w:pos="340"/>
      </w:tabs>
      <w:spacing w:before="40" w:after="40"/>
    </w:pPr>
  </w:style>
  <w:style w:type="character" w:customStyle="1" w:styleId="SpecialBold">
    <w:name w:val="Special Bold"/>
    <w:basedOn w:val="DefaultParagraphFont"/>
    <w:rsid w:val="00CF7653"/>
    <w:rPr>
      <w:b/>
      <w:spacing w:val="0"/>
    </w:rPr>
  </w:style>
  <w:style w:type="paragraph" w:styleId="ListBullet2">
    <w:name w:val="List Bullet 2"/>
    <w:basedOn w:val="List2"/>
    <w:rsid w:val="00CF7653"/>
    <w:pPr>
      <w:numPr>
        <w:numId w:val="14"/>
      </w:numPr>
      <w:tabs>
        <w:tab w:val="clear" w:pos="680"/>
      </w:tabs>
    </w:pPr>
  </w:style>
  <w:style w:type="paragraph" w:customStyle="1" w:styleId="SuperHeading">
    <w:name w:val="SuperHeading"/>
    <w:basedOn w:val="Normal"/>
    <w:rsid w:val="00CF7653"/>
    <w:pPr>
      <w:spacing w:before="240" w:after="120"/>
      <w:outlineLvl w:val="0"/>
    </w:pPr>
    <w:rPr>
      <w:rFonts w:ascii="Times New Roman" w:hAnsi="Times New Roman"/>
      <w:b/>
      <w:sz w:val="28"/>
    </w:rPr>
  </w:style>
  <w:style w:type="paragraph" w:customStyle="1" w:styleId="AllowPageBreak">
    <w:name w:val="AllowPageBreak"/>
    <w:rsid w:val="00CF76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653"/>
    <w:pPr>
      <w:tabs>
        <w:tab w:val="left" w:pos="680"/>
      </w:tabs>
      <w:spacing w:before="60" w:after="60"/>
      <w:ind w:left="680" w:hanging="340"/>
    </w:pPr>
  </w:style>
  <w:style w:type="character" w:customStyle="1" w:styleId="BoldandItalics">
    <w:name w:val="Bold and Italics"/>
    <w:qFormat/>
    <w:rsid w:val="00CF7653"/>
    <w:rPr>
      <w:b/>
      <w:i/>
      <w:u w:val="none"/>
    </w:rPr>
  </w:style>
  <w:style w:type="character" w:customStyle="1" w:styleId="Heading2Char">
    <w:name w:val="Heading 2 Char"/>
    <w:basedOn w:val="DefaultParagraphFont"/>
    <w:link w:val="Heading2"/>
    <w:rsid w:val="00CF7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653"/>
    <w:rPr>
      <w:rFonts w:ascii="Courier New" w:eastAsia="Times New Roman" w:hAnsi="Courier New" w:cs="Times New Roman"/>
      <w:i/>
      <w:szCs w:val="20"/>
      <w:lang w:eastAsia="en-US"/>
    </w:rPr>
  </w:style>
  <w:style w:type="paragraph" w:customStyle="1" w:styleId="HeadingBase">
    <w:name w:val="Heading Base"/>
    <w:rsid w:val="00CF7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653"/>
    <w:pPr>
      <w:tabs>
        <w:tab w:val="right" w:leader="dot" w:pos="9072"/>
      </w:tabs>
      <w:ind w:left="567"/>
    </w:pPr>
    <w:rPr>
      <w:szCs w:val="22"/>
    </w:rPr>
  </w:style>
  <w:style w:type="paragraph" w:customStyle="1" w:styleId="TOCBase">
    <w:name w:val="TOC Base"/>
    <w:rsid w:val="00CF7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653"/>
    <w:pPr>
      <w:tabs>
        <w:tab w:val="right" w:leader="dot" w:pos="9072"/>
      </w:tabs>
      <w:spacing w:before="40" w:after="40"/>
      <w:ind w:left="284"/>
    </w:pPr>
    <w:rPr>
      <w:rFonts w:ascii="Times New Roman" w:hAnsi="Times New Roman"/>
    </w:rPr>
  </w:style>
  <w:style w:type="paragraph" w:styleId="TOC1">
    <w:name w:val="toc 1"/>
    <w:basedOn w:val="TOCBase"/>
    <w:next w:val="Normal"/>
    <w:rsid w:val="00CF7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653"/>
    <w:pPr>
      <w:spacing w:before="5040"/>
      <w:jc w:val="center"/>
    </w:pPr>
    <w:rPr>
      <w:sz w:val="48"/>
      <w:szCs w:val="72"/>
      <w:lang w:val="en-US"/>
    </w:rPr>
  </w:style>
  <w:style w:type="character" w:customStyle="1" w:styleId="TitleChar">
    <w:name w:val="Title Char"/>
    <w:basedOn w:val="DefaultParagraphFont"/>
    <w:link w:val="Title"/>
    <w:rsid w:val="00CF7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653"/>
    <w:pPr>
      <w:tabs>
        <w:tab w:val="left" w:pos="3600"/>
        <w:tab w:val="left" w:pos="3958"/>
      </w:tabs>
    </w:pPr>
  </w:style>
  <w:style w:type="paragraph" w:customStyle="1" w:styleId="Note">
    <w:name w:val="Note"/>
    <w:basedOn w:val="BodyText"/>
    <w:rsid w:val="00CF7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653"/>
    <w:pPr>
      <w:framePr w:wrap="auto" w:hAnchor="text" w:y="6049"/>
    </w:pPr>
    <w:rPr>
      <w:color w:val="000000"/>
      <w:sz w:val="40"/>
    </w:rPr>
  </w:style>
  <w:style w:type="paragraph" w:customStyle="1" w:styleId="TOCTitle">
    <w:name w:val="TOCTitle"/>
    <w:basedOn w:val="Heading1"/>
    <w:rsid w:val="00CF7653"/>
    <w:pPr>
      <w:spacing w:after="240"/>
      <w:jc w:val="center"/>
      <w:outlineLvl w:val="9"/>
    </w:pPr>
    <w:rPr>
      <w:caps/>
    </w:rPr>
  </w:style>
  <w:style w:type="paragraph" w:customStyle="1" w:styleId="Version">
    <w:name w:val="Version"/>
    <w:rsid w:val="00CF7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653"/>
    <w:pPr>
      <w:keepNext w:val="0"/>
      <w:tabs>
        <w:tab w:val="right" w:pos="4176"/>
      </w:tabs>
      <w:ind w:left="198" w:hanging="198"/>
    </w:pPr>
    <w:rPr>
      <w:rFonts w:ascii="Garamond" w:hAnsi="Garamond"/>
    </w:rPr>
  </w:style>
  <w:style w:type="paragraph" w:styleId="IndexHeading">
    <w:name w:val="index heading"/>
    <w:basedOn w:val="Normal"/>
    <w:next w:val="Index1"/>
    <w:semiHidden/>
    <w:rsid w:val="00CF7653"/>
    <w:pPr>
      <w:spacing w:before="120" w:after="120"/>
    </w:pPr>
    <w:rPr>
      <w:rFonts w:ascii="Arial" w:hAnsi="Arial"/>
      <w:b/>
      <w:color w:val="918585"/>
      <w:sz w:val="24"/>
    </w:rPr>
  </w:style>
  <w:style w:type="paragraph" w:styleId="Header">
    <w:name w:val="header"/>
    <w:basedOn w:val="Normal"/>
    <w:link w:val="HeaderChar"/>
    <w:rsid w:val="00CF7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653"/>
    <w:rPr>
      <w:rFonts w:ascii="Times New Roman" w:eastAsia="Times New Roman" w:hAnsi="Times New Roman" w:cs="Times New Roman"/>
      <w:sz w:val="16"/>
      <w:szCs w:val="20"/>
      <w:lang w:val="en-GB" w:eastAsia="en-US"/>
    </w:rPr>
  </w:style>
  <w:style w:type="paragraph" w:customStyle="1" w:styleId="Chapter">
    <w:name w:val="Chapter"/>
    <w:basedOn w:val="Normal"/>
    <w:rsid w:val="00CF7653"/>
    <w:pPr>
      <w:spacing w:before="240"/>
    </w:pPr>
    <w:rPr>
      <w:rFonts w:ascii="Times New Roman" w:hAnsi="Times New Roman"/>
      <w:smallCaps/>
      <w:spacing w:val="80"/>
      <w:sz w:val="28"/>
    </w:rPr>
  </w:style>
  <w:style w:type="paragraph" w:customStyle="1" w:styleId="InChapter">
    <w:name w:val="InChapter"/>
    <w:basedOn w:val="Heading3"/>
    <w:rsid w:val="00CF7653"/>
    <w:pPr>
      <w:spacing w:after="240"/>
      <w:outlineLvl w:val="9"/>
    </w:pPr>
    <w:rPr>
      <w:noProof/>
    </w:rPr>
  </w:style>
  <w:style w:type="paragraph" w:styleId="Index2">
    <w:name w:val="index 2"/>
    <w:basedOn w:val="Normal"/>
    <w:next w:val="Normal"/>
    <w:semiHidden/>
    <w:rsid w:val="00CF7653"/>
    <w:pPr>
      <w:tabs>
        <w:tab w:val="right" w:pos="4176"/>
      </w:tabs>
      <w:ind w:left="568" w:hanging="284"/>
    </w:pPr>
    <w:rPr>
      <w:rFonts w:ascii="Garamond" w:hAnsi="Garamond"/>
    </w:rPr>
  </w:style>
  <w:style w:type="paragraph" w:customStyle="1" w:styleId="Byline">
    <w:name w:val="Byline"/>
    <w:rsid w:val="00CF7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653"/>
    <w:pPr>
      <w:tabs>
        <w:tab w:val="clear" w:pos="3600"/>
        <w:tab w:val="clear" w:pos="3958"/>
      </w:tabs>
      <w:jc w:val="right"/>
    </w:pPr>
  </w:style>
  <w:style w:type="character" w:styleId="Emphasis">
    <w:name w:val="Emphasis"/>
    <w:basedOn w:val="DefaultParagraphFont"/>
    <w:qFormat/>
    <w:rsid w:val="00CF7653"/>
    <w:rPr>
      <w:i/>
    </w:rPr>
  </w:style>
  <w:style w:type="paragraph" w:styleId="Caption">
    <w:name w:val="caption"/>
    <w:basedOn w:val="BodyText"/>
    <w:next w:val="Normal"/>
    <w:qFormat/>
    <w:rsid w:val="00CF7653"/>
    <w:pPr>
      <w:framePr w:w="2268" w:hSpace="181" w:vSpace="181" w:wrap="around" w:vAnchor="text" w:hAnchor="page" w:x="1135" w:y="285" w:anchorLock="1"/>
    </w:pPr>
    <w:rPr>
      <w:i/>
    </w:rPr>
  </w:style>
  <w:style w:type="paragraph" w:customStyle="1" w:styleId="MiniTOCTitle">
    <w:name w:val="MiniTOCTitle"/>
    <w:basedOn w:val="Heading4"/>
    <w:rsid w:val="00CF7653"/>
    <w:pPr>
      <w:spacing w:before="240"/>
      <w:outlineLvl w:val="9"/>
    </w:pPr>
    <w:rPr>
      <w:noProof/>
      <w:sz w:val="24"/>
    </w:rPr>
  </w:style>
  <w:style w:type="paragraph" w:customStyle="1" w:styleId="MiniTOCItem">
    <w:name w:val="MiniTOCItem"/>
    <w:basedOn w:val="ListBullet"/>
    <w:rsid w:val="00CF7653"/>
    <w:pPr>
      <w:numPr>
        <w:numId w:val="0"/>
      </w:numPr>
      <w:tabs>
        <w:tab w:val="right" w:leader="dot" w:pos="6521"/>
      </w:tabs>
      <w:spacing w:before="0" w:after="0"/>
    </w:pPr>
  </w:style>
  <w:style w:type="paragraph" w:customStyle="1" w:styleId="TOFTitle">
    <w:name w:val="TOFTitle"/>
    <w:basedOn w:val="TOCTitle"/>
    <w:rsid w:val="00CF7653"/>
  </w:style>
  <w:style w:type="paragraph" w:styleId="TableofFigures">
    <w:name w:val="table of figures"/>
    <w:basedOn w:val="Normal"/>
    <w:next w:val="Normal"/>
    <w:semiHidden/>
    <w:rsid w:val="00CF7653"/>
    <w:pPr>
      <w:tabs>
        <w:tab w:val="right" w:leader="dot" w:pos="9072"/>
      </w:tabs>
      <w:ind w:left="970" w:hanging="403"/>
    </w:pPr>
    <w:rPr>
      <w:rFonts w:ascii="Times New Roman" w:hAnsi="Times New Roman"/>
      <w:b/>
    </w:rPr>
  </w:style>
  <w:style w:type="paragraph" w:styleId="ListNumber">
    <w:name w:val="List Number"/>
    <w:basedOn w:val="List"/>
    <w:rsid w:val="00CF7653"/>
    <w:pPr>
      <w:numPr>
        <w:numId w:val="11"/>
      </w:numPr>
    </w:pPr>
  </w:style>
  <w:style w:type="character" w:customStyle="1" w:styleId="WingdingSymbols">
    <w:name w:val="Wingding Symbols"/>
    <w:rsid w:val="00CF7653"/>
    <w:rPr>
      <w:rFonts w:ascii="Wingdings" w:hAnsi="Wingdings"/>
    </w:rPr>
  </w:style>
  <w:style w:type="paragraph" w:customStyle="1" w:styleId="TableHeading">
    <w:name w:val="Table Heading"/>
    <w:basedOn w:val="HeadingBase"/>
    <w:rsid w:val="00CF7653"/>
    <w:pPr>
      <w:keepLines/>
      <w:pBdr>
        <w:bottom w:val="single" w:sz="6" w:space="1" w:color="918585"/>
      </w:pBdr>
      <w:spacing w:before="240"/>
    </w:pPr>
  </w:style>
  <w:style w:type="character" w:customStyle="1" w:styleId="HotSpot">
    <w:name w:val="HotSpot"/>
    <w:rsid w:val="00CF7653"/>
    <w:rPr>
      <w:color w:val="0033CC"/>
      <w:u w:val="none"/>
    </w:rPr>
  </w:style>
  <w:style w:type="paragraph" w:customStyle="1" w:styleId="BodyTextRight">
    <w:name w:val="Body Text Right"/>
    <w:basedOn w:val="BodyText"/>
    <w:rsid w:val="00CF7653"/>
    <w:pPr>
      <w:spacing w:before="0" w:after="0"/>
      <w:jc w:val="right"/>
    </w:pPr>
  </w:style>
  <w:style w:type="paragraph" w:styleId="Index3">
    <w:name w:val="index 3"/>
    <w:basedOn w:val="ListNumber2"/>
    <w:next w:val="Normal"/>
    <w:semiHidden/>
    <w:rsid w:val="00CF7653"/>
    <w:pPr>
      <w:numPr>
        <w:numId w:val="0"/>
      </w:numPr>
      <w:tabs>
        <w:tab w:val="right" w:leader="dot" w:pos="4176"/>
      </w:tabs>
    </w:pPr>
  </w:style>
  <w:style w:type="paragraph" w:styleId="ListNumber2">
    <w:name w:val="List Number 2"/>
    <w:basedOn w:val="List2"/>
    <w:rsid w:val="00CF7653"/>
    <w:pPr>
      <w:numPr>
        <w:numId w:val="10"/>
      </w:numPr>
      <w:tabs>
        <w:tab w:val="clear" w:pos="1060"/>
      </w:tabs>
    </w:pPr>
  </w:style>
  <w:style w:type="paragraph" w:customStyle="1" w:styleId="MarginNote">
    <w:name w:val="Margin Note"/>
    <w:basedOn w:val="BodyText"/>
    <w:rsid w:val="00CF7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653"/>
    <w:rPr>
      <w:sz w:val="32"/>
    </w:rPr>
  </w:style>
  <w:style w:type="paragraph" w:customStyle="1" w:styleId="HeadingProcedure">
    <w:name w:val="Heading Procedure"/>
    <w:basedOn w:val="HeadingBase"/>
    <w:next w:val="Normal"/>
    <w:rsid w:val="00CF7653"/>
    <w:pPr>
      <w:tabs>
        <w:tab w:val="left" w:pos="0"/>
      </w:tabs>
      <w:spacing w:before="120" w:after="60"/>
    </w:pPr>
    <w:rPr>
      <w:i/>
      <w:color w:val="918585"/>
      <w:sz w:val="22"/>
    </w:rPr>
  </w:style>
  <w:style w:type="paragraph" w:customStyle="1" w:styleId="TableBodyText">
    <w:name w:val="Table Body Text"/>
    <w:basedOn w:val="BodyText"/>
    <w:rsid w:val="00CF7653"/>
    <w:pPr>
      <w:spacing w:before="60" w:after="60"/>
    </w:pPr>
  </w:style>
  <w:style w:type="paragraph" w:styleId="ListContinue">
    <w:name w:val="List Continue"/>
    <w:basedOn w:val="List"/>
    <w:rsid w:val="00CF7653"/>
    <w:pPr>
      <w:ind w:firstLine="0"/>
    </w:pPr>
  </w:style>
  <w:style w:type="paragraph" w:customStyle="1" w:styleId="ListNote">
    <w:name w:val="List Note"/>
    <w:basedOn w:val="List"/>
    <w:rsid w:val="00CF7653"/>
    <w:pPr>
      <w:pBdr>
        <w:top w:val="single" w:sz="6" w:space="2" w:color="918585"/>
        <w:bottom w:val="single" w:sz="6" w:space="2" w:color="918585"/>
      </w:pBdr>
      <w:tabs>
        <w:tab w:val="left" w:pos="1021"/>
      </w:tabs>
      <w:ind w:firstLine="0"/>
    </w:pPr>
  </w:style>
  <w:style w:type="paragraph" w:customStyle="1" w:styleId="Warning">
    <w:name w:val="Warning"/>
    <w:basedOn w:val="BodyText"/>
    <w:rsid w:val="00CF7653"/>
    <w:pPr>
      <w:shd w:val="clear" w:color="auto" w:fill="D9D9D9"/>
      <w:tabs>
        <w:tab w:val="left" w:pos="992"/>
      </w:tabs>
      <w:ind w:left="119" w:right="119"/>
    </w:pPr>
    <w:rPr>
      <w:sz w:val="20"/>
    </w:rPr>
  </w:style>
  <w:style w:type="paragraph" w:customStyle="1" w:styleId="MarginIcons">
    <w:name w:val="Margin Icons"/>
    <w:basedOn w:val="BodyText"/>
    <w:rsid w:val="00CF7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653"/>
    <w:rPr>
      <w:rFonts w:ascii="Courier New" w:hAnsi="Courier New"/>
    </w:rPr>
  </w:style>
  <w:style w:type="paragraph" w:customStyle="1" w:styleId="NoteBullet">
    <w:name w:val="Note Bullet"/>
    <w:basedOn w:val="Note"/>
    <w:rsid w:val="00CF7653"/>
    <w:pPr>
      <w:tabs>
        <w:tab w:val="clear" w:pos="680"/>
      </w:tabs>
      <w:spacing w:before="60" w:after="60"/>
    </w:pPr>
  </w:style>
  <w:style w:type="paragraph" w:customStyle="1" w:styleId="SubHeading2">
    <w:name w:val="SubHeading2"/>
    <w:basedOn w:val="HeadingBase"/>
    <w:rsid w:val="00CF7653"/>
    <w:pPr>
      <w:spacing w:before="240" w:after="60"/>
    </w:pPr>
    <w:rPr>
      <w:sz w:val="20"/>
    </w:rPr>
  </w:style>
  <w:style w:type="paragraph" w:customStyle="1" w:styleId="SubHeading1">
    <w:name w:val="SubHeading1"/>
    <w:basedOn w:val="HeadingBase"/>
    <w:rsid w:val="00CF7653"/>
    <w:pPr>
      <w:spacing w:before="240" w:after="60"/>
    </w:pPr>
    <w:rPr>
      <w:color w:val="918585"/>
      <w:sz w:val="22"/>
    </w:rPr>
  </w:style>
  <w:style w:type="paragraph" w:customStyle="1" w:styleId="SideHeading">
    <w:name w:val="Side Heading"/>
    <w:basedOn w:val="HeadingBase"/>
    <w:rsid w:val="00CF7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653"/>
    <w:pPr>
      <w:numPr>
        <w:numId w:val="12"/>
      </w:numPr>
    </w:pPr>
  </w:style>
  <w:style w:type="paragraph" w:styleId="PlainText">
    <w:name w:val="Plain Text"/>
    <w:basedOn w:val="Normal"/>
    <w:link w:val="PlainTextChar"/>
    <w:rsid w:val="00CF7653"/>
    <w:rPr>
      <w:sz w:val="20"/>
    </w:rPr>
  </w:style>
  <w:style w:type="character" w:customStyle="1" w:styleId="PlainTextChar">
    <w:name w:val="Plain Text Char"/>
    <w:basedOn w:val="DefaultParagraphFont"/>
    <w:link w:val="PlainText"/>
    <w:rsid w:val="00CF7653"/>
    <w:rPr>
      <w:rFonts w:ascii="Courier New" w:eastAsia="Times New Roman" w:hAnsi="Courier New" w:cs="Times New Roman"/>
      <w:sz w:val="20"/>
      <w:szCs w:val="20"/>
      <w:lang w:eastAsia="en-US"/>
    </w:rPr>
  </w:style>
  <w:style w:type="character" w:customStyle="1" w:styleId="MenuOption">
    <w:name w:val="Menu Option"/>
    <w:basedOn w:val="DefaultParagraphFont"/>
    <w:rsid w:val="00CF7653"/>
    <w:rPr>
      <w:b/>
      <w:smallCaps/>
    </w:rPr>
  </w:style>
  <w:style w:type="paragraph" w:customStyle="1" w:styleId="TableListNumber">
    <w:name w:val="Table List Number"/>
    <w:basedOn w:val="ListNumber"/>
    <w:rsid w:val="00CF7653"/>
    <w:pPr>
      <w:numPr>
        <w:numId w:val="0"/>
      </w:numPr>
    </w:pPr>
  </w:style>
  <w:style w:type="paragraph" w:styleId="TOC4">
    <w:name w:val="toc 4"/>
    <w:basedOn w:val="TOCBase"/>
    <w:next w:val="Normal"/>
    <w:semiHidden/>
    <w:rsid w:val="00CF7653"/>
    <w:pPr>
      <w:tabs>
        <w:tab w:val="right" w:leader="dot" w:pos="9071"/>
      </w:tabs>
      <w:ind w:left="1701"/>
    </w:pPr>
  </w:style>
  <w:style w:type="paragraph" w:customStyle="1" w:styleId="ListAlpha">
    <w:name w:val="List Alpha"/>
    <w:basedOn w:val="List"/>
    <w:rsid w:val="00CF7653"/>
    <w:pPr>
      <w:numPr>
        <w:numId w:val="9"/>
      </w:numPr>
    </w:pPr>
  </w:style>
  <w:style w:type="paragraph" w:customStyle="1" w:styleId="ListAlpha2">
    <w:name w:val="List Alpha 2"/>
    <w:basedOn w:val="List2"/>
    <w:rsid w:val="00CF7653"/>
    <w:pPr>
      <w:numPr>
        <w:numId w:val="8"/>
      </w:numPr>
    </w:pPr>
  </w:style>
  <w:style w:type="paragraph" w:styleId="List3">
    <w:name w:val="List 3"/>
    <w:basedOn w:val="BodyText"/>
    <w:rsid w:val="00CF7653"/>
    <w:pPr>
      <w:tabs>
        <w:tab w:val="left" w:pos="1021"/>
      </w:tabs>
      <w:spacing w:before="60" w:after="60"/>
      <w:ind w:left="1020" w:hanging="340"/>
    </w:pPr>
  </w:style>
  <w:style w:type="paragraph" w:styleId="List4">
    <w:name w:val="List 4"/>
    <w:basedOn w:val="BodyText"/>
    <w:rsid w:val="00CF7653"/>
    <w:pPr>
      <w:tabs>
        <w:tab w:val="left" w:pos="1361"/>
      </w:tabs>
      <w:spacing w:before="60" w:after="60"/>
      <w:ind w:left="1361" w:hanging="340"/>
    </w:pPr>
  </w:style>
  <w:style w:type="paragraph" w:styleId="List5">
    <w:name w:val="List 5"/>
    <w:basedOn w:val="BodyText"/>
    <w:rsid w:val="00CF7653"/>
    <w:pPr>
      <w:tabs>
        <w:tab w:val="left" w:pos="1701"/>
      </w:tabs>
      <w:spacing w:before="60" w:after="60"/>
      <w:ind w:left="1701" w:hanging="340"/>
    </w:pPr>
  </w:style>
  <w:style w:type="paragraph" w:styleId="ListBullet3">
    <w:name w:val="List Bullet 3"/>
    <w:basedOn w:val="List3"/>
    <w:rsid w:val="00CF7653"/>
    <w:pPr>
      <w:numPr>
        <w:numId w:val="15"/>
      </w:numPr>
      <w:tabs>
        <w:tab w:val="clear" w:pos="1021"/>
      </w:tabs>
      <w:ind w:left="1037" w:hanging="357"/>
    </w:pPr>
  </w:style>
  <w:style w:type="paragraph" w:styleId="ListBullet4">
    <w:name w:val="List Bullet 4"/>
    <w:basedOn w:val="List4"/>
    <w:rsid w:val="00CF7653"/>
    <w:pPr>
      <w:numPr>
        <w:numId w:val="3"/>
      </w:numPr>
    </w:pPr>
  </w:style>
  <w:style w:type="paragraph" w:styleId="ListBullet5">
    <w:name w:val="List Bullet 5"/>
    <w:basedOn w:val="List5"/>
    <w:rsid w:val="00CF7653"/>
    <w:pPr>
      <w:numPr>
        <w:numId w:val="4"/>
      </w:numPr>
    </w:pPr>
  </w:style>
  <w:style w:type="paragraph" w:styleId="ListContinue2">
    <w:name w:val="List Continue 2"/>
    <w:basedOn w:val="List2"/>
    <w:rsid w:val="00CF7653"/>
    <w:pPr>
      <w:ind w:firstLine="0"/>
    </w:pPr>
  </w:style>
  <w:style w:type="paragraph" w:styleId="ListContinue3">
    <w:name w:val="List Continue 3"/>
    <w:basedOn w:val="List3"/>
    <w:rsid w:val="00CF7653"/>
    <w:pPr>
      <w:ind w:left="1021" w:firstLine="0"/>
    </w:pPr>
  </w:style>
  <w:style w:type="paragraph" w:styleId="ListContinue4">
    <w:name w:val="List Continue 4"/>
    <w:basedOn w:val="List4"/>
    <w:rsid w:val="00CF7653"/>
    <w:pPr>
      <w:ind w:firstLine="0"/>
    </w:pPr>
  </w:style>
  <w:style w:type="paragraph" w:styleId="ListContinue5">
    <w:name w:val="List Continue 5"/>
    <w:basedOn w:val="List5"/>
    <w:rsid w:val="00CF7653"/>
    <w:pPr>
      <w:ind w:firstLine="0"/>
    </w:pPr>
  </w:style>
  <w:style w:type="paragraph" w:styleId="ListNumber3">
    <w:name w:val="List Number 3"/>
    <w:basedOn w:val="List3"/>
    <w:rsid w:val="00CF7653"/>
    <w:pPr>
      <w:numPr>
        <w:numId w:val="5"/>
      </w:numPr>
    </w:pPr>
  </w:style>
  <w:style w:type="paragraph" w:styleId="ListNumber4">
    <w:name w:val="List Number 4"/>
    <w:basedOn w:val="List4"/>
    <w:rsid w:val="00CF7653"/>
    <w:pPr>
      <w:numPr>
        <w:numId w:val="6"/>
      </w:numPr>
    </w:pPr>
  </w:style>
  <w:style w:type="paragraph" w:styleId="ListNumber5">
    <w:name w:val="List Number 5"/>
    <w:basedOn w:val="List5"/>
    <w:rsid w:val="00CF7653"/>
    <w:pPr>
      <w:numPr>
        <w:numId w:val="7"/>
      </w:numPr>
    </w:pPr>
  </w:style>
  <w:style w:type="paragraph" w:styleId="BlockText">
    <w:name w:val="Block Text"/>
    <w:basedOn w:val="Normal"/>
    <w:rsid w:val="00CF7653"/>
    <w:pPr>
      <w:spacing w:after="120"/>
      <w:ind w:left="1440" w:right="1440"/>
    </w:pPr>
  </w:style>
  <w:style w:type="character" w:customStyle="1" w:styleId="Subscript">
    <w:name w:val="Subscript"/>
    <w:basedOn w:val="DefaultParagraphFont"/>
    <w:rsid w:val="00CF7653"/>
    <w:rPr>
      <w:sz w:val="16"/>
      <w:vertAlign w:val="subscript"/>
    </w:rPr>
  </w:style>
  <w:style w:type="character" w:customStyle="1" w:styleId="Superscript">
    <w:name w:val="Superscript"/>
    <w:basedOn w:val="DefaultParagraphFont"/>
    <w:rsid w:val="00CF7653"/>
    <w:rPr>
      <w:sz w:val="16"/>
      <w:vertAlign w:val="superscript"/>
    </w:rPr>
  </w:style>
  <w:style w:type="character" w:customStyle="1" w:styleId="Symbols">
    <w:name w:val="Symbols"/>
    <w:basedOn w:val="DefaultParagraphFont"/>
    <w:rsid w:val="00CF7653"/>
    <w:rPr>
      <w:rFonts w:ascii="Symbol" w:hAnsi="Symbol"/>
    </w:rPr>
  </w:style>
  <w:style w:type="character" w:customStyle="1" w:styleId="MenuOptions">
    <w:name w:val="Menu Options"/>
    <w:basedOn w:val="DefaultParagraphFont"/>
    <w:rsid w:val="00CF7653"/>
    <w:rPr>
      <w:rFonts w:ascii="Arial Narrow" w:hAnsi="Arial Narrow"/>
      <w:smallCaps/>
    </w:rPr>
  </w:style>
  <w:style w:type="character" w:customStyle="1" w:styleId="Buttons">
    <w:name w:val="Buttons"/>
    <w:basedOn w:val="DefaultParagraphFont"/>
    <w:rsid w:val="00CF7653"/>
    <w:rPr>
      <w:b/>
    </w:rPr>
  </w:style>
  <w:style w:type="character" w:customStyle="1" w:styleId="Underlined">
    <w:name w:val="Underlined"/>
    <w:basedOn w:val="DefaultParagraphFont"/>
    <w:rsid w:val="00CF7653"/>
    <w:rPr>
      <w:u w:val="single"/>
    </w:rPr>
  </w:style>
  <w:style w:type="paragraph" w:customStyle="1" w:styleId="TableBodyTextRight">
    <w:name w:val="Table Body Text Right"/>
    <w:basedOn w:val="TableBodyText"/>
    <w:rsid w:val="00CF7653"/>
    <w:pPr>
      <w:widowControl w:val="0"/>
      <w:autoSpaceDE w:val="0"/>
      <w:autoSpaceDN w:val="0"/>
      <w:adjustRightInd w:val="0"/>
      <w:jc w:val="right"/>
    </w:pPr>
    <w:rPr>
      <w:rFonts w:cs="Arial"/>
      <w:szCs w:val="18"/>
    </w:rPr>
  </w:style>
  <w:style w:type="paragraph" w:customStyle="1" w:styleId="CopyrightText">
    <w:name w:val="Copyright Text"/>
    <w:basedOn w:val="BodyText"/>
    <w:rsid w:val="00CF7653"/>
    <w:rPr>
      <w:sz w:val="18"/>
    </w:rPr>
  </w:style>
  <w:style w:type="paragraph" w:customStyle="1" w:styleId="BodySmallRight">
    <w:name w:val="Body Small Right"/>
    <w:basedOn w:val="BodyTextRight"/>
    <w:rsid w:val="00CF7653"/>
    <w:rPr>
      <w:sz w:val="18"/>
      <w:szCs w:val="18"/>
    </w:rPr>
  </w:style>
  <w:style w:type="paragraph" w:customStyle="1" w:styleId="MarginEdition">
    <w:name w:val="Margin Edition"/>
    <w:basedOn w:val="MarginNote"/>
    <w:rsid w:val="00CF7653"/>
    <w:pPr>
      <w:spacing w:before="0" w:after="0"/>
    </w:pPr>
    <w:rPr>
      <w:rFonts w:ascii="Times New Roman" w:hAnsi="Times New Roman"/>
      <w:color w:val="999999"/>
    </w:rPr>
  </w:style>
  <w:style w:type="paragraph" w:customStyle="1" w:styleId="Spacer">
    <w:name w:val="Spacer"/>
    <w:basedOn w:val="Normal"/>
    <w:rsid w:val="00CF7653"/>
    <w:rPr>
      <w:sz w:val="2"/>
      <w:szCs w:val="2"/>
    </w:rPr>
  </w:style>
  <w:style w:type="character" w:customStyle="1" w:styleId="Small">
    <w:name w:val="Small"/>
    <w:basedOn w:val="DefaultParagraphFont"/>
    <w:rsid w:val="00CF7653"/>
    <w:rPr>
      <w:sz w:val="16"/>
    </w:rPr>
  </w:style>
  <w:style w:type="paragraph" w:customStyle="1" w:styleId="WideTable">
    <w:name w:val="Wide Table"/>
    <w:basedOn w:val="Normal"/>
    <w:rsid w:val="00CF7653"/>
    <w:pPr>
      <w:ind w:left="-1418"/>
    </w:pPr>
    <w:rPr>
      <w:sz w:val="2"/>
      <w:szCs w:val="2"/>
    </w:rPr>
  </w:style>
  <w:style w:type="character" w:styleId="PageNumber">
    <w:name w:val="page number"/>
    <w:basedOn w:val="DefaultParagraphFont"/>
    <w:rsid w:val="00CF7653"/>
  </w:style>
  <w:style w:type="paragraph" w:styleId="Quote">
    <w:name w:val="Quote"/>
    <w:basedOn w:val="Heading1"/>
    <w:link w:val="QuoteChar"/>
    <w:qFormat/>
    <w:rsid w:val="00CF7653"/>
    <w:rPr>
      <w:b w:val="0"/>
      <w:sz w:val="72"/>
      <w:szCs w:val="72"/>
      <w:lang w:val="en-NZ"/>
    </w:rPr>
  </w:style>
  <w:style w:type="character" w:customStyle="1" w:styleId="QuoteChar">
    <w:name w:val="Quote Char"/>
    <w:basedOn w:val="DefaultParagraphFont"/>
    <w:link w:val="Quote"/>
    <w:rsid w:val="00CF7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653"/>
    <w:pPr>
      <w:pageBreakBefore/>
    </w:pPr>
  </w:style>
  <w:style w:type="paragraph" w:customStyle="1" w:styleId="Border">
    <w:name w:val="Border"/>
    <w:basedOn w:val="Normal"/>
    <w:qFormat/>
    <w:rsid w:val="00CF7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653"/>
    <w:rPr>
      <w:b/>
      <w:bCs/>
      <w:i/>
      <w:iCs/>
      <w:color w:val="auto"/>
    </w:rPr>
  </w:style>
  <w:style w:type="paragraph" w:styleId="IntenseQuote">
    <w:name w:val="Intense Quote"/>
    <w:basedOn w:val="Normal"/>
    <w:next w:val="Normal"/>
    <w:link w:val="IntenseQuoteChar"/>
    <w:uiPriority w:val="30"/>
    <w:qFormat/>
    <w:rsid w:val="00CF7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653"/>
    <w:rPr>
      <w:smallCaps/>
      <w:color w:val="auto"/>
      <w:u w:val="single"/>
    </w:rPr>
  </w:style>
  <w:style w:type="character" w:styleId="IntenseReference">
    <w:name w:val="Intense Reference"/>
    <w:basedOn w:val="DefaultParagraphFont"/>
    <w:uiPriority w:val="32"/>
    <w:qFormat/>
    <w:rsid w:val="00CF7653"/>
    <w:rPr>
      <w:b/>
      <w:bCs/>
      <w:smallCaps/>
      <w:color w:val="auto"/>
      <w:spacing w:val="5"/>
      <w:u w:val="single"/>
    </w:rPr>
  </w:style>
  <w:style w:type="paragraph" w:customStyle="1" w:styleId="2ColumnHeading">
    <w:name w:val="2Column Heading"/>
    <w:basedOn w:val="BodyText"/>
    <w:qFormat/>
    <w:rsid w:val="00CF7653"/>
    <w:pPr>
      <w:spacing w:after="60"/>
      <w:ind w:left="-2268"/>
    </w:pPr>
    <w:rPr>
      <w:b/>
    </w:rPr>
  </w:style>
  <w:style w:type="paragraph" w:customStyle="1" w:styleId="Heading1TOC">
    <w:name w:val="Heading1 TOC"/>
    <w:basedOn w:val="Normal"/>
    <w:qFormat/>
    <w:rsid w:val="00CF7653"/>
    <w:pPr>
      <w:spacing w:before="240" w:after="120"/>
    </w:pPr>
    <w:rPr>
      <w:rFonts w:ascii="Times New Roman" w:hAnsi="Times New Roman"/>
      <w:b/>
      <w:sz w:val="32"/>
    </w:rPr>
  </w:style>
  <w:style w:type="paragraph" w:customStyle="1" w:styleId="Heading2TOC">
    <w:name w:val="Heading2 TOC"/>
    <w:basedOn w:val="Normal"/>
    <w:qFormat/>
    <w:rsid w:val="00CF7653"/>
    <w:pPr>
      <w:spacing w:before="240" w:after="60"/>
    </w:pPr>
    <w:rPr>
      <w:rFonts w:ascii="Times New Roman" w:hAnsi="Times New Roman"/>
      <w:b/>
      <w:sz w:val="28"/>
    </w:rPr>
  </w:style>
  <w:style w:type="character" w:customStyle="1" w:styleId="Underline">
    <w:name w:val="Underline"/>
    <w:basedOn w:val="DefaultParagraphFont"/>
    <w:qFormat/>
    <w:rsid w:val="00CF7653"/>
    <w:rPr>
      <w:u w:val="single"/>
    </w:rPr>
  </w:style>
  <w:style w:type="paragraph" w:styleId="BalloonText">
    <w:name w:val="Balloon Text"/>
    <w:basedOn w:val="Normal"/>
    <w:link w:val="BalloonTextChar"/>
    <w:rsid w:val="00CF7653"/>
    <w:rPr>
      <w:rFonts w:ascii="Tahoma" w:hAnsi="Tahoma" w:cs="Tahoma"/>
      <w:sz w:val="16"/>
      <w:szCs w:val="16"/>
    </w:rPr>
  </w:style>
  <w:style w:type="character" w:customStyle="1" w:styleId="BalloonTextChar">
    <w:name w:val="Balloon Text Char"/>
    <w:basedOn w:val="DefaultParagraphFont"/>
    <w:link w:val="BalloonText"/>
    <w:rsid w:val="00CF7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653"/>
    <w:rPr>
      <w:b/>
      <w:color w:val="660033"/>
      <w:spacing w:val="0"/>
    </w:rPr>
  </w:style>
  <w:style w:type="paragraph" w:customStyle="1" w:styleId="Nameditemlist">
    <w:name w:val="Named item list"/>
    <w:basedOn w:val="BodyText"/>
    <w:qFormat/>
    <w:rsid w:val="00CF76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5766</Characters>
  <Application>Microsoft Office Word</Application>
  <DocSecurity>0</DocSecurity>
  <Lines>228</Lines>
  <Paragraphs>103</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CUEEVT03B Integrate knowledge of creative and technical production into management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2012-10-05T16:19:00Z</dcterms:created>
  <dcterms:modified xsi:type="dcterms:W3CDTF">2012-10-05T16:19:00Z</dcterms:modified>
</cp:coreProperties>
</file>