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BBD" w:rsidP="005C6B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CUASTA302 Install staging elements</w:t>
      </w:r>
      <w:r>
        <w:fldChar w:fldCharType="end"/>
      </w:r>
    </w:p>
    <w:p w:rsidR="005C6BBD" w:rsidP="005C6BBD">
      <w:pPr>
        <w:pStyle w:val="Version"/>
        <w:sectPr w:rsidSect="00F15C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5C64" w:rsidP="00F15C64">
      <w:pPr>
        <w:pStyle w:val="SuperHeading"/>
      </w:pPr>
      <w:r w:rsidRPr="00F15C64">
        <w:t>CUASTA302 Install staging elements</w:t>
      </w:r>
    </w:p>
    <w:p w:rsidR="00000000" w:rsidRPr="00F15C64" w:rsidP="00F15C64">
      <w:pPr>
        <w:pStyle w:val="Heading1"/>
      </w:pPr>
      <w:bookmarkStart w:id="1" w:name="O_811747"/>
      <w:bookmarkEnd w:id="1"/>
      <w:r w:rsidRPr="00F15C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BodyText"/>
            </w:pPr>
            <w:r w:rsidRPr="00F15C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rPr>
                <w:rStyle w:val="SpecialBold"/>
              </w:rPr>
              <w:t>Comments</w:t>
            </w:r>
          </w:p>
        </w:tc>
      </w:tr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BodyText"/>
            </w:pPr>
            <w:r w:rsidRPr="00F15C64">
              <w:t>This version first released with CUA Creative Arts and Culture Training Package version 1.0.</w:t>
            </w:r>
          </w:p>
        </w:tc>
      </w:tr>
    </w:tbl>
    <w:p w:rsidR="00000000" w:rsidRPr="00F15C64" w:rsidP="00F15C64">
      <w:pPr>
        <w:pStyle w:val="BodyText"/>
      </w:pPr>
    </w:p>
    <w:p w:rsidR="00000000" w:rsidRPr="00F15C64" w:rsidP="00F15C64">
      <w:pPr>
        <w:pStyle w:val="AllowPageBreak"/>
      </w:pPr>
    </w:p>
    <w:p w:rsidR="00000000" w:rsidRPr="00F15C64" w:rsidP="00F15C64">
      <w:pPr>
        <w:pStyle w:val="Heading1"/>
      </w:pPr>
      <w:bookmarkStart w:id="2" w:name="O_811746"/>
      <w:bookmarkEnd w:id="2"/>
      <w:r w:rsidRPr="00F15C64">
        <w:t>Application</w:t>
      </w:r>
    </w:p>
    <w:p w:rsidR="00000000" w:rsidRPr="00F15C64" w:rsidP="005C6BBD">
      <w:pPr>
        <w:pStyle w:val="BodyText"/>
      </w:pPr>
      <w:r w:rsidRPr="00F15C64">
        <w:t>This unit describes the performance outcomes, skills and knowledge required to install a range of staging elements for l</w:t>
      </w:r>
      <w:r w:rsidRPr="00F15C64">
        <w:t>ive productions in the entertainment and events industries.</w:t>
      </w:r>
    </w:p>
    <w:p w:rsidR="00000000" w:rsidRPr="00F15C64" w:rsidP="005C6BBD">
      <w:pPr>
        <w:pStyle w:val="BodyText"/>
      </w:pPr>
      <w:r w:rsidRPr="00F15C64">
        <w:t>At this level, individuals are required to use some discretion and judgement and operate under broad supervision within an established framework of plans and procedures.</w:t>
      </w:r>
    </w:p>
    <w:p w:rsidR="00000000" w:rsidRPr="00F15C64" w:rsidP="005C6BBD">
      <w:pPr>
        <w:pStyle w:val="BodyText"/>
      </w:pPr>
      <w:r w:rsidRPr="00F15C64">
        <w:t>The National Standard fo</w:t>
      </w:r>
      <w:r w:rsidRPr="00F15C64">
        <w:t>r Licensing Persons Performing High Risk Work applies to persons performing dogging and rigging work. Completion of the following units is required for certification at either basic, intermediate or advanced levels:</w:t>
      </w:r>
    </w:p>
    <w:p w:rsidR="00000000" w:rsidRPr="00F15C64" w:rsidP="00F15C64">
      <w:pPr>
        <w:pStyle w:val="ListBullet"/>
      </w:pPr>
      <w:r w:rsidRPr="00F15C64">
        <w:t>CPCCLDG3001A Licence to perform doggin</w:t>
      </w:r>
      <w:r w:rsidRPr="00F15C64">
        <w:t>g</w:t>
      </w:r>
    </w:p>
    <w:p w:rsidR="00000000" w:rsidRPr="00F15C64" w:rsidP="00F15C64">
      <w:pPr>
        <w:pStyle w:val="ListBullet"/>
      </w:pPr>
      <w:r w:rsidRPr="00F15C64">
        <w:t>CPCCLRG3001A Licence to perform rigging basic level</w:t>
      </w:r>
    </w:p>
    <w:p w:rsidR="00000000" w:rsidRPr="00F15C64" w:rsidP="00F15C64">
      <w:pPr>
        <w:pStyle w:val="ListBullet"/>
      </w:pPr>
      <w:r w:rsidRPr="00F15C64">
        <w:t>CPCCLRG3002A Licence to perform rigging intermediate level</w:t>
      </w:r>
    </w:p>
    <w:p w:rsidR="00000000" w:rsidRPr="00F15C64" w:rsidP="00F15C64">
      <w:pPr>
        <w:pStyle w:val="ListBullet"/>
      </w:pPr>
      <w:r w:rsidRPr="00F15C64">
        <w:t>CPCCLRG4001A Licence to perform rigging advanced level</w:t>
      </w:r>
    </w:p>
    <w:p w:rsidR="00000000" w:rsidRPr="00F15C64" w:rsidP="00F15C64">
      <w:pPr>
        <w:pStyle w:val="BodyText"/>
      </w:pPr>
    </w:p>
    <w:p w:rsidR="00000000" w:rsidRPr="00F15C64" w:rsidP="005C6BBD">
      <w:pPr>
        <w:pStyle w:val="BodyText"/>
      </w:pPr>
      <w:r w:rsidRPr="00F15C64">
        <w:t xml:space="preserve">Sets and staging for some performances or events may fall within the definition of construction work. If so, people entering a construction site are required to complete the general induction training program specified by the National Code of Practice for </w:t>
      </w:r>
      <w:r w:rsidRPr="00F15C64">
        <w:t>Induction Training for Construction Work (Australian Safety Compensation Council, May 2007).</w:t>
      </w:r>
    </w:p>
    <w:p w:rsidR="00000000" w:rsidRPr="00F15C64" w:rsidP="005C6BBD">
      <w:pPr>
        <w:pStyle w:val="BodyText"/>
      </w:pPr>
      <w:r w:rsidRPr="00F15C64">
        <w:t>Achievement of the unit ‘CPCCOHS1001A Work safely in the construction industry’ fulfils this requirement.</w:t>
      </w:r>
    </w:p>
    <w:p w:rsidR="00000000" w:rsidRPr="00F15C64" w:rsidP="00F15C64">
      <w:pPr>
        <w:pStyle w:val="Heading1"/>
      </w:pPr>
      <w:bookmarkStart w:id="3" w:name="O_811745"/>
      <w:bookmarkEnd w:id="3"/>
      <w:r w:rsidRPr="00F15C64">
        <w:t>Unit Sector</w:t>
      </w:r>
    </w:p>
    <w:p w:rsidR="00000000" w:rsidRPr="00F15C64" w:rsidP="005C6BBD">
      <w:pPr>
        <w:pStyle w:val="BodyText"/>
      </w:pPr>
      <w:r w:rsidRPr="00F15C64">
        <w:t>Media and entertainment pro</w:t>
      </w:r>
      <w:r w:rsidRPr="00F15C64">
        <w:t>duction - staging</w:t>
      </w:r>
    </w:p>
    <w:p w:rsidR="00000000" w:rsidRPr="00F15C64" w:rsidP="00F15C64">
      <w:pPr>
        <w:pStyle w:val="Heading1"/>
      </w:pPr>
      <w:bookmarkStart w:id="4" w:name="O_811744"/>
      <w:bookmarkEnd w:id="4"/>
      <w:r w:rsidRPr="00F15C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BodyText"/>
            </w:pPr>
            <w:r w:rsidRPr="00F15C64">
              <w:rPr>
                <w:rStyle w:val="SpecialBold"/>
              </w:rPr>
              <w:t>Elements</w:t>
            </w:r>
          </w:p>
          <w:p w:rsidR="00000000" w:rsidRPr="00F15C64" w:rsidP="00F15C64">
            <w:pPr>
              <w:pStyle w:val="BodyText"/>
            </w:pPr>
            <w:r w:rsidRPr="00F15C64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BodyText"/>
            </w:pPr>
            <w:r w:rsidRPr="00F15C64">
              <w:rPr>
                <w:rStyle w:val="SpecialBold"/>
              </w:rPr>
              <w:t>Performance Criteria</w:t>
            </w:r>
          </w:p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1. Prepare to install staging elements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BodyText"/>
            </w:pPr>
            <w:r w:rsidRPr="00F15C64">
              <w:t>1.1 Confirm staging installation requirements in consultation with relevant personnel and with reference to stage plans and other documentation</w:t>
            </w:r>
          </w:p>
          <w:p w:rsidR="00000000" w:rsidRPr="00F15C64" w:rsidP="00F15C64">
            <w:pPr>
              <w:pStyle w:val="BodyText"/>
            </w:pPr>
            <w:r w:rsidRPr="00F15C64">
              <w:t>1.2 Take account of bump-in schedule when preparing venue and applying st</w:t>
            </w:r>
            <w:r w:rsidRPr="00F15C64">
              <w:t>age plans to venue layout</w:t>
            </w:r>
          </w:p>
          <w:p w:rsidR="00000000" w:rsidRPr="00F15C64" w:rsidP="00F15C64">
            <w:pPr>
              <w:pStyle w:val="BodyText"/>
            </w:pPr>
            <w:r w:rsidRPr="00F15C64">
              <w:t>1.3 Where there is an existing stage, communicate modifications clearly to relevant personnel and implement as required</w:t>
            </w:r>
          </w:p>
          <w:p w:rsidR="00000000" w:rsidRPr="00F15C64" w:rsidP="00F15C64">
            <w:pPr>
              <w:pStyle w:val="BodyText"/>
            </w:pPr>
            <w:r w:rsidRPr="00F15C64">
              <w:t>1.4 Install equipment and necessary structures in consultation with relevant personnel</w:t>
            </w:r>
          </w:p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 xml:space="preserve">1.5 Comply with safety </w:t>
            </w:r>
            <w:r w:rsidRPr="00F15C64">
              <w:t xml:space="preserve">guidelines and licensing requirements when pre-rigging equipment </w:t>
            </w:r>
          </w:p>
        </w:tc>
      </w:tr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2. Complete staging installation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BodyText"/>
            </w:pPr>
            <w:r w:rsidRPr="00F15C64">
              <w:t>2.1 Mark out ground plans on stage according to design specifications and venue requirements</w:t>
            </w:r>
          </w:p>
          <w:p w:rsidR="00000000" w:rsidRPr="00F15C64" w:rsidP="00F15C64">
            <w:pPr>
              <w:pStyle w:val="BodyText"/>
            </w:pPr>
            <w:r w:rsidRPr="00F15C64">
              <w:t>2.2 Install staging elements according to production requ</w:t>
            </w:r>
            <w:r w:rsidRPr="00F15C64">
              <w:t xml:space="preserve">irements and in the agreed sequence </w:t>
            </w:r>
          </w:p>
          <w:p w:rsidR="00000000" w:rsidRPr="00F15C64" w:rsidP="00F15C64">
            <w:pPr>
              <w:pStyle w:val="BodyText"/>
            </w:pPr>
            <w:r w:rsidRPr="00F15C64">
              <w:t>2.3 Follow safe work practices at all times and comply with equipment manufacturer instructions during the installation process</w:t>
            </w:r>
          </w:p>
          <w:p w:rsidR="00000000" w:rsidRPr="00F15C64" w:rsidP="00F15C64">
            <w:pPr>
              <w:pStyle w:val="BodyText"/>
            </w:pPr>
            <w:r w:rsidRPr="00F15C64">
              <w:t>2.4 Use appropriate equipment to assist with staging installation</w:t>
            </w:r>
          </w:p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2.5 Complete work tasks w</w:t>
            </w:r>
            <w:r w:rsidRPr="00F15C64">
              <w:t>ithin production or event deadlines</w:t>
            </w:r>
          </w:p>
        </w:tc>
      </w:tr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3. Check staging elements after installation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BodyText"/>
            </w:pPr>
            <w:r w:rsidRPr="00F15C64">
              <w:t>3.1 Check each staging element to ensure operational standards for performance are achieved and that all safety requirements have been met</w:t>
            </w:r>
          </w:p>
          <w:p w:rsidR="00000000" w:rsidRPr="00F15C64" w:rsidP="00F15C64">
            <w:pPr>
              <w:pStyle w:val="BodyText"/>
            </w:pPr>
            <w:r w:rsidRPr="00F15C64">
              <w:t xml:space="preserve">3.2 Identify problems with staging </w:t>
            </w:r>
            <w:r w:rsidRPr="00F15C64">
              <w:t>elements, take appropriate action to rectify or refer to relevant personnel for action</w:t>
            </w:r>
          </w:p>
          <w:p w:rsidR="00000000" w:rsidRPr="00F15C64" w:rsidP="00F15C64">
            <w:pPr>
              <w:pStyle w:val="BodyText"/>
            </w:pPr>
            <w:r w:rsidRPr="00F15C64">
              <w:t>3.3 Identify modifications required to improve suitability for performance and take appropriate action</w:t>
            </w:r>
          </w:p>
          <w:p w:rsidR="00000000" w:rsidRPr="00F15C64" w:rsidP="00F15C64">
            <w:pPr>
              <w:pStyle w:val="BodyText"/>
            </w:pPr>
            <w:r w:rsidRPr="00F15C64">
              <w:t>3.4 Complete and distribute workplace documentation as required</w:t>
            </w:r>
          </w:p>
        </w:tc>
      </w:tr>
    </w:tbl>
    <w:p w:rsidR="00000000" w:rsidRPr="00F15C64" w:rsidP="00F15C64">
      <w:pPr>
        <w:pStyle w:val="BodyText"/>
      </w:pPr>
    </w:p>
    <w:p w:rsidR="00000000" w:rsidRPr="00F15C64" w:rsidP="00F15C64">
      <w:pPr>
        <w:pStyle w:val="AllowPageBreak"/>
      </w:pPr>
    </w:p>
    <w:p w:rsidR="00000000" w:rsidRPr="00F15C64" w:rsidP="00F15C64">
      <w:pPr>
        <w:pStyle w:val="Heading1"/>
      </w:pPr>
      <w:bookmarkStart w:id="5" w:name="O_811743"/>
      <w:bookmarkEnd w:id="5"/>
      <w:r w:rsidRPr="00F15C64">
        <w:t>Foundation Skills</w:t>
      </w:r>
    </w:p>
    <w:p w:rsidR="00000000" w:rsidRPr="005C6BBD" w:rsidP="005C6BBD">
      <w:pPr>
        <w:pStyle w:val="BodyText"/>
        <w:rPr>
          <w:i/>
        </w:rPr>
      </w:pPr>
      <w:r w:rsidRPr="005C6BB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BodyText"/>
            </w:pPr>
            <w:r w:rsidRPr="00F15C6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BodyText"/>
            </w:pPr>
            <w:r w:rsidRPr="00F15C64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rPr>
                <w:rStyle w:val="SpecialBold"/>
              </w:rPr>
              <w:t>Description</w:t>
            </w:r>
          </w:p>
        </w:tc>
      </w:tr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1.1, 1.2, 2.1, 2.3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ListBullet"/>
              <w:rPr>
                <w:lang w:val="en-NZ"/>
              </w:rPr>
            </w:pPr>
            <w:r w:rsidRPr="00F15C64">
              <w:t>Obtains information from written sources</w:t>
            </w:r>
          </w:p>
        </w:tc>
      </w:tr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1.1, 1.3, 1.4, 3.2, 3.3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ListBullet"/>
            </w:pPr>
            <w:r w:rsidRPr="00F15C64">
              <w:t>Obtains information by listening and questioning</w:t>
            </w:r>
          </w:p>
          <w:p w:rsidR="00000000" w:rsidP="00F15C64">
            <w:pPr>
              <w:pStyle w:val="ListBullet"/>
              <w:rPr>
                <w:lang w:val="en-NZ"/>
              </w:rPr>
            </w:pPr>
            <w:r w:rsidRPr="00F15C64">
              <w:t>Uses clear language to express requirements</w:t>
            </w:r>
          </w:p>
        </w:tc>
      </w:tr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2.1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ListBullet"/>
              <w:rPr>
                <w:lang w:val="en-NZ"/>
              </w:rPr>
            </w:pPr>
            <w:r w:rsidRPr="00F15C64">
              <w:t>Takes measurements in preparation for installing staging elements</w:t>
            </w:r>
          </w:p>
        </w:tc>
      </w:tr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1.1, 1.2, 1.5, 2.1, 2.2, 2.3, 2.4, 3.1, 3.4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ListBullet"/>
            </w:pPr>
            <w:r w:rsidRPr="00F15C64">
              <w:t>Follows workplace protocols and safety procedures</w:t>
            </w:r>
          </w:p>
          <w:p w:rsidR="00000000" w:rsidP="00F15C64">
            <w:pPr>
              <w:pStyle w:val="ListBullet"/>
              <w:rPr>
                <w:lang w:val="en-NZ"/>
              </w:rPr>
            </w:pPr>
            <w:r w:rsidRPr="00F15C64">
              <w:t>Understands and completes main tasks and responsibilities, within t</w:t>
            </w:r>
            <w:r w:rsidRPr="00F15C64">
              <w:t>he boundaries of own role</w:t>
            </w:r>
          </w:p>
        </w:tc>
      </w:tr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1.1, 1.3, 1.4, 3.2, 3.3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ListBullet"/>
              <w:rPr>
                <w:lang w:val="en-NZ"/>
              </w:rPr>
            </w:pPr>
            <w:r w:rsidRPr="00F15C64">
              <w:t>Works collaboratively</w:t>
            </w:r>
          </w:p>
        </w:tc>
      </w:tr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1.1, 1.2, 1.3, 1.4, 1.5, 2.1, 2.2, 2.3, 2.5, 3.1, 3.2, 3.3, 3.4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ListBullet"/>
            </w:pPr>
            <w:r w:rsidRPr="00F15C64">
              <w:t>Uses a range of equipment and tools to install staging elements</w:t>
            </w:r>
          </w:p>
          <w:p w:rsidR="00000000" w:rsidRPr="00F15C64" w:rsidP="00F15C64">
            <w:pPr>
              <w:pStyle w:val="ListBullet"/>
            </w:pPr>
            <w:r w:rsidRPr="00F15C64">
              <w:t>Plans and organises own workload; sequencing and combining work tasks for greater efficiency</w:t>
            </w:r>
          </w:p>
          <w:p w:rsidR="00000000" w:rsidRPr="00F15C64" w:rsidP="00F15C64">
            <w:pPr>
              <w:pStyle w:val="ListBullet"/>
            </w:pPr>
            <w:r w:rsidRPr="00F15C64">
              <w:t>Meets work deadlines</w:t>
            </w:r>
          </w:p>
          <w:p w:rsidR="00000000" w:rsidRPr="00F15C64" w:rsidP="00F15C64">
            <w:pPr>
              <w:pStyle w:val="ListBullet"/>
            </w:pPr>
            <w:r w:rsidRPr="00F15C64">
              <w:t xml:space="preserve">Recognises and takes responsibility for addressing predictable, and some less predictable, problems in familiar work contexts </w:t>
            </w:r>
          </w:p>
          <w:p w:rsidR="00000000" w:rsidRPr="00F15C64" w:rsidP="00F15C64">
            <w:pPr>
              <w:pStyle w:val="ListBullet"/>
            </w:pPr>
            <w:r w:rsidRPr="00F15C64">
              <w:t>Understands whe</w:t>
            </w:r>
            <w:r w:rsidRPr="00F15C64">
              <w:t>n to take responsibility and when to notify others</w:t>
            </w:r>
          </w:p>
          <w:p w:rsidR="00000000" w:rsidRPr="00F15C64" w:rsidP="00F15C64">
            <w:pPr>
              <w:pStyle w:val="ListBullet"/>
            </w:pPr>
            <w:r w:rsidRPr="00F15C64">
              <w:t>Distributes information electronically</w:t>
            </w:r>
          </w:p>
        </w:tc>
      </w:tr>
    </w:tbl>
    <w:p w:rsidR="00000000" w:rsidRPr="00F15C64" w:rsidP="00F15C64">
      <w:pPr>
        <w:pStyle w:val="BodyText"/>
      </w:pPr>
    </w:p>
    <w:p w:rsidR="00000000" w:rsidRPr="00F15C64" w:rsidP="00F15C64">
      <w:pPr>
        <w:pStyle w:val="AllowPageBreak"/>
      </w:pPr>
    </w:p>
    <w:p w:rsidR="00000000" w:rsidRPr="00F15C64" w:rsidP="00F15C64">
      <w:pPr>
        <w:pStyle w:val="Heading1"/>
      </w:pPr>
      <w:bookmarkStart w:id="6" w:name="O_811742"/>
      <w:bookmarkEnd w:id="6"/>
      <w:r w:rsidRPr="00F15C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BodyText"/>
            </w:pPr>
            <w:r w:rsidRPr="00F15C64">
              <w:rPr>
                <w:rStyle w:val="SpecialBold"/>
              </w:rPr>
              <w:t xml:space="preserve">Code and title </w:t>
            </w:r>
          </w:p>
          <w:p w:rsidR="00000000" w:rsidRPr="00F15C64" w:rsidP="00F15C64">
            <w:pPr>
              <w:pStyle w:val="BodyText"/>
            </w:pPr>
            <w:r w:rsidRPr="00F15C6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BodyText"/>
            </w:pPr>
            <w:r w:rsidRPr="00F15C64">
              <w:rPr>
                <w:rStyle w:val="SpecialBold"/>
              </w:rPr>
              <w:t>Code and title</w:t>
            </w:r>
          </w:p>
          <w:p w:rsidR="00000000" w:rsidRPr="00F15C64" w:rsidP="00F15C64">
            <w:pPr>
              <w:pStyle w:val="BodyText"/>
            </w:pPr>
            <w:r w:rsidRPr="00F15C6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BodyText"/>
            </w:pPr>
            <w:r w:rsidRPr="00F15C6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rPr>
                <w:rStyle w:val="SpecialBold"/>
              </w:rPr>
              <w:t>Equivalence status</w:t>
            </w:r>
          </w:p>
        </w:tc>
      </w:tr>
      <w:tr w:rsidTr="00F15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CUASTA302 Install staging elements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CUASTA302 Install staging elements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64">
            <w:pPr>
              <w:pStyle w:val="BodyText"/>
              <w:rPr>
                <w:lang w:val="en-NZ"/>
              </w:rPr>
            </w:pPr>
            <w:r w:rsidRPr="00F15C64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64" w:rsidP="00F15C64">
            <w:pPr>
              <w:pStyle w:val="BodyText"/>
            </w:pPr>
            <w:r w:rsidRPr="00F15C64">
              <w:t>Equivalent unit</w:t>
            </w:r>
          </w:p>
        </w:tc>
      </w:tr>
    </w:tbl>
    <w:p w:rsidR="00000000" w:rsidRPr="00F15C64" w:rsidP="00F15C64">
      <w:pPr>
        <w:pStyle w:val="BodyText"/>
      </w:pPr>
    </w:p>
    <w:p w:rsidR="00000000" w:rsidRPr="00F15C64" w:rsidP="00F15C64">
      <w:pPr>
        <w:pStyle w:val="AllowPageBreak"/>
      </w:pPr>
    </w:p>
    <w:p w:rsidR="00000000" w:rsidRPr="00F15C64" w:rsidP="00F15C64">
      <w:pPr>
        <w:pStyle w:val="Heading1"/>
      </w:pPr>
      <w:bookmarkStart w:id="7" w:name="O_811748"/>
      <w:bookmarkEnd w:id="7"/>
      <w:r w:rsidRPr="00F15C64">
        <w:t>Links</w:t>
      </w:r>
    </w:p>
    <w:p w:rsidR="00000000" w:rsidRPr="00F15C64" w:rsidP="005C6BBD">
      <w:pPr>
        <w:pStyle w:val="BodyText"/>
      </w:pPr>
      <w:r w:rsidRPr="00F15C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02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5C64" w:rsidP="00F15C64"/>
    <w:sectPr w:rsidSect="00F15C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64" w:rsidRPr="005C6BBD" w:rsidP="005C6B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BBD" w:rsidP="00F15C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BBD" w:rsidP="00F15C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6BBD" w:rsidP="00F15C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B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C64" w:rsidRPr="005C6BBD" w:rsidP="005C6B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BBD" w:rsidRPr="002D2AF8" w:rsidP="00F15C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CUASTA302 Install staging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C6BBD" w:rsidP="00F15C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781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626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C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C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C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C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C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C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C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C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C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C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C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C64"/>
  </w:style>
  <w:style w:type="character" w:customStyle="1" w:styleId="Heading1Char">
    <w:name w:val="Heading 1 Char"/>
    <w:basedOn w:val="DefaultParagraphFont"/>
    <w:link w:val="Heading1"/>
    <w:rsid w:val="00F15C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C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C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C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C64"/>
    <w:rPr>
      <w:b/>
      <w:spacing w:val="0"/>
    </w:rPr>
  </w:style>
  <w:style w:type="character" w:styleId="Emphasis">
    <w:name w:val="Emphasis"/>
    <w:basedOn w:val="DefaultParagraphFont"/>
    <w:qFormat/>
    <w:rsid w:val="00F15C64"/>
    <w:rPr>
      <w:i/>
    </w:rPr>
  </w:style>
  <w:style w:type="paragraph" w:customStyle="1" w:styleId="SuperHeading">
    <w:name w:val="SuperHeading"/>
    <w:basedOn w:val="Normal"/>
    <w:rsid w:val="00F15C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C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C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C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C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C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C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C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C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C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C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C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C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C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C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C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C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C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C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C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C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C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C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C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C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C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C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C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C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C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C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C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C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C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C64"/>
  </w:style>
  <w:style w:type="paragraph" w:styleId="TableofFigures">
    <w:name w:val="table of figures"/>
    <w:basedOn w:val="Normal"/>
    <w:next w:val="Normal"/>
    <w:semiHidden/>
    <w:rsid w:val="00F15C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C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5C64"/>
    <w:rPr>
      <w:rFonts w:ascii="Wingdings" w:hAnsi="Wingdings"/>
    </w:rPr>
  </w:style>
  <w:style w:type="paragraph" w:customStyle="1" w:styleId="TableHeading">
    <w:name w:val="Table Heading"/>
    <w:basedOn w:val="HeadingBase"/>
    <w:rsid w:val="00F15C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C64"/>
    <w:rPr>
      <w:color w:val="0033CC"/>
      <w:u w:val="none"/>
    </w:rPr>
  </w:style>
  <w:style w:type="paragraph" w:customStyle="1" w:styleId="BodyTextRight">
    <w:name w:val="Body Text Right"/>
    <w:basedOn w:val="BodyText"/>
    <w:rsid w:val="00F15C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C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C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C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C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C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C64"/>
    <w:rPr>
      <w:sz w:val="32"/>
    </w:rPr>
  </w:style>
  <w:style w:type="paragraph" w:customStyle="1" w:styleId="HeadingProcedure">
    <w:name w:val="Heading Procedure"/>
    <w:basedOn w:val="HeadingBase"/>
    <w:next w:val="Normal"/>
    <w:rsid w:val="00F15C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C64"/>
    <w:pPr>
      <w:spacing w:before="60" w:after="60"/>
    </w:pPr>
  </w:style>
  <w:style w:type="paragraph" w:styleId="ListContinue">
    <w:name w:val="List Continue"/>
    <w:basedOn w:val="List"/>
    <w:rsid w:val="00F15C64"/>
    <w:pPr>
      <w:ind w:firstLine="0"/>
    </w:pPr>
  </w:style>
  <w:style w:type="paragraph" w:customStyle="1" w:styleId="ListNote">
    <w:name w:val="List Note"/>
    <w:basedOn w:val="List"/>
    <w:rsid w:val="00F15C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C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C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C64"/>
    <w:rPr>
      <w:rFonts w:ascii="Courier New" w:hAnsi="Courier New"/>
    </w:rPr>
  </w:style>
  <w:style w:type="paragraph" w:customStyle="1" w:styleId="NoteBullet">
    <w:name w:val="Note Bullet"/>
    <w:basedOn w:val="Note"/>
    <w:rsid w:val="00F15C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C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C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C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C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5C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C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C64"/>
    <w:rPr>
      <w:b/>
      <w:smallCaps/>
    </w:rPr>
  </w:style>
  <w:style w:type="paragraph" w:customStyle="1" w:styleId="TableListNumber">
    <w:name w:val="Table List Number"/>
    <w:basedOn w:val="ListNumber"/>
    <w:rsid w:val="00F15C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C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C64"/>
    <w:pPr>
      <w:numPr>
        <w:numId w:val="8"/>
      </w:numPr>
    </w:pPr>
  </w:style>
  <w:style w:type="paragraph" w:customStyle="1" w:styleId="ListAlpha2">
    <w:name w:val="List Alpha 2"/>
    <w:basedOn w:val="List2"/>
    <w:rsid w:val="00F15C64"/>
    <w:pPr>
      <w:numPr>
        <w:numId w:val="7"/>
      </w:numPr>
    </w:pPr>
  </w:style>
  <w:style w:type="paragraph" w:styleId="List2">
    <w:name w:val="List 2"/>
    <w:basedOn w:val="BodyText"/>
    <w:rsid w:val="00F15C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C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C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C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C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C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C64"/>
    <w:pPr>
      <w:numPr>
        <w:numId w:val="3"/>
      </w:numPr>
    </w:pPr>
  </w:style>
  <w:style w:type="paragraph" w:styleId="ListContinue2">
    <w:name w:val="List Continue 2"/>
    <w:basedOn w:val="List2"/>
    <w:rsid w:val="00F15C64"/>
    <w:pPr>
      <w:ind w:firstLine="0"/>
    </w:pPr>
  </w:style>
  <w:style w:type="paragraph" w:styleId="ListContinue3">
    <w:name w:val="List Continue 3"/>
    <w:basedOn w:val="List3"/>
    <w:rsid w:val="00F15C64"/>
    <w:pPr>
      <w:ind w:left="1021" w:firstLine="0"/>
    </w:pPr>
  </w:style>
  <w:style w:type="paragraph" w:styleId="ListContinue4">
    <w:name w:val="List Continue 4"/>
    <w:basedOn w:val="List4"/>
    <w:rsid w:val="00F15C64"/>
    <w:pPr>
      <w:ind w:firstLine="0"/>
    </w:pPr>
  </w:style>
  <w:style w:type="paragraph" w:styleId="ListContinue5">
    <w:name w:val="List Continue 5"/>
    <w:basedOn w:val="List5"/>
    <w:rsid w:val="00F15C64"/>
    <w:pPr>
      <w:ind w:firstLine="0"/>
    </w:pPr>
  </w:style>
  <w:style w:type="paragraph" w:styleId="ListNumber3">
    <w:name w:val="List Number 3"/>
    <w:basedOn w:val="List3"/>
    <w:rsid w:val="00F15C64"/>
    <w:pPr>
      <w:numPr>
        <w:numId w:val="4"/>
      </w:numPr>
    </w:pPr>
  </w:style>
  <w:style w:type="paragraph" w:styleId="ListNumber4">
    <w:name w:val="List Number 4"/>
    <w:basedOn w:val="List4"/>
    <w:rsid w:val="00F15C64"/>
    <w:pPr>
      <w:numPr>
        <w:numId w:val="5"/>
      </w:numPr>
    </w:pPr>
  </w:style>
  <w:style w:type="paragraph" w:styleId="ListNumber5">
    <w:name w:val="List Number 5"/>
    <w:basedOn w:val="List5"/>
    <w:rsid w:val="00F15C64"/>
    <w:pPr>
      <w:numPr>
        <w:numId w:val="6"/>
      </w:numPr>
    </w:pPr>
  </w:style>
  <w:style w:type="paragraph" w:styleId="BlockText">
    <w:name w:val="Block Text"/>
    <w:basedOn w:val="Normal"/>
    <w:rsid w:val="00F15C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C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C64"/>
    <w:rPr>
      <w:sz w:val="16"/>
      <w:vertAlign w:val="superscript"/>
    </w:rPr>
  </w:style>
  <w:style w:type="character" w:customStyle="1" w:styleId="Symbols">
    <w:name w:val="Symbols"/>
    <w:basedOn w:val="DefaultParagraphFont"/>
    <w:rsid w:val="00F15C64"/>
    <w:rPr>
      <w:rFonts w:ascii="Symbol" w:hAnsi="Symbol"/>
    </w:rPr>
  </w:style>
  <w:style w:type="character" w:customStyle="1" w:styleId="MenuOptions">
    <w:name w:val="Menu Options"/>
    <w:basedOn w:val="DefaultParagraphFont"/>
    <w:rsid w:val="00F15C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C64"/>
    <w:rPr>
      <w:b/>
    </w:rPr>
  </w:style>
  <w:style w:type="character" w:customStyle="1" w:styleId="Underlined">
    <w:name w:val="Underlined"/>
    <w:basedOn w:val="DefaultParagraphFont"/>
    <w:rsid w:val="00F15C64"/>
    <w:rPr>
      <w:u w:val="single"/>
    </w:rPr>
  </w:style>
  <w:style w:type="paragraph" w:customStyle="1" w:styleId="TableBodyTextRight">
    <w:name w:val="Table Body Text Right"/>
    <w:basedOn w:val="TableBodyText"/>
    <w:rsid w:val="00F15C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C64"/>
    <w:rPr>
      <w:sz w:val="18"/>
    </w:rPr>
  </w:style>
  <w:style w:type="paragraph" w:customStyle="1" w:styleId="BodySmallRight">
    <w:name w:val="Body Small Right"/>
    <w:basedOn w:val="BodyTextRight"/>
    <w:rsid w:val="00F15C64"/>
    <w:rPr>
      <w:sz w:val="18"/>
      <w:szCs w:val="18"/>
    </w:rPr>
  </w:style>
  <w:style w:type="paragraph" w:customStyle="1" w:styleId="MarginEdition">
    <w:name w:val="Margin Edition"/>
    <w:basedOn w:val="MarginNote"/>
    <w:rsid w:val="00F15C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C64"/>
    <w:rPr>
      <w:sz w:val="2"/>
      <w:szCs w:val="2"/>
    </w:rPr>
  </w:style>
  <w:style w:type="character" w:customStyle="1" w:styleId="Small">
    <w:name w:val="Small"/>
    <w:basedOn w:val="DefaultParagraphFont"/>
    <w:rsid w:val="00F15C64"/>
    <w:rPr>
      <w:sz w:val="16"/>
    </w:rPr>
  </w:style>
  <w:style w:type="paragraph" w:customStyle="1" w:styleId="WideTable">
    <w:name w:val="Wide Table"/>
    <w:basedOn w:val="Normal"/>
    <w:rsid w:val="00F15C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C64"/>
  </w:style>
  <w:style w:type="paragraph" w:styleId="Quote">
    <w:name w:val="Quote"/>
    <w:basedOn w:val="Heading1"/>
    <w:link w:val="QuoteChar"/>
    <w:qFormat/>
    <w:rsid w:val="00F15C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C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C64"/>
    <w:pPr>
      <w:pageBreakBefore/>
    </w:pPr>
  </w:style>
  <w:style w:type="paragraph" w:customStyle="1" w:styleId="Border">
    <w:name w:val="Border"/>
    <w:basedOn w:val="Normal"/>
    <w:qFormat/>
    <w:rsid w:val="00F15C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C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C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C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C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C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C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C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C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C64"/>
    <w:rPr>
      <w:u w:val="single"/>
    </w:rPr>
  </w:style>
  <w:style w:type="character" w:customStyle="1" w:styleId="BoldandItalics">
    <w:name w:val="Bold and Italics"/>
    <w:qFormat/>
    <w:rsid w:val="00F15C64"/>
    <w:rPr>
      <w:b/>
      <w:i/>
      <w:u w:val="none"/>
    </w:rPr>
  </w:style>
  <w:style w:type="paragraph" w:styleId="BalloonText">
    <w:name w:val="Balloon Text"/>
    <w:basedOn w:val="Normal"/>
    <w:link w:val="BalloonTextChar"/>
    <w:rsid w:val="00F15C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C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C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C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C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C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C64"/>
    <w:pPr>
      <w:spacing w:before="0" w:after="0"/>
    </w:pPr>
  </w:style>
  <w:style w:type="paragraph" w:customStyle="1" w:styleId="BodyTextBold">
    <w:name w:val="Body Text Bold"/>
    <w:basedOn w:val="BodyText"/>
    <w:qFormat/>
    <w:rsid w:val="00F15C64"/>
    <w:rPr>
      <w:b/>
    </w:rPr>
  </w:style>
  <w:style w:type="character" w:styleId="Hyperlink">
    <w:name w:val="Hyperlink"/>
    <w:basedOn w:val="DefaultParagraphFont"/>
    <w:uiPriority w:val="99"/>
    <w:unhideWhenUsed/>
    <w:rsid w:val="005C6B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4718</Characters>
  <Application>Microsoft Office Word</Application>
  <DocSecurity>0</DocSecurity>
  <Lines>174</Lines>
  <Paragraphs>103</Paragraphs>
  <ScaleCrop>false</ScaleCrop>
  <Company>Author-it Software Corporation Ltd.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CUASTA302 Install staging elements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