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1709" w:rsidP="009617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CUASTA301 Assist with production operations for live performances</w:t>
      </w:r>
      <w:r>
        <w:fldChar w:fldCharType="end"/>
      </w:r>
    </w:p>
    <w:p w:rsidR="00961709" w:rsidP="00961709">
      <w:pPr>
        <w:pStyle w:val="Version"/>
        <w:sectPr w:rsidSect="002215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215CB" w:rsidP="002215CB">
      <w:pPr>
        <w:pStyle w:val="SuperHeading"/>
      </w:pPr>
      <w:r w:rsidRPr="002215CB">
        <w:t>Assessment Requirements for CUASTA301 Assist with production operations for live performances</w:t>
      </w:r>
    </w:p>
    <w:p w:rsidR="00000000" w:rsidRPr="002215CB" w:rsidP="002215CB">
      <w:pPr>
        <w:pStyle w:val="Heading1"/>
      </w:pPr>
      <w:bookmarkStart w:id="1" w:name="O_811725"/>
      <w:bookmarkEnd w:id="1"/>
      <w:r w:rsidRPr="002215C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215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5CB" w:rsidP="002215CB">
            <w:pPr>
              <w:pStyle w:val="BodyText"/>
            </w:pPr>
            <w:r w:rsidRPr="002215C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5CB">
            <w:pPr>
              <w:pStyle w:val="BodyText"/>
              <w:rPr>
                <w:lang w:val="en-NZ"/>
              </w:rPr>
            </w:pPr>
            <w:r w:rsidRPr="002215CB">
              <w:rPr>
                <w:rStyle w:val="SpecialBold"/>
              </w:rPr>
              <w:t>Comments</w:t>
            </w:r>
          </w:p>
        </w:tc>
      </w:tr>
      <w:tr w:rsidTr="002215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5CB">
            <w:pPr>
              <w:pStyle w:val="BodyText"/>
              <w:rPr>
                <w:lang w:val="en-NZ"/>
              </w:rPr>
            </w:pPr>
            <w:r w:rsidRPr="002215CB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5CB">
            <w:pPr>
              <w:pStyle w:val="BodyText"/>
              <w:rPr>
                <w:lang w:val="en-NZ"/>
              </w:rPr>
            </w:pPr>
            <w:r w:rsidRPr="002215CB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2215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5CB">
            <w:pPr>
              <w:pStyle w:val="BodyText"/>
              <w:rPr>
                <w:lang w:val="en-NZ"/>
              </w:rPr>
            </w:pPr>
            <w:r w:rsidRPr="002215C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5CB" w:rsidP="002215CB">
            <w:pPr>
              <w:pStyle w:val="BodyText"/>
            </w:pPr>
            <w:r w:rsidRPr="002215CB">
              <w:t xml:space="preserve">This version first released with CUA </w:t>
            </w:r>
            <w:r w:rsidRPr="002215CB">
              <w:t>Creative Arts and Culture Training Package version 1.0.</w:t>
            </w:r>
          </w:p>
        </w:tc>
      </w:tr>
    </w:tbl>
    <w:p w:rsidR="00000000" w:rsidRPr="002215CB" w:rsidP="002215CB">
      <w:pPr>
        <w:pStyle w:val="BodyText"/>
      </w:pPr>
    </w:p>
    <w:p w:rsidR="00000000" w:rsidRPr="002215CB" w:rsidP="002215CB">
      <w:pPr>
        <w:pStyle w:val="AllowPageBreak"/>
      </w:pPr>
    </w:p>
    <w:p w:rsidR="00000000" w:rsidRPr="002215CB" w:rsidP="002215CB">
      <w:pPr>
        <w:pStyle w:val="Heading1"/>
      </w:pPr>
      <w:bookmarkStart w:id="2" w:name="O_811724"/>
      <w:bookmarkEnd w:id="2"/>
      <w:r w:rsidRPr="002215CB">
        <w:t>Performance Evidence</w:t>
      </w:r>
    </w:p>
    <w:p w:rsidR="00000000" w:rsidRPr="002215CB" w:rsidP="00961709">
      <w:pPr>
        <w:pStyle w:val="BodyText"/>
      </w:pPr>
      <w:r w:rsidRPr="002215CB">
        <w:t>Evidence of the ability to:</w:t>
      </w:r>
    </w:p>
    <w:p w:rsidR="00000000" w:rsidRPr="002215CB" w:rsidP="002215CB">
      <w:pPr>
        <w:pStyle w:val="ListBullet"/>
      </w:pPr>
      <w:r w:rsidRPr="002215CB">
        <w:t>use correct and safe techniques to make simple alterations to staging elements</w:t>
      </w:r>
    </w:p>
    <w:p w:rsidR="00000000" w:rsidRPr="002215CB" w:rsidP="002215CB">
      <w:pPr>
        <w:pStyle w:val="ListBullet"/>
      </w:pPr>
      <w:r w:rsidRPr="002215CB">
        <w:t>work collaboratively in a performance production team</w:t>
      </w:r>
    </w:p>
    <w:p w:rsidR="00000000" w:rsidRPr="002215CB" w:rsidP="002215CB">
      <w:pPr>
        <w:pStyle w:val="ListBullet"/>
      </w:pPr>
      <w:r w:rsidRPr="002215CB">
        <w:t>solve production operation problems in line with scope of responsibilities</w:t>
      </w:r>
    </w:p>
    <w:p w:rsidR="00000000" w:rsidRPr="002215CB" w:rsidP="002215CB">
      <w:pPr>
        <w:pStyle w:val="ListBullet"/>
      </w:pPr>
      <w:r w:rsidRPr="002215CB">
        <w:t>provide efficient and safe assistance with production operations in line with scope of responsibilities</w:t>
      </w:r>
    </w:p>
    <w:p w:rsidR="00000000" w:rsidRPr="002215CB" w:rsidP="002215CB">
      <w:pPr>
        <w:pStyle w:val="ListBullet"/>
      </w:pPr>
      <w:r w:rsidRPr="002215CB">
        <w:t xml:space="preserve">contribute to analysis </w:t>
      </w:r>
      <w:r w:rsidRPr="002215CB">
        <w:t>of productions and identify ways of improving production operations.</w:t>
      </w:r>
    </w:p>
    <w:p w:rsidR="00000000" w:rsidRPr="002215CB" w:rsidP="002215CB">
      <w:pPr>
        <w:pStyle w:val="BodyText"/>
      </w:pPr>
    </w:p>
    <w:p w:rsidR="00000000" w:rsidRPr="002215CB" w:rsidP="00961709">
      <w:pPr>
        <w:pStyle w:val="BodyText"/>
      </w:pPr>
      <w:r w:rsidRPr="002215CB">
        <w:t>Note: If a specific volume or frequency is not stated, then evidence must be provided for each of the above points at least once.</w:t>
      </w:r>
    </w:p>
    <w:p w:rsidR="00000000" w:rsidRPr="002215CB" w:rsidP="002215CB">
      <w:pPr>
        <w:pStyle w:val="Heading1"/>
      </w:pPr>
      <w:bookmarkStart w:id="3" w:name="O_811723"/>
      <w:bookmarkEnd w:id="3"/>
      <w:r w:rsidRPr="002215CB">
        <w:t>Knowledge Evidence</w:t>
      </w:r>
    </w:p>
    <w:p w:rsidR="00000000" w:rsidRPr="002215CB" w:rsidP="00961709">
      <w:pPr>
        <w:pStyle w:val="BodyText"/>
      </w:pPr>
      <w:r w:rsidRPr="002215CB">
        <w:t>To complete the unit</w:t>
      </w:r>
      <w:r w:rsidRPr="002215CB">
        <w:t xml:space="preserve"> requirements the individual must:</w:t>
      </w:r>
    </w:p>
    <w:p w:rsidR="00000000" w:rsidRPr="002215CB" w:rsidP="002215CB">
      <w:pPr>
        <w:pStyle w:val="ListBullet"/>
      </w:pPr>
      <w:r w:rsidRPr="002215CB">
        <w:t>demonstrate well-developed knowledge of:</w:t>
      </w:r>
    </w:p>
    <w:p w:rsidR="00000000" w:rsidRPr="002215CB" w:rsidP="002215CB">
      <w:pPr>
        <w:pStyle w:val="ListBullet2"/>
      </w:pPr>
      <w:r w:rsidRPr="002215CB">
        <w:t>bump-in and bump-out procedures</w:t>
      </w:r>
    </w:p>
    <w:p w:rsidR="00000000" w:rsidRPr="002215CB" w:rsidP="002215CB">
      <w:pPr>
        <w:pStyle w:val="ListBullet2"/>
      </w:pPr>
      <w:r w:rsidRPr="002215CB">
        <w:t>stage and production terminology</w:t>
      </w:r>
    </w:p>
    <w:p w:rsidR="00000000" w:rsidRPr="002215CB" w:rsidP="002215CB">
      <w:pPr>
        <w:pStyle w:val="ListBullet2"/>
      </w:pPr>
      <w:r w:rsidRPr="002215CB">
        <w:t>staging elements</w:t>
      </w:r>
    </w:p>
    <w:p w:rsidR="00000000" w:rsidRPr="002215CB" w:rsidP="002215CB">
      <w:pPr>
        <w:pStyle w:val="ListBullet"/>
      </w:pPr>
      <w:r w:rsidRPr="002215CB">
        <w:t xml:space="preserve">describe issues and challenges that can arise when assisting with production operations </w:t>
      </w:r>
      <w:r w:rsidRPr="002215CB">
        <w:t>and suggest solutions to address them</w:t>
      </w:r>
    </w:p>
    <w:p w:rsidR="00000000" w:rsidRPr="002215CB" w:rsidP="002215CB">
      <w:pPr>
        <w:pStyle w:val="ListBullet"/>
      </w:pPr>
      <w:r w:rsidRPr="002215CB">
        <w:t>describe how the following WHS issues relate to staging live productions:</w:t>
      </w:r>
    </w:p>
    <w:p w:rsidR="00000000" w:rsidRPr="002215CB" w:rsidP="002215CB">
      <w:pPr>
        <w:pStyle w:val="ListBullet2"/>
      </w:pPr>
      <w:r w:rsidRPr="002215CB">
        <w:t>safe manual handing</w:t>
      </w:r>
    </w:p>
    <w:p w:rsidR="00000000" w:rsidRPr="002215CB" w:rsidP="002215CB">
      <w:pPr>
        <w:pStyle w:val="ListBullet2"/>
      </w:pPr>
      <w:r w:rsidRPr="002215CB">
        <w:t>working with electrical equipment</w:t>
      </w:r>
    </w:p>
    <w:p w:rsidR="00000000" w:rsidRPr="002215CB" w:rsidP="002215CB">
      <w:pPr>
        <w:pStyle w:val="ListBullet2"/>
      </w:pPr>
      <w:r w:rsidRPr="002215CB">
        <w:t>emergency procedures</w:t>
      </w:r>
    </w:p>
    <w:p w:rsidR="00000000" w:rsidRPr="002215CB" w:rsidP="002215CB">
      <w:pPr>
        <w:pStyle w:val="ListBullet"/>
      </w:pPr>
      <w:r w:rsidRPr="002215CB">
        <w:t>in the context of assisting with production operations, demonstrate</w:t>
      </w:r>
      <w:r w:rsidRPr="002215CB">
        <w:t xml:space="preserve"> knowledge of:</w:t>
      </w:r>
    </w:p>
    <w:p w:rsidR="00000000" w:rsidRPr="002215CB" w:rsidP="002215CB">
      <w:pPr>
        <w:pStyle w:val="ListBullet2"/>
      </w:pPr>
      <w:r w:rsidRPr="002215CB">
        <w:t>basic maintenance procedures for audio equipment</w:t>
      </w:r>
    </w:p>
    <w:p w:rsidR="00000000" w:rsidRPr="002215CB" w:rsidP="002215CB">
      <w:pPr>
        <w:pStyle w:val="ListBullet2"/>
      </w:pPr>
      <w:r w:rsidRPr="002215CB">
        <w:t>basic set assembly</w:t>
      </w:r>
    </w:p>
    <w:p w:rsidR="00000000" w:rsidRPr="002215CB" w:rsidP="002215CB">
      <w:pPr>
        <w:pStyle w:val="ListBullet2"/>
      </w:pPr>
      <w:r w:rsidRPr="002215CB">
        <w:t>common stage machinery</w:t>
      </w:r>
    </w:p>
    <w:p w:rsidR="00000000" w:rsidRPr="002215CB" w:rsidP="002215CB">
      <w:pPr>
        <w:pStyle w:val="ListBullet2"/>
      </w:pPr>
      <w:r w:rsidRPr="002215CB">
        <w:t xml:space="preserve">methods of tying cloths, tabs and drapes </w:t>
      </w:r>
    </w:p>
    <w:p w:rsidR="00000000" w:rsidRPr="002215CB" w:rsidP="002215CB">
      <w:pPr>
        <w:pStyle w:val="ListBullet2"/>
      </w:pPr>
      <w:r w:rsidRPr="002215CB">
        <w:t>signals and other communication devices used when operating stage machinery</w:t>
      </w:r>
    </w:p>
    <w:p w:rsidR="00000000" w:rsidRPr="002215CB" w:rsidP="002215CB">
      <w:pPr>
        <w:pStyle w:val="ListBullet2"/>
      </w:pPr>
      <w:r w:rsidRPr="002215CB">
        <w:t>adhesives and paints commonly u</w:t>
      </w:r>
      <w:r w:rsidRPr="002215CB">
        <w:t>sed to construct and repair props</w:t>
      </w:r>
    </w:p>
    <w:p w:rsidR="00000000" w:rsidRPr="002215CB" w:rsidP="002215CB">
      <w:pPr>
        <w:pStyle w:val="ListBullet2"/>
      </w:pPr>
      <w:r w:rsidRPr="002215CB">
        <w:t>safety and environmental issues associated with prop construction</w:t>
      </w:r>
    </w:p>
    <w:p w:rsidR="00000000" w:rsidRPr="002215CB" w:rsidP="002215CB">
      <w:pPr>
        <w:pStyle w:val="ListBullet2"/>
      </w:pPr>
      <w:r w:rsidRPr="002215CB">
        <w:t>general features of differing light sources</w:t>
      </w:r>
    </w:p>
    <w:p w:rsidR="00000000" w:rsidRPr="002215CB" w:rsidP="002215CB">
      <w:pPr>
        <w:pStyle w:val="ListBullet2"/>
      </w:pPr>
      <w:r w:rsidRPr="002215CB">
        <w:t>relationship between lighting and other production operations</w:t>
      </w:r>
    </w:p>
    <w:p w:rsidR="00000000" w:rsidRPr="002215CB" w:rsidP="002215CB">
      <w:pPr>
        <w:pStyle w:val="ListBullet2"/>
      </w:pPr>
      <w:r w:rsidRPr="002215CB">
        <w:t>special requirements for automated light systems.</w:t>
      </w:r>
    </w:p>
    <w:p w:rsidR="00000000" w:rsidRPr="002215CB" w:rsidP="002215CB">
      <w:pPr>
        <w:pStyle w:val="AllowPageBreak"/>
      </w:pPr>
    </w:p>
    <w:p w:rsidR="00000000" w:rsidRPr="002215CB" w:rsidP="002215CB">
      <w:pPr>
        <w:pStyle w:val="Heading1"/>
      </w:pPr>
      <w:bookmarkStart w:id="4" w:name="O_811722"/>
      <w:bookmarkEnd w:id="4"/>
      <w:r w:rsidRPr="002215CB">
        <w:t>Assessment Conditions</w:t>
      </w:r>
    </w:p>
    <w:p w:rsidR="00000000" w:rsidRPr="002215CB" w:rsidP="00961709">
      <w:pPr>
        <w:pStyle w:val="BodyText"/>
      </w:pPr>
      <w:r w:rsidRPr="002215CB">
        <w:t xml:space="preserve">Assessment must be conducted in a safe environment where evidence gathered demonstrates consistent performance of typical activities experienced in creative arts industry environments. The assessment environment must </w:t>
      </w:r>
      <w:r w:rsidRPr="002215CB">
        <w:t xml:space="preserve">include access to: </w:t>
      </w:r>
    </w:p>
    <w:p w:rsidR="00000000" w:rsidRPr="002215CB" w:rsidP="002215CB">
      <w:pPr>
        <w:pStyle w:val="ListBullet"/>
      </w:pPr>
      <w:r w:rsidRPr="002215CB">
        <w:t>team environment in a live performance production</w:t>
      </w:r>
    </w:p>
    <w:p w:rsidR="00000000" w:rsidRPr="002215CB" w:rsidP="002215CB">
      <w:pPr>
        <w:pStyle w:val="ListBullet"/>
      </w:pPr>
      <w:r w:rsidRPr="002215CB">
        <w:t>presence of realistic time constraints for completion of work activities</w:t>
      </w:r>
    </w:p>
    <w:p w:rsidR="00000000" w:rsidRPr="002215CB" w:rsidP="002215CB">
      <w:pPr>
        <w:pStyle w:val="ListBullet"/>
      </w:pPr>
      <w:r w:rsidRPr="002215CB">
        <w:t>required tools and equipment</w:t>
      </w:r>
    </w:p>
    <w:p w:rsidR="00000000" w:rsidRPr="002215CB" w:rsidP="002215CB">
      <w:pPr>
        <w:pStyle w:val="ListBullet"/>
      </w:pPr>
      <w:r w:rsidRPr="002215CB">
        <w:t>a range of staging machinery and equipment</w:t>
      </w:r>
    </w:p>
    <w:p w:rsidR="00000000" w:rsidRPr="002215CB" w:rsidP="002215CB">
      <w:pPr>
        <w:pStyle w:val="ListBullet"/>
      </w:pPr>
      <w:r w:rsidRPr="002215CB">
        <w:t>a range of lighting and audio equipment</w:t>
      </w:r>
    </w:p>
    <w:p w:rsidR="00000000" w:rsidRPr="002215CB" w:rsidP="002215CB">
      <w:pPr>
        <w:pStyle w:val="ListBullet"/>
      </w:pPr>
      <w:r w:rsidRPr="002215CB">
        <w:t>workplace documentation.</w:t>
      </w:r>
    </w:p>
    <w:p w:rsidR="00000000" w:rsidRPr="002215CB" w:rsidP="002215CB">
      <w:pPr>
        <w:pStyle w:val="BodyText"/>
      </w:pPr>
    </w:p>
    <w:p w:rsidR="00000000" w:rsidRPr="002215CB" w:rsidP="00961709">
      <w:pPr>
        <w:pStyle w:val="BodyText"/>
      </w:pPr>
      <w:r w:rsidRPr="002215CB">
        <w:t>Assessors of this unit must satisfy the requirements for assessors in applicable vocational educational and training legislation, frameworks and/or standards.</w:t>
      </w:r>
    </w:p>
    <w:p w:rsidR="00000000" w:rsidRPr="002215CB" w:rsidP="002215CB">
      <w:pPr>
        <w:pStyle w:val="Heading1"/>
      </w:pPr>
      <w:bookmarkStart w:id="5" w:name="O_811734"/>
      <w:bookmarkEnd w:id="5"/>
      <w:r w:rsidRPr="002215CB">
        <w:t>Links</w:t>
      </w:r>
    </w:p>
    <w:p w:rsidR="00000000" w:rsidRPr="002215CB" w:rsidP="00961709">
      <w:pPr>
        <w:pStyle w:val="BodyText"/>
      </w:pPr>
      <w:r w:rsidRPr="002215CB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C752C0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2215CB" w:rsidP="002215CB"/>
    <w:sectPr w:rsidSect="002215C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5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5CB" w:rsidRPr="00961709" w:rsidP="009617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5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709" w:rsidP="002215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61709" w:rsidP="002215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61709" w:rsidP="002215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5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7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15CB" w:rsidRPr="00961709" w:rsidP="009617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5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709" w:rsidRPr="002D2AF8" w:rsidP="002215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CUASTA301 Assist with production operations for live performances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961709" w:rsidP="002215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61C32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5348E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43890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15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15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15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15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15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15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15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15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15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15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15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15CB"/>
  </w:style>
  <w:style w:type="character" w:customStyle="1" w:styleId="Heading1Char">
    <w:name w:val="Heading 1 Char"/>
    <w:basedOn w:val="DefaultParagraphFont"/>
    <w:link w:val="Heading1"/>
    <w:rsid w:val="002215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15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15C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215C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215CB"/>
    <w:rPr>
      <w:b/>
      <w:spacing w:val="0"/>
    </w:rPr>
  </w:style>
  <w:style w:type="paragraph" w:styleId="ListBullet2">
    <w:name w:val="List Bullet 2"/>
    <w:basedOn w:val="List2"/>
    <w:rsid w:val="002215C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215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15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215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15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15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15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15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15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15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15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15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15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15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15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15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15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15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15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15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15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15C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215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15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15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15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215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15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15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15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15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15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15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15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15C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215CB"/>
    <w:rPr>
      <w:i/>
    </w:rPr>
  </w:style>
  <w:style w:type="paragraph" w:styleId="Caption">
    <w:name w:val="caption"/>
    <w:basedOn w:val="BodyText"/>
    <w:next w:val="Normal"/>
    <w:qFormat/>
    <w:rsid w:val="002215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15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15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15CB"/>
  </w:style>
  <w:style w:type="paragraph" w:styleId="TableofFigures">
    <w:name w:val="table of figures"/>
    <w:basedOn w:val="Normal"/>
    <w:next w:val="Normal"/>
    <w:semiHidden/>
    <w:rsid w:val="002215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15C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215CB"/>
    <w:rPr>
      <w:rFonts w:ascii="Wingdings" w:hAnsi="Wingdings"/>
    </w:rPr>
  </w:style>
  <w:style w:type="paragraph" w:customStyle="1" w:styleId="TableHeading">
    <w:name w:val="Table Heading"/>
    <w:basedOn w:val="HeadingBase"/>
    <w:rsid w:val="002215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15CB"/>
    <w:rPr>
      <w:color w:val="0033CC"/>
      <w:u w:val="none"/>
    </w:rPr>
  </w:style>
  <w:style w:type="paragraph" w:customStyle="1" w:styleId="BodyTextRight">
    <w:name w:val="Body Text Right"/>
    <w:basedOn w:val="BodyText"/>
    <w:rsid w:val="002215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15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15C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15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15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15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15CB"/>
    <w:rPr>
      <w:sz w:val="32"/>
    </w:rPr>
  </w:style>
  <w:style w:type="paragraph" w:customStyle="1" w:styleId="HeadingProcedure">
    <w:name w:val="Heading Procedure"/>
    <w:basedOn w:val="HeadingBase"/>
    <w:next w:val="Normal"/>
    <w:rsid w:val="002215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15CB"/>
    <w:pPr>
      <w:spacing w:before="60" w:after="60"/>
    </w:pPr>
  </w:style>
  <w:style w:type="paragraph" w:styleId="ListContinue">
    <w:name w:val="List Continue"/>
    <w:basedOn w:val="List"/>
    <w:rsid w:val="002215CB"/>
    <w:pPr>
      <w:ind w:firstLine="0"/>
    </w:pPr>
  </w:style>
  <w:style w:type="paragraph" w:customStyle="1" w:styleId="ListNote">
    <w:name w:val="List Note"/>
    <w:basedOn w:val="List"/>
    <w:rsid w:val="002215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15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15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15CB"/>
    <w:rPr>
      <w:rFonts w:ascii="Courier New" w:hAnsi="Courier New"/>
    </w:rPr>
  </w:style>
  <w:style w:type="paragraph" w:customStyle="1" w:styleId="NoteBullet">
    <w:name w:val="Note Bullet"/>
    <w:basedOn w:val="Note"/>
    <w:rsid w:val="002215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15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15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15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15C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215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15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15CB"/>
    <w:rPr>
      <w:b/>
      <w:smallCaps/>
    </w:rPr>
  </w:style>
  <w:style w:type="paragraph" w:customStyle="1" w:styleId="TableListNumber">
    <w:name w:val="Table List Number"/>
    <w:basedOn w:val="ListNumber"/>
    <w:rsid w:val="002215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15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15CB"/>
    <w:pPr>
      <w:numPr>
        <w:numId w:val="9"/>
      </w:numPr>
    </w:pPr>
  </w:style>
  <w:style w:type="paragraph" w:customStyle="1" w:styleId="ListAlpha2">
    <w:name w:val="List Alpha 2"/>
    <w:basedOn w:val="List2"/>
    <w:rsid w:val="002215CB"/>
    <w:pPr>
      <w:numPr>
        <w:numId w:val="8"/>
      </w:numPr>
    </w:pPr>
  </w:style>
  <w:style w:type="paragraph" w:styleId="List2">
    <w:name w:val="List 2"/>
    <w:basedOn w:val="BodyText"/>
    <w:rsid w:val="002215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15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15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15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15C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15C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215CB"/>
    <w:pPr>
      <w:numPr>
        <w:numId w:val="4"/>
      </w:numPr>
    </w:pPr>
  </w:style>
  <w:style w:type="paragraph" w:styleId="ListContinue2">
    <w:name w:val="List Continue 2"/>
    <w:basedOn w:val="List2"/>
    <w:rsid w:val="002215CB"/>
    <w:pPr>
      <w:ind w:firstLine="0"/>
    </w:pPr>
  </w:style>
  <w:style w:type="paragraph" w:styleId="ListContinue3">
    <w:name w:val="List Continue 3"/>
    <w:basedOn w:val="List3"/>
    <w:rsid w:val="002215CB"/>
    <w:pPr>
      <w:ind w:left="1021" w:firstLine="0"/>
    </w:pPr>
  </w:style>
  <w:style w:type="paragraph" w:styleId="ListContinue4">
    <w:name w:val="List Continue 4"/>
    <w:basedOn w:val="List4"/>
    <w:rsid w:val="002215CB"/>
    <w:pPr>
      <w:ind w:firstLine="0"/>
    </w:pPr>
  </w:style>
  <w:style w:type="paragraph" w:styleId="ListContinue5">
    <w:name w:val="List Continue 5"/>
    <w:basedOn w:val="List5"/>
    <w:rsid w:val="002215CB"/>
    <w:pPr>
      <w:ind w:firstLine="0"/>
    </w:pPr>
  </w:style>
  <w:style w:type="paragraph" w:styleId="ListNumber3">
    <w:name w:val="List Number 3"/>
    <w:basedOn w:val="List3"/>
    <w:rsid w:val="002215CB"/>
    <w:pPr>
      <w:numPr>
        <w:numId w:val="5"/>
      </w:numPr>
    </w:pPr>
  </w:style>
  <w:style w:type="paragraph" w:styleId="ListNumber4">
    <w:name w:val="List Number 4"/>
    <w:basedOn w:val="List4"/>
    <w:rsid w:val="002215CB"/>
    <w:pPr>
      <w:numPr>
        <w:numId w:val="6"/>
      </w:numPr>
    </w:pPr>
  </w:style>
  <w:style w:type="paragraph" w:styleId="ListNumber5">
    <w:name w:val="List Number 5"/>
    <w:basedOn w:val="List5"/>
    <w:rsid w:val="002215CB"/>
    <w:pPr>
      <w:numPr>
        <w:numId w:val="7"/>
      </w:numPr>
    </w:pPr>
  </w:style>
  <w:style w:type="paragraph" w:styleId="BlockText">
    <w:name w:val="Block Text"/>
    <w:basedOn w:val="Normal"/>
    <w:rsid w:val="002215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15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15CB"/>
    <w:rPr>
      <w:sz w:val="16"/>
      <w:vertAlign w:val="superscript"/>
    </w:rPr>
  </w:style>
  <w:style w:type="character" w:customStyle="1" w:styleId="Symbols">
    <w:name w:val="Symbols"/>
    <w:basedOn w:val="DefaultParagraphFont"/>
    <w:rsid w:val="002215CB"/>
    <w:rPr>
      <w:rFonts w:ascii="Symbol" w:hAnsi="Symbol"/>
    </w:rPr>
  </w:style>
  <w:style w:type="character" w:customStyle="1" w:styleId="MenuOptions">
    <w:name w:val="Menu Options"/>
    <w:basedOn w:val="DefaultParagraphFont"/>
    <w:rsid w:val="002215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15CB"/>
    <w:rPr>
      <w:b/>
    </w:rPr>
  </w:style>
  <w:style w:type="character" w:customStyle="1" w:styleId="Underlined">
    <w:name w:val="Underlined"/>
    <w:basedOn w:val="DefaultParagraphFont"/>
    <w:rsid w:val="002215CB"/>
    <w:rPr>
      <w:u w:val="single"/>
    </w:rPr>
  </w:style>
  <w:style w:type="paragraph" w:customStyle="1" w:styleId="TableBodyTextRight">
    <w:name w:val="Table Body Text Right"/>
    <w:basedOn w:val="TableBodyText"/>
    <w:rsid w:val="002215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15CB"/>
    <w:rPr>
      <w:sz w:val="18"/>
    </w:rPr>
  </w:style>
  <w:style w:type="paragraph" w:customStyle="1" w:styleId="BodySmallRight">
    <w:name w:val="Body Small Right"/>
    <w:basedOn w:val="BodyTextRight"/>
    <w:rsid w:val="002215CB"/>
    <w:rPr>
      <w:sz w:val="18"/>
      <w:szCs w:val="18"/>
    </w:rPr>
  </w:style>
  <w:style w:type="paragraph" w:customStyle="1" w:styleId="MarginEdition">
    <w:name w:val="Margin Edition"/>
    <w:basedOn w:val="MarginNote"/>
    <w:rsid w:val="002215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15CB"/>
    <w:rPr>
      <w:sz w:val="2"/>
      <w:szCs w:val="2"/>
    </w:rPr>
  </w:style>
  <w:style w:type="character" w:customStyle="1" w:styleId="Small">
    <w:name w:val="Small"/>
    <w:basedOn w:val="DefaultParagraphFont"/>
    <w:rsid w:val="002215CB"/>
    <w:rPr>
      <w:sz w:val="16"/>
    </w:rPr>
  </w:style>
  <w:style w:type="paragraph" w:customStyle="1" w:styleId="WideTable">
    <w:name w:val="Wide Table"/>
    <w:basedOn w:val="Normal"/>
    <w:rsid w:val="002215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15CB"/>
  </w:style>
  <w:style w:type="paragraph" w:styleId="Quote">
    <w:name w:val="Quote"/>
    <w:basedOn w:val="Heading1"/>
    <w:link w:val="QuoteChar"/>
    <w:qFormat/>
    <w:rsid w:val="002215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15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15CB"/>
    <w:pPr>
      <w:pageBreakBefore/>
    </w:pPr>
  </w:style>
  <w:style w:type="paragraph" w:customStyle="1" w:styleId="Border">
    <w:name w:val="Border"/>
    <w:basedOn w:val="Normal"/>
    <w:qFormat/>
    <w:rsid w:val="002215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15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15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15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15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15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15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15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15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15CB"/>
    <w:rPr>
      <w:u w:val="single"/>
    </w:rPr>
  </w:style>
  <w:style w:type="character" w:customStyle="1" w:styleId="BoldandItalics">
    <w:name w:val="Bold and Italics"/>
    <w:qFormat/>
    <w:rsid w:val="002215CB"/>
    <w:rPr>
      <w:b/>
      <w:i/>
      <w:u w:val="none"/>
    </w:rPr>
  </w:style>
  <w:style w:type="paragraph" w:styleId="BalloonText">
    <w:name w:val="Balloon Text"/>
    <w:basedOn w:val="Normal"/>
    <w:link w:val="BalloonTextChar"/>
    <w:rsid w:val="002215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15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15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15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15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15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15CB"/>
    <w:pPr>
      <w:spacing w:before="0" w:after="0"/>
    </w:pPr>
  </w:style>
  <w:style w:type="paragraph" w:customStyle="1" w:styleId="BodyTextBold">
    <w:name w:val="Body Text Bold"/>
    <w:basedOn w:val="BodyText"/>
    <w:qFormat/>
    <w:rsid w:val="002215CB"/>
    <w:rPr>
      <w:b/>
    </w:rPr>
  </w:style>
  <w:style w:type="character" w:styleId="Hyperlink">
    <w:name w:val="Hyperlink"/>
    <w:basedOn w:val="DefaultParagraphFont"/>
    <w:uiPriority w:val="99"/>
    <w:unhideWhenUsed/>
    <w:rsid w:val="009617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420</Words>
  <Characters>2800</Characters>
  <Application>Microsoft Office Word</Application>
  <DocSecurity>0</DocSecurity>
  <Lines>82</Lines>
  <Paragraphs>60</Paragraphs>
  <ScaleCrop>false</ScaleCrop>
  <Company>Author-it Software Corporation Ltd.</Company>
  <LinksUpToDate>false</LinksUpToDate>
  <CharactersWithSpaces>3160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CUASTA301 Assist with production operations for live performances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2019-02-21T08:21:00Z</dcterms:created>
  <dcterms:modified xsi:type="dcterms:W3CDTF">2019-02-21T08:21:00Z</dcterms:modified>
</cp:coreProperties>
</file>